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078AE" w14:textId="77777777" w:rsidR="00B311D6" w:rsidRPr="0028429E" w:rsidRDefault="001054AA">
      <w:pPr>
        <w:rPr>
          <w:lang w:val="en-US"/>
        </w:rPr>
      </w:pPr>
      <w:r w:rsidRPr="0028429E">
        <w:rPr>
          <w:lang w:val="en-US"/>
        </w:rPr>
        <w:t>Supporting Information</w:t>
      </w:r>
    </w:p>
    <w:p w14:paraId="7469F991" w14:textId="77777777" w:rsidR="00024B47" w:rsidRPr="0028429E" w:rsidRDefault="00024B47">
      <w:pPr>
        <w:rPr>
          <w:lang w:val="en-US"/>
        </w:rPr>
      </w:pPr>
    </w:p>
    <w:p w14:paraId="086C082F" w14:textId="77777777" w:rsidR="00024B47" w:rsidRPr="00DD33EA" w:rsidRDefault="00024B47" w:rsidP="00024B47">
      <w:pPr>
        <w:pStyle w:val="Title"/>
        <w:spacing w:line="360" w:lineRule="auto"/>
        <w:jc w:val="both"/>
        <w:rPr>
          <w:lang w:val="uz-Cyrl-UZ"/>
        </w:rPr>
      </w:pPr>
      <w:r>
        <w:rPr>
          <w:lang w:val="uz-Cyrl-UZ"/>
        </w:rPr>
        <w:t>Structural polymorphism</w:t>
      </w:r>
      <w:r w:rsidRPr="00DD33EA">
        <w:rPr>
          <w:lang w:val="uz-Cyrl-UZ"/>
        </w:rPr>
        <w:t xml:space="preserve"> of the </w:t>
      </w:r>
      <w:r>
        <w:rPr>
          <w:lang w:val="uz-Cyrl-UZ"/>
        </w:rPr>
        <w:t xml:space="preserve">low-complexity C-terminal domain </w:t>
      </w:r>
      <w:r w:rsidRPr="00DD33EA">
        <w:rPr>
          <w:lang w:val="uz-Cyrl-UZ"/>
        </w:rPr>
        <w:t>of TDP-43 amyloid aggregates</w:t>
      </w:r>
      <w:r>
        <w:rPr>
          <w:lang w:val="uz-Cyrl-UZ"/>
        </w:rPr>
        <w:t xml:space="preserve"> revealed by solid-state NMR</w:t>
      </w:r>
    </w:p>
    <w:p w14:paraId="33829D7C" w14:textId="77777777" w:rsidR="00024B47" w:rsidRDefault="00024B47" w:rsidP="00024B47">
      <w:pPr>
        <w:pStyle w:val="AuthorList"/>
        <w:spacing w:line="360" w:lineRule="auto"/>
        <w:jc w:val="both"/>
        <w:rPr>
          <w:b w:val="0"/>
          <w:lang w:val="uz-Cyrl-UZ"/>
        </w:rPr>
      </w:pPr>
      <w:r w:rsidRPr="00174AF3">
        <w:rPr>
          <w:b w:val="0"/>
          <w:lang w:val="uz-Cyrl-UZ"/>
        </w:rPr>
        <w:t>Jayakrishna Shenoy K.P.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, Alons Lends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, Mélanie Berbon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, Muhammed Bilal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, Nadia El Mammeri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, Mathilde Bertoni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, Ahmad Saad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, Estelle Morvan</w:t>
      </w:r>
      <w:r w:rsidRPr="00174AF3">
        <w:rPr>
          <w:b w:val="0"/>
          <w:vertAlign w:val="superscript"/>
          <w:lang w:val="uz-Cyrl-UZ"/>
        </w:rPr>
        <w:t>2</w:t>
      </w:r>
      <w:r w:rsidRPr="00174AF3">
        <w:rPr>
          <w:b w:val="0"/>
          <w:lang w:val="uz-Cyrl-UZ"/>
        </w:rPr>
        <w:t>, Axelle Grélard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, Sophie Lecomte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, François-Xavier Theillet</w:t>
      </w:r>
      <w:r w:rsidRPr="00174AF3">
        <w:rPr>
          <w:b w:val="0"/>
          <w:vertAlign w:val="superscript"/>
          <w:lang w:val="uz-Cyrl-UZ"/>
        </w:rPr>
        <w:t>3</w:t>
      </w:r>
      <w:r w:rsidRPr="00174AF3">
        <w:rPr>
          <w:b w:val="0"/>
          <w:lang w:val="uz-Cyrl-UZ"/>
        </w:rPr>
        <w:t xml:space="preserve">, </w:t>
      </w:r>
      <w:r>
        <w:rPr>
          <w:b w:val="0"/>
          <w:lang w:val="uz-Cyrl-UZ"/>
        </w:rPr>
        <w:t xml:space="preserve">Alexander </w:t>
      </w:r>
      <w:r w:rsidRPr="008A7389">
        <w:rPr>
          <w:b w:val="0"/>
          <w:lang w:val="uz-Cyrl-UZ"/>
        </w:rPr>
        <w:t xml:space="preserve">K. </w:t>
      </w:r>
      <w:r>
        <w:rPr>
          <w:b w:val="0"/>
          <w:lang w:val="uz-Cyrl-UZ"/>
        </w:rPr>
        <w:t>Buell</w:t>
      </w:r>
      <w:r w:rsidRPr="00102EC9">
        <w:rPr>
          <w:b w:val="0"/>
          <w:vertAlign w:val="superscript"/>
          <w:lang w:val="uz-Cyrl-UZ"/>
        </w:rPr>
        <w:t>4</w:t>
      </w:r>
      <w:r>
        <w:rPr>
          <w:b w:val="0"/>
          <w:lang w:val="uz-Cyrl-UZ"/>
        </w:rPr>
        <w:t xml:space="preserve">, </w:t>
      </w:r>
      <w:r w:rsidRPr="00174AF3">
        <w:rPr>
          <w:b w:val="0"/>
          <w:lang w:val="uz-Cyrl-UZ"/>
        </w:rPr>
        <w:t>Brice Kauffmann</w:t>
      </w:r>
      <w:r w:rsidRPr="00174AF3">
        <w:rPr>
          <w:b w:val="0"/>
          <w:vertAlign w:val="superscript"/>
          <w:lang w:val="uz-Cyrl-UZ"/>
        </w:rPr>
        <w:t>2</w:t>
      </w:r>
      <w:r w:rsidRPr="00D502DA">
        <w:rPr>
          <w:b w:val="0"/>
          <w:lang w:val="uz-Cyrl-UZ"/>
        </w:rPr>
        <w:t xml:space="preserve">, </w:t>
      </w:r>
      <w:r w:rsidRPr="00174AF3">
        <w:rPr>
          <w:b w:val="0"/>
          <w:lang w:val="uz-Cyrl-UZ"/>
        </w:rPr>
        <w:t>Birgit Habenstein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*, Antoine Loquet</w:t>
      </w:r>
      <w:r w:rsidRPr="00174AF3">
        <w:rPr>
          <w:b w:val="0"/>
          <w:vertAlign w:val="superscript"/>
          <w:lang w:val="uz-Cyrl-UZ"/>
        </w:rPr>
        <w:t>1</w:t>
      </w:r>
      <w:r w:rsidRPr="00174AF3">
        <w:rPr>
          <w:b w:val="0"/>
          <w:lang w:val="uz-Cyrl-UZ"/>
        </w:rPr>
        <w:t>*</w:t>
      </w:r>
    </w:p>
    <w:p w14:paraId="5F6F0C68" w14:textId="77777777" w:rsidR="009E2451" w:rsidRPr="0028429E" w:rsidRDefault="009E2451" w:rsidP="009E2451">
      <w:pPr>
        <w:rPr>
          <w:lang w:val="uz-Cyrl-UZ"/>
        </w:rPr>
      </w:pPr>
    </w:p>
    <w:p w14:paraId="423BD2AA" w14:textId="0097B171" w:rsidR="009E2451" w:rsidRPr="009E2451" w:rsidRDefault="009E2451" w:rsidP="009E2451">
      <w:r>
        <w:rPr>
          <w:noProof/>
        </w:rPr>
        <w:drawing>
          <wp:inline distT="0" distB="0" distL="0" distR="0" wp14:anchorId="567EE0C4" wp14:editId="72DED7DF">
            <wp:extent cx="2712720" cy="2816352"/>
            <wp:effectExtent l="0" t="0" r="508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82910" w14:textId="50B31D91" w:rsidR="00024B47" w:rsidRPr="005265D3" w:rsidRDefault="009E2451">
      <w:pPr>
        <w:rPr>
          <w:bCs/>
          <w:sz w:val="18"/>
          <w:szCs w:val="18"/>
          <w:lang w:val="en-US" w:eastAsia="en-GB"/>
        </w:rPr>
      </w:pPr>
      <w:r w:rsidRPr="0028429E">
        <w:rPr>
          <w:b/>
          <w:bCs/>
          <w:sz w:val="18"/>
          <w:szCs w:val="18"/>
          <w:lang w:val="en-US" w:eastAsia="en-GB"/>
        </w:rPr>
        <w:t xml:space="preserve">Supplementary Figure </w:t>
      </w:r>
      <w:r w:rsidRPr="0028429E">
        <w:rPr>
          <w:b/>
          <w:bCs/>
          <w:sz w:val="18"/>
          <w:szCs w:val="18"/>
          <w:highlight w:val="yellow"/>
          <w:lang w:val="en-US" w:eastAsia="en-GB"/>
        </w:rPr>
        <w:t>1</w:t>
      </w:r>
      <w:r w:rsidRPr="0028429E">
        <w:rPr>
          <w:b/>
          <w:bCs/>
          <w:sz w:val="18"/>
          <w:szCs w:val="18"/>
          <w:lang w:val="en-US" w:eastAsia="en-GB"/>
        </w:rPr>
        <w:t xml:space="preserve">: </w:t>
      </w:r>
      <w:r w:rsidRPr="0028429E">
        <w:rPr>
          <w:bCs/>
          <w:sz w:val="18"/>
          <w:szCs w:val="18"/>
          <w:lang w:val="en-US" w:eastAsia="en-GB"/>
        </w:rPr>
        <w:t xml:space="preserve">Primary sequences </w:t>
      </w:r>
      <w:r w:rsidR="00960650" w:rsidRPr="0028429E">
        <w:rPr>
          <w:bCs/>
          <w:sz w:val="18"/>
          <w:szCs w:val="18"/>
          <w:lang w:val="en-US" w:eastAsia="en-GB"/>
        </w:rPr>
        <w:t xml:space="preserve">of </w:t>
      </w:r>
      <w:r w:rsidRPr="0028429E">
        <w:rPr>
          <w:bCs/>
          <w:sz w:val="18"/>
          <w:szCs w:val="18"/>
          <w:lang w:val="en-US" w:eastAsia="en-GB"/>
        </w:rPr>
        <w:t xml:space="preserve"> TDP constructs.</w:t>
      </w:r>
      <w:r w:rsidR="00586F8C" w:rsidRPr="00586F8C">
        <w:rPr>
          <w:lang w:val="en-US"/>
        </w:rPr>
        <w:t xml:space="preserve"> </w:t>
      </w:r>
      <w:r w:rsidR="00586F8C" w:rsidRPr="005265D3">
        <w:rPr>
          <w:sz w:val="18"/>
          <w:szCs w:val="18"/>
          <w:lang w:val="en-US"/>
        </w:rPr>
        <w:t>T</w:t>
      </w:r>
      <w:r w:rsidR="00586F8C" w:rsidRPr="005265D3">
        <w:rPr>
          <w:bCs/>
          <w:sz w:val="18"/>
          <w:szCs w:val="18"/>
          <w:lang w:val="en-US" w:eastAsia="en-GB"/>
        </w:rPr>
        <w:t>he initial M</w:t>
      </w:r>
      <w:r w:rsidR="00586F8C" w:rsidRPr="005265D3">
        <w:rPr>
          <w:bCs/>
          <w:sz w:val="18"/>
          <w:szCs w:val="18"/>
          <w:lang w:val="en-US" w:eastAsia="en-GB"/>
        </w:rPr>
        <w:t>ethionine residues(black)</w:t>
      </w:r>
      <w:r w:rsidR="00586F8C" w:rsidRPr="005265D3">
        <w:rPr>
          <w:bCs/>
          <w:sz w:val="18"/>
          <w:szCs w:val="18"/>
          <w:lang w:val="en-US" w:eastAsia="en-GB"/>
        </w:rPr>
        <w:t xml:space="preserve"> in the sequences is from the construct and not </w:t>
      </w:r>
      <w:r w:rsidR="00586F8C" w:rsidRPr="005265D3">
        <w:rPr>
          <w:bCs/>
          <w:sz w:val="18"/>
          <w:szCs w:val="18"/>
          <w:lang w:val="en-US" w:eastAsia="en-GB"/>
        </w:rPr>
        <w:t xml:space="preserve">from </w:t>
      </w:r>
      <w:r w:rsidR="00586F8C" w:rsidRPr="005265D3">
        <w:rPr>
          <w:bCs/>
          <w:sz w:val="18"/>
          <w:szCs w:val="18"/>
          <w:lang w:val="en-US" w:eastAsia="en-GB"/>
        </w:rPr>
        <w:t>TDP-43</w:t>
      </w:r>
      <w:r w:rsidR="00586F8C" w:rsidRPr="005265D3">
        <w:rPr>
          <w:bCs/>
          <w:sz w:val="18"/>
          <w:szCs w:val="18"/>
          <w:lang w:val="en-US" w:eastAsia="en-GB"/>
        </w:rPr>
        <w:t>.</w:t>
      </w:r>
    </w:p>
    <w:p w14:paraId="3273B9EA" w14:textId="77777777" w:rsidR="00960650" w:rsidRPr="0028429E" w:rsidRDefault="00960650">
      <w:pPr>
        <w:rPr>
          <w:bCs/>
          <w:lang w:val="en-US" w:eastAsia="en-GB"/>
        </w:rPr>
      </w:pPr>
    </w:p>
    <w:p w14:paraId="2BB71A06" w14:textId="68248658" w:rsidR="00960650" w:rsidRPr="009E2451" w:rsidRDefault="0082178C" w:rsidP="00960650">
      <w:r>
        <w:rPr>
          <w:noProof/>
        </w:rPr>
        <w:drawing>
          <wp:inline distT="0" distB="0" distL="0" distR="0" wp14:anchorId="5C42CDC3" wp14:editId="6CF2E35D">
            <wp:extent cx="2682240" cy="2261616"/>
            <wp:effectExtent l="0" t="0" r="1016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01F8D" w14:textId="3932731A" w:rsidR="00960650" w:rsidRPr="0028429E" w:rsidRDefault="00960650">
      <w:pPr>
        <w:rPr>
          <w:bCs/>
          <w:lang w:val="en-US" w:eastAsia="en-GB"/>
        </w:rPr>
      </w:pPr>
      <w:r w:rsidRPr="0028429E">
        <w:rPr>
          <w:b/>
          <w:bCs/>
          <w:sz w:val="18"/>
          <w:szCs w:val="18"/>
          <w:lang w:val="en-US" w:eastAsia="en-GB"/>
        </w:rPr>
        <w:t xml:space="preserve">Supplementary Figure </w:t>
      </w:r>
      <w:r w:rsidRPr="0028429E">
        <w:rPr>
          <w:b/>
          <w:bCs/>
          <w:sz w:val="18"/>
          <w:szCs w:val="18"/>
          <w:highlight w:val="yellow"/>
          <w:lang w:val="en-US" w:eastAsia="en-GB"/>
        </w:rPr>
        <w:t>2:</w:t>
      </w:r>
      <w:r w:rsidRPr="0028429E">
        <w:rPr>
          <w:b/>
          <w:bCs/>
          <w:sz w:val="18"/>
          <w:szCs w:val="18"/>
          <w:lang w:val="en-US" w:eastAsia="en-GB"/>
        </w:rPr>
        <w:t xml:space="preserve"> </w:t>
      </w:r>
      <w:r w:rsidR="0082178C" w:rsidRPr="0028429E">
        <w:rPr>
          <w:bCs/>
          <w:sz w:val="18"/>
          <w:szCs w:val="18"/>
          <w:lang w:val="en-US" w:eastAsia="en-GB"/>
        </w:rPr>
        <w:t xml:space="preserve">Diffraction intensity plot of </w:t>
      </w:r>
      <w:r w:rsidR="00D269A5" w:rsidRPr="0028429E">
        <w:rPr>
          <w:bCs/>
          <w:sz w:val="18"/>
          <w:szCs w:val="18"/>
          <w:lang w:val="en-US" w:eastAsia="en-GB"/>
        </w:rPr>
        <w:t>TDP-10, TDP-11 and TDP-13 amyloid fibrils</w:t>
      </w:r>
      <w:r w:rsidR="0082178C" w:rsidRPr="0028429E">
        <w:rPr>
          <w:bCs/>
          <w:sz w:val="18"/>
          <w:szCs w:val="18"/>
          <w:lang w:val="en-US" w:eastAsia="en-GB"/>
        </w:rPr>
        <w:t xml:space="preserve">. </w:t>
      </w:r>
    </w:p>
    <w:p w14:paraId="0A74E966" w14:textId="77777777" w:rsidR="00960650" w:rsidRPr="0028429E" w:rsidRDefault="00960650">
      <w:pPr>
        <w:rPr>
          <w:lang w:val="en-US"/>
        </w:rPr>
      </w:pPr>
    </w:p>
    <w:p w14:paraId="0BB2892D" w14:textId="77777777" w:rsidR="001054AA" w:rsidRPr="0028429E" w:rsidRDefault="001054AA">
      <w:pPr>
        <w:rPr>
          <w:lang w:val="en-US"/>
        </w:rPr>
      </w:pPr>
    </w:p>
    <w:p w14:paraId="5B452E48" w14:textId="77777777" w:rsidR="001054AA" w:rsidRDefault="00F452E9" w:rsidP="001054AA">
      <w:pPr>
        <w:jc w:val="both"/>
        <w:rPr>
          <w:rFonts w:eastAsia="Times New Roman" w:cs="Times New Roman"/>
          <w:color w:val="000000" w:themeColor="text1"/>
          <w:lang w:eastAsia="en-GB"/>
        </w:rPr>
      </w:pPr>
      <w:r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4D496E9B" wp14:editId="15250DE6">
            <wp:extent cx="5756910" cy="2256155"/>
            <wp:effectExtent l="0" t="0" r="889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oy_SI1_v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5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D5D12" w14:textId="12C38D30" w:rsidR="001054AA" w:rsidRPr="0028429E" w:rsidRDefault="009E2451" w:rsidP="001054AA">
      <w:pPr>
        <w:adjustRightInd w:val="0"/>
        <w:contextualSpacing/>
        <w:jc w:val="both"/>
        <w:rPr>
          <w:sz w:val="18"/>
          <w:szCs w:val="18"/>
          <w:lang w:val="en-US" w:eastAsia="en-GB"/>
        </w:rPr>
      </w:pPr>
      <w:r w:rsidRPr="0028429E">
        <w:rPr>
          <w:b/>
          <w:bCs/>
          <w:sz w:val="18"/>
          <w:szCs w:val="18"/>
          <w:lang w:val="en-US" w:eastAsia="en-GB"/>
        </w:rPr>
        <w:t xml:space="preserve">Supplementary Figure </w:t>
      </w:r>
      <w:r w:rsidR="00960650" w:rsidRPr="0028429E">
        <w:rPr>
          <w:b/>
          <w:bCs/>
          <w:sz w:val="18"/>
          <w:szCs w:val="18"/>
          <w:highlight w:val="yellow"/>
          <w:lang w:val="en-US" w:eastAsia="en-GB"/>
        </w:rPr>
        <w:t>3</w:t>
      </w:r>
      <w:r w:rsidR="001054AA" w:rsidRPr="0028429E">
        <w:rPr>
          <w:b/>
          <w:bCs/>
          <w:sz w:val="18"/>
          <w:szCs w:val="18"/>
          <w:lang w:val="en-US" w:eastAsia="en-GB"/>
        </w:rPr>
        <w:t xml:space="preserve">: Characterization of rigid residues in TDP-43 CTF aggregates. </w:t>
      </w:r>
      <w:r w:rsidR="001054AA" w:rsidRPr="0028429E">
        <w:rPr>
          <w:sz w:val="18"/>
          <w:szCs w:val="18"/>
          <w:vertAlign w:val="superscript"/>
          <w:lang w:val="en-US" w:eastAsia="en-GB"/>
        </w:rPr>
        <w:t>13</w:t>
      </w:r>
      <w:r w:rsidR="001054AA" w:rsidRPr="0028429E">
        <w:rPr>
          <w:sz w:val="18"/>
          <w:szCs w:val="18"/>
          <w:lang w:val="en-US" w:eastAsia="en-GB"/>
        </w:rPr>
        <w:t>C-</w:t>
      </w:r>
      <w:r w:rsidR="001054AA" w:rsidRPr="0028429E">
        <w:rPr>
          <w:sz w:val="18"/>
          <w:szCs w:val="18"/>
          <w:vertAlign w:val="superscript"/>
          <w:lang w:val="en-US" w:eastAsia="en-GB"/>
        </w:rPr>
        <w:t>13</w:t>
      </w:r>
      <w:r w:rsidR="001054AA" w:rsidRPr="0028429E">
        <w:rPr>
          <w:sz w:val="18"/>
          <w:szCs w:val="18"/>
          <w:lang w:val="en-US" w:eastAsia="en-GB"/>
        </w:rPr>
        <w:t xml:space="preserve">C PDSD experiments of TDP-13 (in brown) (A), TDP-11(in orange) (B), and TDP-10  (in pink) (C) amyloid aggregates. The data were recorded at a </w:t>
      </w:r>
      <w:r w:rsidR="001054AA" w:rsidRPr="0028429E">
        <w:rPr>
          <w:sz w:val="18"/>
          <w:szCs w:val="18"/>
          <w:vertAlign w:val="superscript"/>
          <w:lang w:val="en-US" w:eastAsia="en-GB"/>
        </w:rPr>
        <w:t>1</w:t>
      </w:r>
      <w:r w:rsidR="001054AA" w:rsidRPr="0028429E">
        <w:rPr>
          <w:sz w:val="18"/>
          <w:szCs w:val="18"/>
          <w:lang w:val="en-US" w:eastAsia="en-GB"/>
        </w:rPr>
        <w:t>H frequency of 800 MHz</w:t>
      </w:r>
      <w:r w:rsidR="0028429E">
        <w:rPr>
          <w:sz w:val="18"/>
          <w:szCs w:val="18"/>
          <w:lang w:val="en-US" w:eastAsia="en-GB"/>
        </w:rPr>
        <w:t xml:space="preserve"> </w:t>
      </w:r>
      <w:r w:rsidR="004C6248">
        <w:rPr>
          <w:sz w:val="18"/>
          <w:szCs w:val="18"/>
          <w:highlight w:val="yellow"/>
          <w:lang w:val="en-US" w:eastAsia="en-GB"/>
        </w:rPr>
        <w:t>and 600MH</w:t>
      </w:r>
      <w:r w:rsidR="0028429E" w:rsidRPr="0028429E">
        <w:rPr>
          <w:sz w:val="18"/>
          <w:szCs w:val="18"/>
          <w:highlight w:val="yellow"/>
          <w:lang w:val="en-US" w:eastAsia="en-GB"/>
        </w:rPr>
        <w:t>z at</w:t>
      </w:r>
      <w:r w:rsidR="001054AA" w:rsidRPr="0028429E">
        <w:rPr>
          <w:sz w:val="18"/>
          <w:szCs w:val="18"/>
          <w:lang w:val="en-US" w:eastAsia="en-GB"/>
        </w:rPr>
        <w:t xml:space="preserve"> 11 kHz MAS at 278 K, using a mixing time of 50 ms to reveal intra-residue correlations.</w:t>
      </w:r>
    </w:p>
    <w:p w14:paraId="03B83803" w14:textId="77777777" w:rsidR="001054AA" w:rsidRPr="0028429E" w:rsidRDefault="001054AA">
      <w:pPr>
        <w:rPr>
          <w:lang w:val="en-US"/>
        </w:rPr>
      </w:pPr>
    </w:p>
    <w:sectPr w:rsidR="001054AA" w:rsidRPr="0028429E" w:rsidSect="00B311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4AA"/>
    <w:rsid w:val="00024B47"/>
    <w:rsid w:val="001054AA"/>
    <w:rsid w:val="0028429E"/>
    <w:rsid w:val="004C6248"/>
    <w:rsid w:val="005265D3"/>
    <w:rsid w:val="00586F8C"/>
    <w:rsid w:val="0082178C"/>
    <w:rsid w:val="00960650"/>
    <w:rsid w:val="009E2451"/>
    <w:rsid w:val="00AA5FCF"/>
    <w:rsid w:val="00B311D6"/>
    <w:rsid w:val="00D269A5"/>
    <w:rsid w:val="00F4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D0F22B"/>
  <w14:defaultImageDpi w14:val="300"/>
  <w15:docId w15:val="{3C01F933-A3EB-3046-BE80-DB733085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05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4AA"/>
    <w:pPr>
      <w:spacing w:before="120" w:after="240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4AA"/>
    <w:rPr>
      <w:rFonts w:ascii="Times New Roman" w:eastAsiaTheme="minorHAnsi" w:hAnsi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4AA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024B47"/>
    <w:pPr>
      <w:suppressLineNumbers/>
      <w:spacing w:before="240" w:after="360"/>
      <w:jc w:val="center"/>
    </w:pPr>
    <w:rPr>
      <w:rFonts w:ascii="Times New Roman" w:eastAsiaTheme="minorHAnsi" w:hAnsi="Times New Roman" w:cs="Times New Roman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024B47"/>
    <w:rPr>
      <w:rFonts w:ascii="Times New Roman" w:eastAsiaTheme="minorHAnsi" w:hAnsi="Times New Roman" w:cs="Times New Roman"/>
      <w:b/>
      <w:sz w:val="32"/>
      <w:szCs w:val="32"/>
      <w:lang w:val="en-US" w:eastAsia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024B47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B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4B47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157</Words>
  <Characters>897</Characters>
  <Application>Microsoft Office Word</Application>
  <DocSecurity>0</DocSecurity>
  <Lines>7</Lines>
  <Paragraphs>2</Paragraphs>
  <ScaleCrop>false</ScaleCrop>
  <Company>CNRS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Loquet</dc:creator>
  <cp:keywords/>
  <dc:description/>
  <cp:lastModifiedBy>jayakrishna shenoy</cp:lastModifiedBy>
  <cp:revision>5</cp:revision>
  <dcterms:created xsi:type="dcterms:W3CDTF">2023-02-09T15:13:00Z</dcterms:created>
  <dcterms:modified xsi:type="dcterms:W3CDTF">2023-03-12T20:43:00Z</dcterms:modified>
</cp:coreProperties>
</file>