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C5520" w14:textId="7F7191F4" w:rsidR="00F45385" w:rsidRDefault="00000000"/>
    <w:p w14:paraId="6F44D386" w14:textId="77777777" w:rsidR="00186FD7" w:rsidRDefault="00186FD7" w:rsidP="00186FD7">
      <w:pPr>
        <w:spacing w:line="360" w:lineRule="auto"/>
        <w:jc w:val="center"/>
        <w:rPr>
          <w:b/>
          <w:bCs/>
          <w:sz w:val="32"/>
          <w:szCs w:val="32"/>
        </w:rPr>
      </w:pPr>
      <w:r w:rsidRPr="0086524A">
        <w:rPr>
          <w:b/>
          <w:bCs/>
          <w:sz w:val="32"/>
          <w:szCs w:val="32"/>
        </w:rPr>
        <w:t xml:space="preserve">Formulation </w:t>
      </w:r>
      <w:r>
        <w:rPr>
          <w:b/>
          <w:bCs/>
          <w:sz w:val="32"/>
          <w:szCs w:val="32"/>
        </w:rPr>
        <w:t xml:space="preserve">and validation </w:t>
      </w:r>
      <w:r w:rsidRPr="0086524A">
        <w:rPr>
          <w:b/>
          <w:bCs/>
          <w:sz w:val="32"/>
          <w:szCs w:val="32"/>
        </w:rPr>
        <w:t>of a baseline prognostic score for osteosarcoma treated uniformly with a non-high dose methotrexate-based protocol from a low middle income healthcare setting: A single centre analysis of 594 patients</w:t>
      </w:r>
    </w:p>
    <w:p w14:paraId="42F94124" w14:textId="77777777" w:rsidR="00186FD7" w:rsidRDefault="00186FD7"/>
    <w:p w14:paraId="1CCE0A6F" w14:textId="0F86DDEB" w:rsidR="00186FD7" w:rsidRDefault="00186FD7" w:rsidP="00186FD7">
      <w:pPr>
        <w:jc w:val="center"/>
        <w:rPr>
          <w:b/>
          <w:bCs/>
          <w:lang w:val="en-GB"/>
        </w:rPr>
      </w:pPr>
      <w:r w:rsidRPr="00872177">
        <w:rPr>
          <w:b/>
          <w:bCs/>
          <w:lang w:val="en-GB"/>
        </w:rPr>
        <w:t>Supplementary Appendix</w:t>
      </w:r>
    </w:p>
    <w:p w14:paraId="43FC2982" w14:textId="53538ADB" w:rsidR="003125B5" w:rsidRDefault="003125B5" w:rsidP="00186FD7">
      <w:pPr>
        <w:jc w:val="center"/>
        <w:rPr>
          <w:b/>
          <w:bCs/>
          <w:lang w:val="en-GB"/>
        </w:rPr>
      </w:pPr>
    </w:p>
    <w:p w14:paraId="414E77E2" w14:textId="5B275D37" w:rsidR="003125B5" w:rsidRPr="003125B5" w:rsidRDefault="003125B5" w:rsidP="003125B5">
      <w:pPr>
        <w:jc w:val="both"/>
        <w:rPr>
          <w:b/>
          <w:bCs/>
          <w:sz w:val="24"/>
          <w:szCs w:val="24"/>
        </w:rPr>
      </w:pPr>
      <w:r w:rsidRPr="003125B5">
        <w:rPr>
          <w:b/>
          <w:bCs/>
          <w:sz w:val="24"/>
          <w:szCs w:val="24"/>
          <w:lang w:val="en-GB"/>
        </w:rPr>
        <w:t xml:space="preserve">Supplementary Table S1: </w:t>
      </w:r>
      <w:r w:rsidRPr="003125B5">
        <w:rPr>
          <w:sz w:val="24"/>
          <w:szCs w:val="24"/>
        </w:rPr>
        <w:t xml:space="preserve">Event free survival and overall survival outcomes according to prognostic risk categories in derivation, </w:t>
      </w:r>
      <w:r w:rsidR="00A6195C" w:rsidRPr="003125B5">
        <w:rPr>
          <w:sz w:val="24"/>
          <w:szCs w:val="24"/>
        </w:rPr>
        <w:t>validation,</w:t>
      </w:r>
      <w:r w:rsidRPr="003125B5">
        <w:rPr>
          <w:sz w:val="24"/>
          <w:szCs w:val="24"/>
        </w:rPr>
        <w:t xml:space="preserve"> and whole cohort</w:t>
      </w:r>
    </w:p>
    <w:p w14:paraId="283E1078" w14:textId="0E78A42C" w:rsidR="003125B5" w:rsidRPr="003125B5" w:rsidRDefault="003125B5" w:rsidP="003125B5">
      <w:pPr>
        <w:jc w:val="both"/>
        <w:rPr>
          <w:b/>
          <w:bCs/>
          <w:sz w:val="24"/>
          <w:szCs w:val="24"/>
          <w:lang w:val="en-GB"/>
        </w:rPr>
      </w:pPr>
      <w:r w:rsidRPr="003125B5">
        <w:rPr>
          <w:b/>
          <w:bCs/>
          <w:sz w:val="24"/>
          <w:szCs w:val="24"/>
          <w:lang w:val="en-GB"/>
        </w:rPr>
        <w:t xml:space="preserve">Supplementary Figure S1: </w:t>
      </w:r>
      <w:r w:rsidRPr="003125B5">
        <w:rPr>
          <w:sz w:val="24"/>
          <w:szCs w:val="24"/>
          <w:lang w:val="en-GB"/>
        </w:rPr>
        <w:t>Workflow of the study</w:t>
      </w:r>
    </w:p>
    <w:p w14:paraId="19F2FA65" w14:textId="1509B722" w:rsidR="003125B5" w:rsidRPr="003125B5" w:rsidRDefault="003125B5" w:rsidP="003125B5">
      <w:pPr>
        <w:jc w:val="both"/>
        <w:rPr>
          <w:sz w:val="24"/>
          <w:szCs w:val="24"/>
        </w:rPr>
      </w:pPr>
      <w:r w:rsidRPr="003125B5">
        <w:rPr>
          <w:b/>
          <w:bCs/>
          <w:sz w:val="24"/>
          <w:szCs w:val="24"/>
          <w:lang w:val="en-GB"/>
        </w:rPr>
        <w:t xml:space="preserve">Supplementary Figure S2: </w:t>
      </w:r>
      <w:r w:rsidRPr="003125B5">
        <w:rPr>
          <w:sz w:val="24"/>
          <w:szCs w:val="24"/>
        </w:rPr>
        <w:t>Predictive ability of the prognostic score on overall survival</w:t>
      </w:r>
    </w:p>
    <w:p w14:paraId="61473C5D" w14:textId="30C343E8" w:rsidR="003125B5" w:rsidRPr="003125B5" w:rsidRDefault="003125B5" w:rsidP="003125B5">
      <w:pPr>
        <w:jc w:val="both"/>
        <w:rPr>
          <w:b/>
          <w:bCs/>
          <w:sz w:val="24"/>
          <w:szCs w:val="24"/>
          <w:lang w:val="en-GB"/>
        </w:rPr>
      </w:pPr>
      <w:r w:rsidRPr="003125B5">
        <w:rPr>
          <w:b/>
          <w:bCs/>
          <w:sz w:val="24"/>
          <w:szCs w:val="24"/>
        </w:rPr>
        <w:t xml:space="preserve">Supplementary Figure S3: </w:t>
      </w:r>
      <w:r w:rsidRPr="003125B5">
        <w:rPr>
          <w:sz w:val="24"/>
          <w:szCs w:val="24"/>
        </w:rPr>
        <w:t>Impact of burden of metastases on survival outcome</w:t>
      </w:r>
    </w:p>
    <w:p w14:paraId="2772FEFF" w14:textId="77777777" w:rsidR="00186FD7" w:rsidRPr="00872177" w:rsidRDefault="00186FD7" w:rsidP="00186FD7">
      <w:pPr>
        <w:jc w:val="center"/>
        <w:rPr>
          <w:b/>
          <w:bCs/>
          <w:u w:val="single"/>
          <w:lang w:val="en-GB"/>
        </w:rPr>
      </w:pPr>
    </w:p>
    <w:p w14:paraId="6D662B55" w14:textId="77777777" w:rsidR="00186FD7" w:rsidRPr="00872177" w:rsidRDefault="00186FD7" w:rsidP="00186FD7">
      <w:pPr>
        <w:jc w:val="center"/>
        <w:rPr>
          <w:b/>
          <w:bCs/>
          <w:lang w:val="en-GB"/>
        </w:rPr>
      </w:pPr>
    </w:p>
    <w:p w14:paraId="26CAFCFC" w14:textId="77777777" w:rsidR="00186FD7" w:rsidRPr="00872177" w:rsidRDefault="00186FD7" w:rsidP="00186FD7">
      <w:pPr>
        <w:rPr>
          <w:b/>
          <w:bCs/>
          <w:lang w:val="en-GB"/>
        </w:rPr>
      </w:pPr>
    </w:p>
    <w:p w14:paraId="54581F0B" w14:textId="77777777" w:rsidR="00186FD7" w:rsidRPr="00872177" w:rsidRDefault="00186FD7" w:rsidP="00186FD7">
      <w:pPr>
        <w:jc w:val="center"/>
        <w:rPr>
          <w:b/>
          <w:bCs/>
          <w:lang w:val="en-GB"/>
        </w:rPr>
      </w:pPr>
    </w:p>
    <w:p w14:paraId="53ABDE7C" w14:textId="77777777" w:rsidR="00186FD7" w:rsidRPr="00872177" w:rsidRDefault="00186FD7" w:rsidP="00186FD7">
      <w:pPr>
        <w:jc w:val="center"/>
        <w:rPr>
          <w:b/>
          <w:bCs/>
          <w:lang w:val="en-GB"/>
        </w:rPr>
      </w:pPr>
    </w:p>
    <w:p w14:paraId="4CC860FC" w14:textId="73D6334D" w:rsidR="00DF3D8B" w:rsidRDefault="00DF3D8B"/>
    <w:p w14:paraId="7B7AF3E0" w14:textId="77777777" w:rsidR="00186FD7" w:rsidRDefault="00186FD7"/>
    <w:p w14:paraId="72FC692D" w14:textId="77777777" w:rsidR="003125B5" w:rsidRDefault="003125B5">
      <w:pPr>
        <w:sectPr w:rsidR="003125B5" w:rsidSect="003125B5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43E4D167" w14:textId="5BDF27ED" w:rsidR="00DF3D8B" w:rsidRDefault="00DF3D8B" w:rsidP="003125B5">
      <w:pPr>
        <w:spacing w:line="240" w:lineRule="auto"/>
        <w:rPr>
          <w:b/>
          <w:bCs/>
          <w:sz w:val="24"/>
          <w:szCs w:val="24"/>
        </w:rPr>
      </w:pPr>
      <w:r w:rsidRPr="00E51BA7">
        <w:rPr>
          <w:b/>
          <w:bCs/>
          <w:sz w:val="24"/>
          <w:szCs w:val="24"/>
        </w:rPr>
        <w:lastRenderedPageBreak/>
        <w:t xml:space="preserve">Table </w:t>
      </w:r>
      <w:r>
        <w:rPr>
          <w:b/>
          <w:bCs/>
          <w:sz w:val="24"/>
          <w:szCs w:val="24"/>
        </w:rPr>
        <w:t>S</w:t>
      </w:r>
      <w:r w:rsidR="00B52ABE">
        <w:rPr>
          <w:b/>
          <w:bCs/>
          <w:sz w:val="24"/>
          <w:szCs w:val="24"/>
        </w:rPr>
        <w:t>1</w:t>
      </w:r>
      <w:r w:rsidRPr="00E51BA7">
        <w:rPr>
          <w:b/>
          <w:bCs/>
          <w:sz w:val="24"/>
          <w:szCs w:val="24"/>
        </w:rPr>
        <w:t>: Event free survival and overall survival outcomes according to prognostic risk categories in derivation, validation and whole cohort</w:t>
      </w:r>
    </w:p>
    <w:p w14:paraId="1B0B906F" w14:textId="77777777" w:rsidR="003125B5" w:rsidRPr="00E51BA7" w:rsidRDefault="003125B5" w:rsidP="003125B5">
      <w:pPr>
        <w:spacing w:line="240" w:lineRule="auto"/>
        <w:rPr>
          <w:b/>
          <w:bCs/>
          <w:sz w:val="24"/>
          <w:szCs w:val="24"/>
        </w:rPr>
      </w:pPr>
    </w:p>
    <w:tbl>
      <w:tblPr>
        <w:tblStyle w:val="PlainTable2"/>
        <w:tblW w:w="5550" w:type="pct"/>
        <w:tblInd w:w="-993" w:type="dxa"/>
        <w:tblLook w:val="04A0" w:firstRow="1" w:lastRow="0" w:firstColumn="1" w:lastColumn="0" w:noHBand="0" w:noVBand="1"/>
      </w:tblPr>
      <w:tblGrid>
        <w:gridCol w:w="2941"/>
        <w:gridCol w:w="1116"/>
        <w:gridCol w:w="1072"/>
        <w:gridCol w:w="998"/>
        <w:gridCol w:w="1001"/>
        <w:gridCol w:w="1116"/>
        <w:gridCol w:w="1072"/>
        <w:gridCol w:w="998"/>
        <w:gridCol w:w="998"/>
        <w:gridCol w:w="1116"/>
        <w:gridCol w:w="1072"/>
        <w:gridCol w:w="998"/>
        <w:gridCol w:w="998"/>
      </w:tblGrid>
      <w:tr w:rsidR="00DF3D8B" w:rsidRPr="00DF3D8B" w14:paraId="243EAB6C" w14:textId="77777777" w:rsidTr="003125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Merge w:val="restart"/>
            <w:vAlign w:val="center"/>
          </w:tcPr>
          <w:p w14:paraId="5170876F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Risk categories</w:t>
            </w:r>
          </w:p>
        </w:tc>
        <w:tc>
          <w:tcPr>
            <w:tcW w:w="1351" w:type="pct"/>
            <w:gridSpan w:val="4"/>
            <w:vAlign w:val="center"/>
          </w:tcPr>
          <w:p w14:paraId="6508976C" w14:textId="77777777" w:rsidR="00DF3D8B" w:rsidRPr="00DF3D8B" w:rsidRDefault="00DF3D8B" w:rsidP="003125B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Whole cohort (n=446)</w:t>
            </w:r>
          </w:p>
        </w:tc>
        <w:tc>
          <w:tcPr>
            <w:tcW w:w="1350" w:type="pct"/>
            <w:gridSpan w:val="4"/>
            <w:vAlign w:val="center"/>
          </w:tcPr>
          <w:p w14:paraId="15A5EBDE" w14:textId="77777777" w:rsidR="00DF3D8B" w:rsidRPr="00DF3D8B" w:rsidRDefault="00DF3D8B" w:rsidP="003125B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Derivation cohort (n=299)</w:t>
            </w:r>
          </w:p>
        </w:tc>
        <w:tc>
          <w:tcPr>
            <w:tcW w:w="1350" w:type="pct"/>
            <w:gridSpan w:val="4"/>
            <w:vAlign w:val="center"/>
          </w:tcPr>
          <w:p w14:paraId="19567121" w14:textId="77777777" w:rsidR="00DF3D8B" w:rsidRPr="00DF3D8B" w:rsidRDefault="00DF3D8B" w:rsidP="003125B5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Validation cohort (n=147)</w:t>
            </w:r>
          </w:p>
        </w:tc>
      </w:tr>
      <w:tr w:rsidR="00DF3D8B" w:rsidRPr="00DF3D8B" w14:paraId="37B6CC39" w14:textId="77777777" w:rsidTr="00312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Merge/>
            <w:vAlign w:val="center"/>
          </w:tcPr>
          <w:p w14:paraId="13431D10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vAlign w:val="center"/>
          </w:tcPr>
          <w:p w14:paraId="10BEA597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Number*</w:t>
            </w:r>
          </w:p>
        </w:tc>
        <w:tc>
          <w:tcPr>
            <w:tcW w:w="346" w:type="pct"/>
            <w:vAlign w:val="center"/>
          </w:tcPr>
          <w:p w14:paraId="7CE33CDC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Median event free survival (months)</w:t>
            </w:r>
          </w:p>
        </w:tc>
        <w:tc>
          <w:tcPr>
            <w:tcW w:w="322" w:type="pct"/>
            <w:vAlign w:val="center"/>
          </w:tcPr>
          <w:p w14:paraId="34A2CE2A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18-month event free survival</w:t>
            </w:r>
          </w:p>
        </w:tc>
        <w:tc>
          <w:tcPr>
            <w:tcW w:w="323" w:type="pct"/>
            <w:vAlign w:val="center"/>
          </w:tcPr>
          <w:p w14:paraId="64CC000A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36-month event free survival</w:t>
            </w:r>
          </w:p>
        </w:tc>
        <w:tc>
          <w:tcPr>
            <w:tcW w:w="360" w:type="pct"/>
            <w:vAlign w:val="center"/>
          </w:tcPr>
          <w:p w14:paraId="012A7739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Number*</w:t>
            </w:r>
          </w:p>
        </w:tc>
        <w:tc>
          <w:tcPr>
            <w:tcW w:w="346" w:type="pct"/>
            <w:vAlign w:val="center"/>
          </w:tcPr>
          <w:p w14:paraId="552C7549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Median event free survival (months)</w:t>
            </w:r>
          </w:p>
        </w:tc>
        <w:tc>
          <w:tcPr>
            <w:tcW w:w="322" w:type="pct"/>
            <w:vAlign w:val="center"/>
          </w:tcPr>
          <w:p w14:paraId="259C5879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18-month event free survival</w:t>
            </w:r>
          </w:p>
        </w:tc>
        <w:tc>
          <w:tcPr>
            <w:tcW w:w="322" w:type="pct"/>
            <w:vAlign w:val="center"/>
          </w:tcPr>
          <w:p w14:paraId="79FAEEEC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36-month event free survival</w:t>
            </w:r>
          </w:p>
        </w:tc>
        <w:tc>
          <w:tcPr>
            <w:tcW w:w="360" w:type="pct"/>
            <w:vAlign w:val="center"/>
          </w:tcPr>
          <w:p w14:paraId="2AACD330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Number*</w:t>
            </w:r>
          </w:p>
        </w:tc>
        <w:tc>
          <w:tcPr>
            <w:tcW w:w="346" w:type="pct"/>
            <w:vAlign w:val="center"/>
          </w:tcPr>
          <w:p w14:paraId="432EB13A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Median event free survival (months)</w:t>
            </w:r>
          </w:p>
        </w:tc>
        <w:tc>
          <w:tcPr>
            <w:tcW w:w="322" w:type="pct"/>
            <w:vAlign w:val="center"/>
          </w:tcPr>
          <w:p w14:paraId="7151E146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18-month event free survival</w:t>
            </w:r>
          </w:p>
        </w:tc>
        <w:tc>
          <w:tcPr>
            <w:tcW w:w="322" w:type="pct"/>
            <w:vAlign w:val="center"/>
          </w:tcPr>
          <w:p w14:paraId="6D3C2726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36-month event free survival</w:t>
            </w:r>
          </w:p>
        </w:tc>
      </w:tr>
      <w:tr w:rsidR="00DF3D8B" w:rsidRPr="00DF3D8B" w14:paraId="675D9258" w14:textId="77777777" w:rsidTr="003125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Align w:val="center"/>
          </w:tcPr>
          <w:p w14:paraId="7AC58470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Overall</w:t>
            </w:r>
          </w:p>
        </w:tc>
        <w:tc>
          <w:tcPr>
            <w:tcW w:w="360" w:type="pct"/>
            <w:vAlign w:val="center"/>
          </w:tcPr>
          <w:p w14:paraId="0676C5CF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446</w:t>
            </w:r>
          </w:p>
        </w:tc>
        <w:tc>
          <w:tcPr>
            <w:tcW w:w="346" w:type="pct"/>
            <w:vAlign w:val="center"/>
          </w:tcPr>
          <w:p w14:paraId="158F5943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18.6 (15.4-21.8)</w:t>
            </w:r>
          </w:p>
        </w:tc>
        <w:tc>
          <w:tcPr>
            <w:tcW w:w="322" w:type="pct"/>
            <w:vAlign w:val="center"/>
          </w:tcPr>
          <w:p w14:paraId="3760289F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48±2%</w:t>
            </w:r>
          </w:p>
        </w:tc>
        <w:tc>
          <w:tcPr>
            <w:tcW w:w="323" w:type="pct"/>
            <w:vAlign w:val="center"/>
          </w:tcPr>
          <w:p w14:paraId="7F0327F6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36±2%</w:t>
            </w:r>
          </w:p>
        </w:tc>
        <w:tc>
          <w:tcPr>
            <w:tcW w:w="360" w:type="pct"/>
            <w:vAlign w:val="center"/>
          </w:tcPr>
          <w:p w14:paraId="3720FE28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299</w:t>
            </w:r>
          </w:p>
        </w:tc>
        <w:tc>
          <w:tcPr>
            <w:tcW w:w="346" w:type="pct"/>
            <w:vAlign w:val="center"/>
          </w:tcPr>
          <w:p w14:paraId="07C30CB1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19.6 (14.8-24.3)</w:t>
            </w:r>
          </w:p>
        </w:tc>
        <w:tc>
          <w:tcPr>
            <w:tcW w:w="322" w:type="pct"/>
            <w:vAlign w:val="center"/>
          </w:tcPr>
          <w:p w14:paraId="60CA92B4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48±3%</w:t>
            </w:r>
          </w:p>
        </w:tc>
        <w:tc>
          <w:tcPr>
            <w:tcW w:w="322" w:type="pct"/>
            <w:vAlign w:val="center"/>
          </w:tcPr>
          <w:p w14:paraId="566AEA44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38±3%</w:t>
            </w:r>
          </w:p>
        </w:tc>
        <w:tc>
          <w:tcPr>
            <w:tcW w:w="360" w:type="pct"/>
            <w:vAlign w:val="center"/>
          </w:tcPr>
          <w:p w14:paraId="5EAA1B9A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147</w:t>
            </w:r>
          </w:p>
        </w:tc>
        <w:tc>
          <w:tcPr>
            <w:tcW w:w="346" w:type="pct"/>
            <w:vAlign w:val="center"/>
          </w:tcPr>
          <w:p w14:paraId="3EF1C82C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17.8 (13.8-21.8)</w:t>
            </w:r>
          </w:p>
        </w:tc>
        <w:tc>
          <w:tcPr>
            <w:tcW w:w="322" w:type="pct"/>
            <w:vAlign w:val="center"/>
          </w:tcPr>
          <w:p w14:paraId="5C992908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49±4%</w:t>
            </w:r>
          </w:p>
        </w:tc>
        <w:tc>
          <w:tcPr>
            <w:tcW w:w="322" w:type="pct"/>
            <w:vAlign w:val="center"/>
          </w:tcPr>
          <w:p w14:paraId="7AC80B11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31±4%</w:t>
            </w:r>
          </w:p>
        </w:tc>
      </w:tr>
      <w:tr w:rsidR="00DF3D8B" w:rsidRPr="00DF3D8B" w14:paraId="595766DC" w14:textId="77777777" w:rsidTr="00312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Align w:val="center"/>
          </w:tcPr>
          <w:p w14:paraId="0BC42DE3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Low risk (score 0)</w:t>
            </w:r>
          </w:p>
        </w:tc>
        <w:tc>
          <w:tcPr>
            <w:tcW w:w="360" w:type="pct"/>
            <w:vAlign w:val="center"/>
          </w:tcPr>
          <w:p w14:paraId="002110DF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116</w:t>
            </w:r>
          </w:p>
        </w:tc>
        <w:tc>
          <w:tcPr>
            <w:tcW w:w="346" w:type="pct"/>
            <w:vAlign w:val="center"/>
          </w:tcPr>
          <w:p w14:paraId="0F90DF5B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Estimate not reached</w:t>
            </w:r>
          </w:p>
        </w:tc>
        <w:tc>
          <w:tcPr>
            <w:tcW w:w="322" w:type="pct"/>
            <w:vAlign w:val="center"/>
          </w:tcPr>
          <w:p w14:paraId="43D55D35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75±4%</w:t>
            </w:r>
          </w:p>
        </w:tc>
        <w:tc>
          <w:tcPr>
            <w:tcW w:w="323" w:type="pct"/>
            <w:vAlign w:val="center"/>
          </w:tcPr>
          <w:p w14:paraId="6B659678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60±5%</w:t>
            </w:r>
          </w:p>
        </w:tc>
        <w:tc>
          <w:tcPr>
            <w:tcW w:w="360" w:type="pct"/>
            <w:vAlign w:val="center"/>
          </w:tcPr>
          <w:p w14:paraId="334A724E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85</w:t>
            </w:r>
          </w:p>
        </w:tc>
        <w:tc>
          <w:tcPr>
            <w:tcW w:w="346" w:type="pct"/>
            <w:vAlign w:val="center"/>
          </w:tcPr>
          <w:p w14:paraId="4A0FE5CA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Estimate not reached</w:t>
            </w:r>
          </w:p>
        </w:tc>
        <w:tc>
          <w:tcPr>
            <w:tcW w:w="322" w:type="pct"/>
            <w:vAlign w:val="center"/>
          </w:tcPr>
          <w:p w14:paraId="5EEF4CD9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75±5%</w:t>
            </w:r>
          </w:p>
        </w:tc>
        <w:tc>
          <w:tcPr>
            <w:tcW w:w="322" w:type="pct"/>
            <w:vAlign w:val="center"/>
          </w:tcPr>
          <w:p w14:paraId="1D641233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65±6%</w:t>
            </w:r>
          </w:p>
        </w:tc>
        <w:tc>
          <w:tcPr>
            <w:tcW w:w="360" w:type="pct"/>
            <w:vAlign w:val="center"/>
          </w:tcPr>
          <w:p w14:paraId="231B018D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31</w:t>
            </w:r>
          </w:p>
        </w:tc>
        <w:tc>
          <w:tcPr>
            <w:tcW w:w="346" w:type="pct"/>
            <w:vAlign w:val="center"/>
          </w:tcPr>
          <w:p w14:paraId="5E173B96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26.0 (6.6-45.3)</w:t>
            </w:r>
          </w:p>
        </w:tc>
        <w:tc>
          <w:tcPr>
            <w:tcW w:w="322" w:type="pct"/>
            <w:vAlign w:val="center"/>
          </w:tcPr>
          <w:p w14:paraId="3C55E0A1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74±8%</w:t>
            </w:r>
          </w:p>
        </w:tc>
        <w:tc>
          <w:tcPr>
            <w:tcW w:w="322" w:type="pct"/>
            <w:vAlign w:val="center"/>
          </w:tcPr>
          <w:p w14:paraId="459752FC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49±9%</w:t>
            </w:r>
          </w:p>
        </w:tc>
      </w:tr>
      <w:tr w:rsidR="00DF3D8B" w:rsidRPr="00DF3D8B" w14:paraId="6A7CF9DE" w14:textId="77777777" w:rsidTr="003125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Align w:val="center"/>
          </w:tcPr>
          <w:p w14:paraId="0911F38C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Intermediate risk (score 1,2,3)</w:t>
            </w:r>
          </w:p>
        </w:tc>
        <w:tc>
          <w:tcPr>
            <w:tcW w:w="360" w:type="pct"/>
            <w:vAlign w:val="center"/>
          </w:tcPr>
          <w:p w14:paraId="10B8EB5F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205</w:t>
            </w:r>
          </w:p>
        </w:tc>
        <w:tc>
          <w:tcPr>
            <w:tcW w:w="346" w:type="pct"/>
            <w:vAlign w:val="center"/>
          </w:tcPr>
          <w:p w14:paraId="212A671E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21.5 (16.1-27.0)</w:t>
            </w:r>
          </w:p>
        </w:tc>
        <w:tc>
          <w:tcPr>
            <w:tcW w:w="322" w:type="pct"/>
            <w:vAlign w:val="center"/>
          </w:tcPr>
          <w:p w14:paraId="72C2A7F0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54±4%</w:t>
            </w:r>
          </w:p>
        </w:tc>
        <w:tc>
          <w:tcPr>
            <w:tcW w:w="323" w:type="pct"/>
            <w:vAlign w:val="center"/>
          </w:tcPr>
          <w:p w14:paraId="30B18B50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41±4%</w:t>
            </w:r>
          </w:p>
        </w:tc>
        <w:tc>
          <w:tcPr>
            <w:tcW w:w="360" w:type="pct"/>
            <w:vAlign w:val="center"/>
          </w:tcPr>
          <w:p w14:paraId="263A4FE9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131</w:t>
            </w:r>
          </w:p>
        </w:tc>
        <w:tc>
          <w:tcPr>
            <w:tcW w:w="346" w:type="pct"/>
            <w:vAlign w:val="center"/>
          </w:tcPr>
          <w:p w14:paraId="26185AF0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23.3 (3.0-43.5)</w:t>
            </w:r>
          </w:p>
        </w:tc>
        <w:tc>
          <w:tcPr>
            <w:tcW w:w="322" w:type="pct"/>
            <w:vAlign w:val="center"/>
          </w:tcPr>
          <w:p w14:paraId="0F6572FF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57±5%</w:t>
            </w:r>
          </w:p>
        </w:tc>
        <w:tc>
          <w:tcPr>
            <w:tcW w:w="322" w:type="pct"/>
            <w:vAlign w:val="center"/>
          </w:tcPr>
          <w:p w14:paraId="41F950E4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47±5%</w:t>
            </w:r>
          </w:p>
        </w:tc>
        <w:tc>
          <w:tcPr>
            <w:tcW w:w="360" w:type="pct"/>
            <w:vAlign w:val="center"/>
          </w:tcPr>
          <w:p w14:paraId="14A113C5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74</w:t>
            </w:r>
          </w:p>
        </w:tc>
        <w:tc>
          <w:tcPr>
            <w:tcW w:w="346" w:type="pct"/>
            <w:vAlign w:val="center"/>
          </w:tcPr>
          <w:p w14:paraId="02803759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18.5 (11.5-25.3)</w:t>
            </w:r>
          </w:p>
        </w:tc>
        <w:tc>
          <w:tcPr>
            <w:tcW w:w="322" w:type="pct"/>
            <w:vAlign w:val="center"/>
          </w:tcPr>
          <w:p w14:paraId="0BD80F73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50±6%</w:t>
            </w:r>
          </w:p>
        </w:tc>
        <w:tc>
          <w:tcPr>
            <w:tcW w:w="322" w:type="pct"/>
            <w:vAlign w:val="center"/>
          </w:tcPr>
          <w:p w14:paraId="7AD57882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32±6%</w:t>
            </w:r>
          </w:p>
        </w:tc>
      </w:tr>
      <w:tr w:rsidR="00DF3D8B" w:rsidRPr="00DF3D8B" w14:paraId="624174D3" w14:textId="77777777" w:rsidTr="00312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Align w:val="center"/>
          </w:tcPr>
          <w:p w14:paraId="578AA4DF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High risk (score 4,5)</w:t>
            </w:r>
          </w:p>
        </w:tc>
        <w:tc>
          <w:tcPr>
            <w:tcW w:w="360" w:type="pct"/>
            <w:vAlign w:val="center"/>
          </w:tcPr>
          <w:p w14:paraId="7CE3D613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125</w:t>
            </w:r>
          </w:p>
        </w:tc>
        <w:tc>
          <w:tcPr>
            <w:tcW w:w="346" w:type="pct"/>
            <w:vAlign w:val="center"/>
          </w:tcPr>
          <w:p w14:paraId="4B9899A7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9.6 (6.9-12.2)</w:t>
            </w:r>
          </w:p>
        </w:tc>
        <w:tc>
          <w:tcPr>
            <w:tcW w:w="322" w:type="pct"/>
            <w:vAlign w:val="center"/>
          </w:tcPr>
          <w:p w14:paraId="384B7429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25±4%</w:t>
            </w:r>
          </w:p>
        </w:tc>
        <w:tc>
          <w:tcPr>
            <w:tcW w:w="323" w:type="pct"/>
            <w:vAlign w:val="center"/>
          </w:tcPr>
          <w:p w14:paraId="41B4103A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13±3%</w:t>
            </w:r>
          </w:p>
        </w:tc>
        <w:tc>
          <w:tcPr>
            <w:tcW w:w="360" w:type="pct"/>
            <w:vAlign w:val="center"/>
          </w:tcPr>
          <w:p w14:paraId="33DF57EA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83</w:t>
            </w:r>
          </w:p>
        </w:tc>
        <w:tc>
          <w:tcPr>
            <w:tcW w:w="346" w:type="pct"/>
            <w:vAlign w:val="center"/>
          </w:tcPr>
          <w:p w14:paraId="1A3C737E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8.2 (6.7-9.6)</w:t>
            </w:r>
          </w:p>
        </w:tc>
        <w:tc>
          <w:tcPr>
            <w:tcW w:w="322" w:type="pct"/>
            <w:vAlign w:val="center"/>
          </w:tcPr>
          <w:p w14:paraId="1C276731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23±5%</w:t>
            </w:r>
          </w:p>
        </w:tc>
        <w:tc>
          <w:tcPr>
            <w:tcW w:w="322" w:type="pct"/>
            <w:vAlign w:val="center"/>
          </w:tcPr>
          <w:p w14:paraId="2EAE820B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12±4%</w:t>
            </w:r>
          </w:p>
        </w:tc>
        <w:tc>
          <w:tcPr>
            <w:tcW w:w="360" w:type="pct"/>
            <w:vAlign w:val="center"/>
          </w:tcPr>
          <w:p w14:paraId="77BF9F28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42</w:t>
            </w:r>
          </w:p>
        </w:tc>
        <w:tc>
          <w:tcPr>
            <w:tcW w:w="346" w:type="pct"/>
            <w:vAlign w:val="center"/>
          </w:tcPr>
          <w:p w14:paraId="0D49C675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11.8 (8.1-15.8)</w:t>
            </w:r>
          </w:p>
        </w:tc>
        <w:tc>
          <w:tcPr>
            <w:tcW w:w="322" w:type="pct"/>
            <w:vAlign w:val="center"/>
          </w:tcPr>
          <w:p w14:paraId="624F32F8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29±8%</w:t>
            </w:r>
          </w:p>
        </w:tc>
        <w:tc>
          <w:tcPr>
            <w:tcW w:w="322" w:type="pct"/>
            <w:vAlign w:val="center"/>
          </w:tcPr>
          <w:p w14:paraId="13634457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14±6%</w:t>
            </w:r>
          </w:p>
        </w:tc>
      </w:tr>
      <w:tr w:rsidR="00DF3D8B" w:rsidRPr="00DF3D8B" w14:paraId="576245F5" w14:textId="77777777" w:rsidTr="003125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Align w:val="center"/>
          </w:tcPr>
          <w:p w14:paraId="042BBDD7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vAlign w:val="center"/>
          </w:tcPr>
          <w:p w14:paraId="1D1E85E6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Number*</w:t>
            </w:r>
          </w:p>
        </w:tc>
        <w:tc>
          <w:tcPr>
            <w:tcW w:w="346" w:type="pct"/>
            <w:vAlign w:val="center"/>
          </w:tcPr>
          <w:p w14:paraId="37038326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Median overall survival (months)</w:t>
            </w:r>
          </w:p>
        </w:tc>
        <w:tc>
          <w:tcPr>
            <w:tcW w:w="322" w:type="pct"/>
            <w:vAlign w:val="center"/>
          </w:tcPr>
          <w:p w14:paraId="1CCB244B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18-month survival</w:t>
            </w:r>
          </w:p>
        </w:tc>
        <w:tc>
          <w:tcPr>
            <w:tcW w:w="323" w:type="pct"/>
            <w:vAlign w:val="center"/>
          </w:tcPr>
          <w:p w14:paraId="383C22C5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36-month survival</w:t>
            </w:r>
          </w:p>
        </w:tc>
        <w:tc>
          <w:tcPr>
            <w:tcW w:w="360" w:type="pct"/>
            <w:vAlign w:val="center"/>
          </w:tcPr>
          <w:p w14:paraId="760EAB04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Number*</w:t>
            </w:r>
          </w:p>
        </w:tc>
        <w:tc>
          <w:tcPr>
            <w:tcW w:w="346" w:type="pct"/>
            <w:vAlign w:val="center"/>
          </w:tcPr>
          <w:p w14:paraId="2BC3B549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Median overall survival (months)</w:t>
            </w:r>
          </w:p>
        </w:tc>
        <w:tc>
          <w:tcPr>
            <w:tcW w:w="322" w:type="pct"/>
            <w:vAlign w:val="center"/>
          </w:tcPr>
          <w:p w14:paraId="0E0E7CAD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18-month survival</w:t>
            </w:r>
          </w:p>
        </w:tc>
        <w:tc>
          <w:tcPr>
            <w:tcW w:w="322" w:type="pct"/>
            <w:vAlign w:val="center"/>
          </w:tcPr>
          <w:p w14:paraId="5CD1B371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36-month survival</w:t>
            </w:r>
          </w:p>
        </w:tc>
        <w:tc>
          <w:tcPr>
            <w:tcW w:w="360" w:type="pct"/>
            <w:vAlign w:val="center"/>
          </w:tcPr>
          <w:p w14:paraId="73DDD189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Number*</w:t>
            </w:r>
          </w:p>
        </w:tc>
        <w:tc>
          <w:tcPr>
            <w:tcW w:w="346" w:type="pct"/>
            <w:vAlign w:val="center"/>
          </w:tcPr>
          <w:p w14:paraId="1FBC6CA8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Median overall survival (months)</w:t>
            </w:r>
          </w:p>
        </w:tc>
        <w:tc>
          <w:tcPr>
            <w:tcW w:w="322" w:type="pct"/>
            <w:vAlign w:val="center"/>
          </w:tcPr>
          <w:p w14:paraId="1AA1347D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18-month survival</w:t>
            </w:r>
          </w:p>
        </w:tc>
        <w:tc>
          <w:tcPr>
            <w:tcW w:w="322" w:type="pct"/>
            <w:vAlign w:val="center"/>
          </w:tcPr>
          <w:p w14:paraId="35674F84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b/>
                <w:bCs/>
                <w:sz w:val="22"/>
                <w:szCs w:val="22"/>
              </w:rPr>
              <w:t>36-month survival</w:t>
            </w:r>
          </w:p>
        </w:tc>
      </w:tr>
      <w:tr w:rsidR="00DF3D8B" w:rsidRPr="00DF3D8B" w14:paraId="3B27C41A" w14:textId="77777777" w:rsidTr="00312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Align w:val="center"/>
          </w:tcPr>
          <w:p w14:paraId="70229B06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Overall</w:t>
            </w:r>
          </w:p>
        </w:tc>
        <w:tc>
          <w:tcPr>
            <w:tcW w:w="360" w:type="pct"/>
            <w:vAlign w:val="center"/>
          </w:tcPr>
          <w:p w14:paraId="7AA218E8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446</w:t>
            </w:r>
          </w:p>
        </w:tc>
        <w:tc>
          <w:tcPr>
            <w:tcW w:w="346" w:type="pct"/>
            <w:vAlign w:val="center"/>
          </w:tcPr>
          <w:p w14:paraId="37A2737E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86.6 (Estimate not reached)</w:t>
            </w:r>
          </w:p>
        </w:tc>
        <w:tc>
          <w:tcPr>
            <w:tcW w:w="322" w:type="pct"/>
            <w:vAlign w:val="center"/>
          </w:tcPr>
          <w:p w14:paraId="6E35824F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73±2%</w:t>
            </w:r>
          </w:p>
        </w:tc>
        <w:tc>
          <w:tcPr>
            <w:tcW w:w="323" w:type="pct"/>
            <w:vAlign w:val="center"/>
          </w:tcPr>
          <w:p w14:paraId="15D5133A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60±2%</w:t>
            </w:r>
          </w:p>
        </w:tc>
        <w:tc>
          <w:tcPr>
            <w:tcW w:w="360" w:type="pct"/>
            <w:vAlign w:val="center"/>
          </w:tcPr>
          <w:p w14:paraId="2A4F5BBB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299</w:t>
            </w:r>
          </w:p>
        </w:tc>
        <w:tc>
          <w:tcPr>
            <w:tcW w:w="346" w:type="pct"/>
            <w:vAlign w:val="center"/>
          </w:tcPr>
          <w:p w14:paraId="417EEF99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Estimate not reached</w:t>
            </w:r>
          </w:p>
        </w:tc>
        <w:tc>
          <w:tcPr>
            <w:tcW w:w="322" w:type="pct"/>
            <w:vAlign w:val="center"/>
          </w:tcPr>
          <w:p w14:paraId="3DBA922E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72±3%</w:t>
            </w:r>
          </w:p>
        </w:tc>
        <w:tc>
          <w:tcPr>
            <w:tcW w:w="322" w:type="pct"/>
            <w:vAlign w:val="center"/>
          </w:tcPr>
          <w:p w14:paraId="3986C122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60±3%</w:t>
            </w:r>
          </w:p>
        </w:tc>
        <w:tc>
          <w:tcPr>
            <w:tcW w:w="360" w:type="pct"/>
            <w:vAlign w:val="center"/>
          </w:tcPr>
          <w:p w14:paraId="01AC07B4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147</w:t>
            </w:r>
          </w:p>
        </w:tc>
        <w:tc>
          <w:tcPr>
            <w:tcW w:w="346" w:type="pct"/>
            <w:vAlign w:val="center"/>
          </w:tcPr>
          <w:p w14:paraId="3FB02968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52.6 (31.4-73.7)</w:t>
            </w:r>
          </w:p>
        </w:tc>
        <w:tc>
          <w:tcPr>
            <w:tcW w:w="322" w:type="pct"/>
            <w:vAlign w:val="center"/>
          </w:tcPr>
          <w:p w14:paraId="64314A48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75±3%</w:t>
            </w:r>
          </w:p>
        </w:tc>
        <w:tc>
          <w:tcPr>
            <w:tcW w:w="322" w:type="pct"/>
            <w:vAlign w:val="center"/>
          </w:tcPr>
          <w:p w14:paraId="51FB9248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61±4%</w:t>
            </w:r>
          </w:p>
        </w:tc>
      </w:tr>
      <w:tr w:rsidR="00DF3D8B" w:rsidRPr="00DF3D8B" w14:paraId="77AEFD90" w14:textId="77777777" w:rsidTr="003125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Align w:val="center"/>
          </w:tcPr>
          <w:p w14:paraId="7F9ADB27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Low risk (score 0)</w:t>
            </w:r>
          </w:p>
        </w:tc>
        <w:tc>
          <w:tcPr>
            <w:tcW w:w="360" w:type="pct"/>
            <w:vAlign w:val="center"/>
          </w:tcPr>
          <w:p w14:paraId="72D672D5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116</w:t>
            </w:r>
          </w:p>
        </w:tc>
        <w:tc>
          <w:tcPr>
            <w:tcW w:w="346" w:type="pct"/>
            <w:vAlign w:val="center"/>
          </w:tcPr>
          <w:p w14:paraId="28004566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Estimate not reached</w:t>
            </w:r>
          </w:p>
        </w:tc>
        <w:tc>
          <w:tcPr>
            <w:tcW w:w="322" w:type="pct"/>
            <w:vAlign w:val="center"/>
          </w:tcPr>
          <w:p w14:paraId="2D7322D0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92±3%</w:t>
            </w:r>
          </w:p>
        </w:tc>
        <w:tc>
          <w:tcPr>
            <w:tcW w:w="323" w:type="pct"/>
            <w:vAlign w:val="center"/>
          </w:tcPr>
          <w:p w14:paraId="350B475A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79±4%</w:t>
            </w:r>
          </w:p>
        </w:tc>
        <w:tc>
          <w:tcPr>
            <w:tcW w:w="360" w:type="pct"/>
            <w:vAlign w:val="center"/>
          </w:tcPr>
          <w:p w14:paraId="0CBD0D9B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85</w:t>
            </w:r>
          </w:p>
        </w:tc>
        <w:tc>
          <w:tcPr>
            <w:tcW w:w="346" w:type="pct"/>
            <w:vAlign w:val="center"/>
          </w:tcPr>
          <w:p w14:paraId="4BBFB8D7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Estimate not reached</w:t>
            </w:r>
          </w:p>
        </w:tc>
        <w:tc>
          <w:tcPr>
            <w:tcW w:w="322" w:type="pct"/>
            <w:vAlign w:val="center"/>
          </w:tcPr>
          <w:p w14:paraId="1522FF87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93±3%</w:t>
            </w:r>
          </w:p>
        </w:tc>
        <w:tc>
          <w:tcPr>
            <w:tcW w:w="322" w:type="pct"/>
            <w:vAlign w:val="center"/>
          </w:tcPr>
          <w:p w14:paraId="7AB19556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82±5%</w:t>
            </w:r>
          </w:p>
        </w:tc>
        <w:tc>
          <w:tcPr>
            <w:tcW w:w="360" w:type="pct"/>
            <w:vAlign w:val="center"/>
          </w:tcPr>
          <w:p w14:paraId="09BB0665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31</w:t>
            </w:r>
          </w:p>
        </w:tc>
        <w:tc>
          <w:tcPr>
            <w:tcW w:w="346" w:type="pct"/>
            <w:vAlign w:val="center"/>
          </w:tcPr>
          <w:p w14:paraId="66F117CC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66.0 (Estimate not reached)</w:t>
            </w:r>
          </w:p>
        </w:tc>
        <w:tc>
          <w:tcPr>
            <w:tcW w:w="322" w:type="pct"/>
            <w:vAlign w:val="center"/>
          </w:tcPr>
          <w:p w14:paraId="4A2AD569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90±5%</w:t>
            </w:r>
          </w:p>
        </w:tc>
        <w:tc>
          <w:tcPr>
            <w:tcW w:w="322" w:type="pct"/>
            <w:vAlign w:val="center"/>
          </w:tcPr>
          <w:p w14:paraId="6849F0FD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70±9%</w:t>
            </w:r>
          </w:p>
        </w:tc>
      </w:tr>
      <w:tr w:rsidR="00DF3D8B" w:rsidRPr="00DF3D8B" w14:paraId="65C25757" w14:textId="77777777" w:rsidTr="003125B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Align w:val="center"/>
          </w:tcPr>
          <w:p w14:paraId="0F426D7C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lastRenderedPageBreak/>
              <w:t>Intermediate risk (score 1,2,3)</w:t>
            </w:r>
          </w:p>
        </w:tc>
        <w:tc>
          <w:tcPr>
            <w:tcW w:w="360" w:type="pct"/>
            <w:vAlign w:val="center"/>
          </w:tcPr>
          <w:p w14:paraId="026EDE61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205</w:t>
            </w:r>
          </w:p>
        </w:tc>
        <w:tc>
          <w:tcPr>
            <w:tcW w:w="346" w:type="pct"/>
            <w:vAlign w:val="center"/>
          </w:tcPr>
          <w:p w14:paraId="7255E8C8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Estimate not reached</w:t>
            </w:r>
          </w:p>
        </w:tc>
        <w:tc>
          <w:tcPr>
            <w:tcW w:w="322" w:type="pct"/>
            <w:vAlign w:val="center"/>
          </w:tcPr>
          <w:p w14:paraId="64D02DAD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70±4%</w:t>
            </w:r>
          </w:p>
        </w:tc>
        <w:tc>
          <w:tcPr>
            <w:tcW w:w="323" w:type="pct"/>
            <w:vAlign w:val="center"/>
          </w:tcPr>
          <w:p w14:paraId="217541B5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64±4%</w:t>
            </w:r>
          </w:p>
        </w:tc>
        <w:tc>
          <w:tcPr>
            <w:tcW w:w="360" w:type="pct"/>
            <w:vAlign w:val="center"/>
          </w:tcPr>
          <w:p w14:paraId="2A6679E6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131</w:t>
            </w:r>
          </w:p>
        </w:tc>
        <w:tc>
          <w:tcPr>
            <w:tcW w:w="346" w:type="pct"/>
            <w:vAlign w:val="center"/>
          </w:tcPr>
          <w:p w14:paraId="385F286C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Estimate not reached</w:t>
            </w:r>
          </w:p>
        </w:tc>
        <w:tc>
          <w:tcPr>
            <w:tcW w:w="322" w:type="pct"/>
            <w:vAlign w:val="center"/>
          </w:tcPr>
          <w:p w14:paraId="359E9618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77±4%</w:t>
            </w:r>
          </w:p>
        </w:tc>
        <w:tc>
          <w:tcPr>
            <w:tcW w:w="322" w:type="pct"/>
            <w:vAlign w:val="center"/>
          </w:tcPr>
          <w:p w14:paraId="1FF0EEE9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65±5%</w:t>
            </w:r>
          </w:p>
        </w:tc>
        <w:tc>
          <w:tcPr>
            <w:tcW w:w="360" w:type="pct"/>
            <w:vAlign w:val="center"/>
          </w:tcPr>
          <w:p w14:paraId="790A3277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74</w:t>
            </w:r>
          </w:p>
        </w:tc>
        <w:tc>
          <w:tcPr>
            <w:tcW w:w="346" w:type="pct"/>
            <w:vAlign w:val="center"/>
          </w:tcPr>
          <w:p w14:paraId="173EE68F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53.6 (29.8-77.5)</w:t>
            </w:r>
          </w:p>
        </w:tc>
        <w:tc>
          <w:tcPr>
            <w:tcW w:w="322" w:type="pct"/>
            <w:vAlign w:val="center"/>
          </w:tcPr>
          <w:p w14:paraId="631FC201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79±5%</w:t>
            </w:r>
          </w:p>
        </w:tc>
        <w:tc>
          <w:tcPr>
            <w:tcW w:w="322" w:type="pct"/>
            <w:vAlign w:val="center"/>
          </w:tcPr>
          <w:p w14:paraId="54629A32" w14:textId="77777777" w:rsidR="00DF3D8B" w:rsidRPr="00DF3D8B" w:rsidRDefault="00DF3D8B" w:rsidP="003125B5">
            <w:pPr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63±6%</w:t>
            </w:r>
          </w:p>
        </w:tc>
      </w:tr>
      <w:tr w:rsidR="00DF3D8B" w:rsidRPr="00DF3D8B" w14:paraId="0FC43AC2" w14:textId="77777777" w:rsidTr="003125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  <w:vAlign w:val="center"/>
          </w:tcPr>
          <w:p w14:paraId="6B9D8303" w14:textId="77777777" w:rsidR="00DF3D8B" w:rsidRPr="00DF3D8B" w:rsidRDefault="00DF3D8B" w:rsidP="003125B5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High risk (score 4,5)</w:t>
            </w:r>
          </w:p>
        </w:tc>
        <w:tc>
          <w:tcPr>
            <w:tcW w:w="360" w:type="pct"/>
            <w:vAlign w:val="center"/>
          </w:tcPr>
          <w:p w14:paraId="14B80533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125</w:t>
            </w:r>
          </w:p>
        </w:tc>
        <w:tc>
          <w:tcPr>
            <w:tcW w:w="346" w:type="pct"/>
            <w:vAlign w:val="center"/>
          </w:tcPr>
          <w:p w14:paraId="72AC39C9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17.9 (12.2-23.7)</w:t>
            </w:r>
          </w:p>
        </w:tc>
        <w:tc>
          <w:tcPr>
            <w:tcW w:w="322" w:type="pct"/>
            <w:vAlign w:val="center"/>
          </w:tcPr>
          <w:p w14:paraId="5431C011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52±5%</w:t>
            </w:r>
          </w:p>
        </w:tc>
        <w:tc>
          <w:tcPr>
            <w:tcW w:w="323" w:type="pct"/>
            <w:vAlign w:val="center"/>
          </w:tcPr>
          <w:p w14:paraId="13A22352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37±5%</w:t>
            </w:r>
          </w:p>
        </w:tc>
        <w:tc>
          <w:tcPr>
            <w:tcW w:w="360" w:type="pct"/>
            <w:vAlign w:val="center"/>
          </w:tcPr>
          <w:p w14:paraId="4E31BDC8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83</w:t>
            </w:r>
          </w:p>
        </w:tc>
        <w:tc>
          <w:tcPr>
            <w:tcW w:w="346" w:type="pct"/>
            <w:vAlign w:val="center"/>
          </w:tcPr>
          <w:p w14:paraId="654A75F3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17.7 (12.1-23.2)</w:t>
            </w:r>
          </w:p>
        </w:tc>
        <w:tc>
          <w:tcPr>
            <w:tcW w:w="322" w:type="pct"/>
            <w:vAlign w:val="center"/>
          </w:tcPr>
          <w:p w14:paraId="749BD260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50±6%</w:t>
            </w:r>
          </w:p>
        </w:tc>
        <w:tc>
          <w:tcPr>
            <w:tcW w:w="322" w:type="pct"/>
            <w:vAlign w:val="center"/>
          </w:tcPr>
          <w:p w14:paraId="18E2AAAF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38±7%</w:t>
            </w:r>
          </w:p>
        </w:tc>
        <w:tc>
          <w:tcPr>
            <w:tcW w:w="360" w:type="pct"/>
            <w:vAlign w:val="center"/>
          </w:tcPr>
          <w:p w14:paraId="4ABAAE27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42</w:t>
            </w:r>
          </w:p>
        </w:tc>
        <w:tc>
          <w:tcPr>
            <w:tcW w:w="346" w:type="pct"/>
            <w:vAlign w:val="center"/>
          </w:tcPr>
          <w:p w14:paraId="76B7D8F2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18.8 (10.1-27.4)</w:t>
            </w:r>
          </w:p>
        </w:tc>
        <w:tc>
          <w:tcPr>
            <w:tcW w:w="322" w:type="pct"/>
            <w:vAlign w:val="center"/>
          </w:tcPr>
          <w:p w14:paraId="060AA066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55±9%</w:t>
            </w:r>
          </w:p>
        </w:tc>
        <w:tc>
          <w:tcPr>
            <w:tcW w:w="322" w:type="pct"/>
            <w:vAlign w:val="center"/>
          </w:tcPr>
          <w:p w14:paraId="60B80C7E" w14:textId="77777777" w:rsidR="00DF3D8B" w:rsidRPr="00DF3D8B" w:rsidRDefault="00DF3D8B" w:rsidP="003125B5">
            <w:pPr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DF3D8B">
              <w:rPr>
                <w:sz w:val="22"/>
                <w:szCs w:val="22"/>
              </w:rPr>
              <w:t>35±9%</w:t>
            </w:r>
          </w:p>
        </w:tc>
      </w:tr>
    </w:tbl>
    <w:p w14:paraId="793001CB" w14:textId="25B0A3EE" w:rsidR="00DF3D8B" w:rsidRDefault="003125B5">
      <w:r w:rsidRPr="00E51BA7">
        <w:rPr>
          <w:sz w:val="24"/>
          <w:szCs w:val="24"/>
        </w:rPr>
        <w:t xml:space="preserve">*Total scores are available for only those patients where data regarding all three prognostic factors (Presence of metastases, Size of </w:t>
      </w:r>
      <w:proofErr w:type="spellStart"/>
      <w:r w:rsidRPr="00E51BA7">
        <w:rPr>
          <w:sz w:val="24"/>
          <w:szCs w:val="24"/>
        </w:rPr>
        <w:t>tumor</w:t>
      </w:r>
      <w:proofErr w:type="spellEnd"/>
      <w:r w:rsidRPr="00E51BA7">
        <w:rPr>
          <w:sz w:val="24"/>
          <w:szCs w:val="24"/>
        </w:rPr>
        <w:t xml:space="preserve"> at primary site and baseline serum alkaline phosphatase) are available</w:t>
      </w:r>
    </w:p>
    <w:p w14:paraId="6F9254B7" w14:textId="5BC8E85D" w:rsidR="00DF3D8B" w:rsidRDefault="00DF3D8B"/>
    <w:p w14:paraId="4587299A" w14:textId="6D53CF69" w:rsidR="00DF3D8B" w:rsidRDefault="00DF3D8B"/>
    <w:p w14:paraId="08C12847" w14:textId="1594E43C" w:rsidR="00DF3D8B" w:rsidRDefault="00DF3D8B"/>
    <w:p w14:paraId="0C048760" w14:textId="24CA1C7B" w:rsidR="00A07759" w:rsidRDefault="00A07759"/>
    <w:p w14:paraId="56FBD52D" w14:textId="364BC16F" w:rsidR="00A07759" w:rsidRDefault="00A07759"/>
    <w:p w14:paraId="13489FD6" w14:textId="6428866B" w:rsidR="00A07759" w:rsidRDefault="00A07759"/>
    <w:p w14:paraId="7F53287A" w14:textId="77777777" w:rsidR="00A07759" w:rsidRDefault="00A07759"/>
    <w:p w14:paraId="77F867D7" w14:textId="05FDA66B" w:rsidR="00A07759" w:rsidRPr="003125B5" w:rsidRDefault="00A07759">
      <w:pPr>
        <w:rPr>
          <w:b/>
          <w:bCs/>
        </w:rPr>
      </w:pPr>
      <w:r w:rsidRPr="003125B5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69386F" wp14:editId="098706E3">
            <wp:simplePos x="0" y="0"/>
            <wp:positionH relativeFrom="column">
              <wp:posOffset>3810</wp:posOffset>
            </wp:positionH>
            <wp:positionV relativeFrom="paragraph">
              <wp:posOffset>445770</wp:posOffset>
            </wp:positionV>
            <wp:extent cx="8864600" cy="4354830"/>
            <wp:effectExtent l="19050" t="19050" r="12700" b="266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3548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125B5" w:rsidRPr="003125B5">
        <w:rPr>
          <w:b/>
          <w:bCs/>
        </w:rPr>
        <w:t>Figure S1: Workflow of the study</w:t>
      </w:r>
    </w:p>
    <w:p w14:paraId="0D0EEEF2" w14:textId="10F16899" w:rsidR="00A07759" w:rsidRDefault="00A07759"/>
    <w:p w14:paraId="4EB27193" w14:textId="08CAE80B" w:rsidR="00A07759" w:rsidRDefault="00355AAA">
      <w:r>
        <w:rPr>
          <w:noProof/>
        </w:rPr>
        <w:lastRenderedPageBreak/>
        <w:drawing>
          <wp:inline distT="0" distB="0" distL="0" distR="0" wp14:anchorId="6B34A85D" wp14:editId="7E887D5B">
            <wp:extent cx="6490970" cy="572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97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AF091" w14:textId="0F492C15" w:rsidR="00A07759" w:rsidRPr="003125B5" w:rsidRDefault="003125B5">
      <w:pPr>
        <w:rPr>
          <w:b/>
          <w:bCs/>
        </w:rPr>
      </w:pPr>
      <w:r w:rsidRPr="003125B5">
        <w:rPr>
          <w:b/>
          <w:bCs/>
        </w:rPr>
        <w:lastRenderedPageBreak/>
        <w:t>Figure S2: Predictive ability of the prognostic score on overall survival</w:t>
      </w:r>
    </w:p>
    <w:p w14:paraId="1B23DDCD" w14:textId="32865AA7" w:rsidR="00235AF0" w:rsidRDefault="00235AF0" w:rsidP="00235AF0">
      <w:pPr>
        <w:jc w:val="both"/>
        <w:rPr>
          <w:sz w:val="24"/>
          <w:szCs w:val="24"/>
        </w:rPr>
      </w:pPr>
      <w:r w:rsidRPr="002456EA">
        <w:rPr>
          <w:b/>
          <w:bCs/>
          <w:sz w:val="24"/>
          <w:szCs w:val="24"/>
        </w:rPr>
        <w:t xml:space="preserve">Figure </w:t>
      </w:r>
      <w:r>
        <w:rPr>
          <w:b/>
          <w:bCs/>
          <w:sz w:val="24"/>
          <w:szCs w:val="24"/>
        </w:rPr>
        <w:t>S2:</w:t>
      </w:r>
      <w:r w:rsidRPr="002456EA">
        <w:rPr>
          <w:sz w:val="24"/>
          <w:szCs w:val="24"/>
        </w:rPr>
        <w:t xml:space="preserve"> Predictive ability of the risk score category</w:t>
      </w:r>
      <w:r w:rsidR="003125B5">
        <w:rPr>
          <w:sz w:val="24"/>
          <w:szCs w:val="24"/>
        </w:rPr>
        <w:t xml:space="preserve"> on overall survival</w:t>
      </w:r>
      <w:r w:rsidRPr="002456EA">
        <w:rPr>
          <w:sz w:val="24"/>
          <w:szCs w:val="24"/>
        </w:rPr>
        <w:t xml:space="preserve">; </w:t>
      </w:r>
      <w:r w:rsidRPr="002456EA">
        <w:rPr>
          <w:b/>
          <w:bCs/>
          <w:sz w:val="24"/>
          <w:szCs w:val="24"/>
        </w:rPr>
        <w:t xml:space="preserve">A, </w:t>
      </w:r>
      <w:r>
        <w:rPr>
          <w:b/>
          <w:bCs/>
          <w:sz w:val="24"/>
          <w:szCs w:val="24"/>
        </w:rPr>
        <w:t>D</w:t>
      </w:r>
      <w:r w:rsidRPr="002456EA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G</w:t>
      </w:r>
      <w:r w:rsidRPr="002456EA">
        <w:rPr>
          <w:sz w:val="24"/>
          <w:szCs w:val="24"/>
        </w:rPr>
        <w:t xml:space="preserve">: Kaplan Meier curves showing impact of risk score category on </w:t>
      </w:r>
      <w:r>
        <w:rPr>
          <w:sz w:val="24"/>
          <w:szCs w:val="24"/>
        </w:rPr>
        <w:t xml:space="preserve">OS </w:t>
      </w:r>
      <w:r w:rsidRPr="002456EA">
        <w:rPr>
          <w:sz w:val="24"/>
          <w:szCs w:val="24"/>
        </w:rPr>
        <w:t>in the derivation</w:t>
      </w:r>
      <w:r>
        <w:rPr>
          <w:sz w:val="24"/>
          <w:szCs w:val="24"/>
        </w:rPr>
        <w:t xml:space="preserve">, </w:t>
      </w:r>
      <w:r w:rsidRPr="002456EA">
        <w:rPr>
          <w:sz w:val="24"/>
          <w:szCs w:val="24"/>
        </w:rPr>
        <w:t xml:space="preserve">validation </w:t>
      </w:r>
      <w:r>
        <w:rPr>
          <w:sz w:val="24"/>
          <w:szCs w:val="24"/>
        </w:rPr>
        <w:t xml:space="preserve">and whole </w:t>
      </w:r>
      <w:r w:rsidRPr="002456EA">
        <w:rPr>
          <w:sz w:val="24"/>
          <w:szCs w:val="24"/>
        </w:rPr>
        <w:t>cohorts respectively</w:t>
      </w:r>
      <w:r>
        <w:rPr>
          <w:sz w:val="24"/>
          <w:szCs w:val="24"/>
        </w:rPr>
        <w:t>;</w:t>
      </w:r>
      <w:r w:rsidRPr="002456EA">
        <w:rPr>
          <w:sz w:val="24"/>
          <w:szCs w:val="24"/>
        </w:rPr>
        <w:t xml:space="preserve"> </w:t>
      </w:r>
      <w:r w:rsidRPr="009B40B2">
        <w:rPr>
          <w:b/>
          <w:bCs/>
          <w:sz w:val="24"/>
          <w:szCs w:val="24"/>
        </w:rPr>
        <w:t>B, E, H:</w:t>
      </w:r>
      <w:r>
        <w:rPr>
          <w:sz w:val="24"/>
          <w:szCs w:val="24"/>
        </w:rPr>
        <w:t xml:space="preserve"> </w:t>
      </w:r>
      <w:r w:rsidRPr="002456EA">
        <w:rPr>
          <w:sz w:val="24"/>
          <w:szCs w:val="24"/>
        </w:rPr>
        <w:t xml:space="preserve">Receiver operator characteristic (ROC) curves for the risk score categories for </w:t>
      </w:r>
      <w:r>
        <w:rPr>
          <w:sz w:val="24"/>
          <w:szCs w:val="24"/>
        </w:rPr>
        <w:t>18</w:t>
      </w:r>
      <w:r w:rsidRPr="002456EA">
        <w:rPr>
          <w:sz w:val="24"/>
          <w:szCs w:val="24"/>
        </w:rPr>
        <w:t>-</w:t>
      </w:r>
      <w:r>
        <w:rPr>
          <w:sz w:val="24"/>
          <w:szCs w:val="24"/>
        </w:rPr>
        <w:t>month</w:t>
      </w:r>
      <w:r w:rsidRPr="002456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OS </w:t>
      </w:r>
      <w:r w:rsidRPr="002456EA">
        <w:rPr>
          <w:sz w:val="24"/>
          <w:szCs w:val="24"/>
        </w:rPr>
        <w:t>in the derivation</w:t>
      </w:r>
      <w:r>
        <w:rPr>
          <w:sz w:val="24"/>
          <w:szCs w:val="24"/>
        </w:rPr>
        <w:t xml:space="preserve">, </w:t>
      </w:r>
      <w:r w:rsidRPr="002456EA">
        <w:rPr>
          <w:sz w:val="24"/>
          <w:szCs w:val="24"/>
        </w:rPr>
        <w:t xml:space="preserve">validation </w:t>
      </w:r>
      <w:r>
        <w:rPr>
          <w:sz w:val="24"/>
          <w:szCs w:val="24"/>
        </w:rPr>
        <w:t xml:space="preserve">and whole </w:t>
      </w:r>
      <w:r w:rsidRPr="002456EA">
        <w:rPr>
          <w:sz w:val="24"/>
          <w:szCs w:val="24"/>
        </w:rPr>
        <w:t xml:space="preserve">cohorts respectively; </w:t>
      </w:r>
      <w:r>
        <w:rPr>
          <w:b/>
          <w:bCs/>
          <w:sz w:val="24"/>
          <w:szCs w:val="24"/>
        </w:rPr>
        <w:t>C</w:t>
      </w:r>
      <w:r w:rsidRPr="002456EA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F</w:t>
      </w:r>
      <w:r w:rsidRPr="002456EA">
        <w:rPr>
          <w:b/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I</w:t>
      </w:r>
      <w:r w:rsidRPr="002456EA">
        <w:rPr>
          <w:sz w:val="24"/>
          <w:szCs w:val="24"/>
        </w:rPr>
        <w:t xml:space="preserve">: Receiver operator characteristic (ROC) curves for the risk score categories for </w:t>
      </w:r>
      <w:r>
        <w:rPr>
          <w:sz w:val="24"/>
          <w:szCs w:val="24"/>
        </w:rPr>
        <w:t>36</w:t>
      </w:r>
      <w:r w:rsidRPr="002456EA">
        <w:rPr>
          <w:sz w:val="24"/>
          <w:szCs w:val="24"/>
        </w:rPr>
        <w:t>-</w:t>
      </w:r>
      <w:r>
        <w:rPr>
          <w:sz w:val="24"/>
          <w:szCs w:val="24"/>
        </w:rPr>
        <w:t>month</w:t>
      </w:r>
      <w:r w:rsidRPr="002456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OS </w:t>
      </w:r>
      <w:r w:rsidRPr="002456EA">
        <w:rPr>
          <w:sz w:val="24"/>
          <w:szCs w:val="24"/>
        </w:rPr>
        <w:t>in the derivation</w:t>
      </w:r>
      <w:r>
        <w:rPr>
          <w:sz w:val="24"/>
          <w:szCs w:val="24"/>
        </w:rPr>
        <w:t xml:space="preserve">, </w:t>
      </w:r>
      <w:r w:rsidRPr="002456EA">
        <w:rPr>
          <w:sz w:val="24"/>
          <w:szCs w:val="24"/>
        </w:rPr>
        <w:t xml:space="preserve">validation </w:t>
      </w:r>
      <w:r>
        <w:rPr>
          <w:sz w:val="24"/>
          <w:szCs w:val="24"/>
        </w:rPr>
        <w:t xml:space="preserve">and whole </w:t>
      </w:r>
      <w:r w:rsidRPr="002456EA">
        <w:rPr>
          <w:sz w:val="24"/>
          <w:szCs w:val="24"/>
        </w:rPr>
        <w:t>cohorts respectively</w:t>
      </w:r>
    </w:p>
    <w:p w14:paraId="004E17EC" w14:textId="4A00D29F" w:rsidR="00A07759" w:rsidRDefault="00A07759"/>
    <w:p w14:paraId="356A7D4D" w14:textId="23F605F5" w:rsidR="00232396" w:rsidRDefault="00232396"/>
    <w:p w14:paraId="304F3E1A" w14:textId="6B0E4AD4" w:rsidR="00235AF0" w:rsidRDefault="00235AF0"/>
    <w:p w14:paraId="1E5989A0" w14:textId="6C017419" w:rsidR="00235AF0" w:rsidRDefault="00235AF0"/>
    <w:p w14:paraId="0ECFCD09" w14:textId="54F97FC0" w:rsidR="00235AF0" w:rsidRDefault="00235AF0"/>
    <w:p w14:paraId="02A6CC69" w14:textId="53FC7B96" w:rsidR="00235AF0" w:rsidRDefault="00235AF0"/>
    <w:p w14:paraId="181E001D" w14:textId="51F7221D" w:rsidR="00235AF0" w:rsidRDefault="00235AF0"/>
    <w:p w14:paraId="10E49A9D" w14:textId="77777777" w:rsidR="00235AF0" w:rsidRDefault="00235AF0"/>
    <w:p w14:paraId="21485952" w14:textId="6F975EDA" w:rsidR="00A07759" w:rsidRDefault="00A07759"/>
    <w:p w14:paraId="1D1EB6A7" w14:textId="474BCF82" w:rsidR="00A07759" w:rsidRDefault="003125B5">
      <w:pPr>
        <w:rPr>
          <w:b/>
          <w:bCs/>
        </w:rPr>
      </w:pPr>
      <w:r w:rsidRPr="003125B5">
        <w:rPr>
          <w:b/>
          <w:bCs/>
        </w:rPr>
        <w:lastRenderedPageBreak/>
        <w:t>Figure S3: Impact of burden of metastases on survival outcome</w:t>
      </w:r>
      <w:r w:rsidR="00355AAA">
        <w:rPr>
          <w:b/>
          <w:bCs/>
          <w:noProof/>
        </w:rPr>
        <w:drawing>
          <wp:inline distT="0" distB="0" distL="0" distR="0" wp14:anchorId="426491A8" wp14:editId="2C1BE13A">
            <wp:extent cx="8712200" cy="3162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C697" w14:textId="3C7F6EBC" w:rsidR="00232396" w:rsidRDefault="00232396" w:rsidP="003125B5">
      <w:pPr>
        <w:spacing w:line="276" w:lineRule="auto"/>
        <w:rPr>
          <w:sz w:val="24"/>
          <w:szCs w:val="24"/>
        </w:rPr>
      </w:pPr>
      <w:r w:rsidRPr="00235AF0">
        <w:rPr>
          <w:sz w:val="24"/>
          <w:szCs w:val="24"/>
        </w:rPr>
        <w:t xml:space="preserve">Figure S3: </w:t>
      </w:r>
      <w:r w:rsidR="00235AF0">
        <w:rPr>
          <w:sz w:val="24"/>
          <w:szCs w:val="24"/>
        </w:rPr>
        <w:t>Kaplan Meier curves showing the impact of burden of metastases (localised disease versus limited burden metastases versus extensive burden metastases) on (A) event free (EFS) and (B) overall survival(OS)</w:t>
      </w:r>
    </w:p>
    <w:p w14:paraId="54BA2329" w14:textId="7F4C118D" w:rsidR="00235AF0" w:rsidRDefault="00235AF0" w:rsidP="003125B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For EFS, for limited burden versus localised disease: HR=2.21(95%CI: 1.59-3.06); p-value&lt;0.001 and limited versus extensive burden disease: HR=0.62(95% CI: 0.44-0.87); p-value=0.007</w:t>
      </w:r>
    </w:p>
    <w:p w14:paraId="244A3F97" w14:textId="78B4B558" w:rsidR="00235AF0" w:rsidRPr="00235AF0" w:rsidRDefault="00235AF0" w:rsidP="003125B5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For OS, for limited burden versus localised disease: HR=1.39(95%CI: 0.86-2.25); p-value=0.183 and limited versus extensive burden disease: HR=0.43(95% CI: 0.26-0.71); p-value=0.001</w:t>
      </w:r>
    </w:p>
    <w:sectPr w:rsidR="00235AF0" w:rsidRPr="00235AF0" w:rsidSect="00DF3D8B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8794C"/>
    <w:multiLevelType w:val="hybridMultilevel"/>
    <w:tmpl w:val="3EF818E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651D12"/>
    <w:multiLevelType w:val="hybridMultilevel"/>
    <w:tmpl w:val="F87C58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938800">
    <w:abstractNumId w:val="0"/>
  </w:num>
  <w:num w:numId="2" w16cid:durableId="946699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D8B"/>
    <w:rsid w:val="00186FD7"/>
    <w:rsid w:val="00232396"/>
    <w:rsid w:val="00235AF0"/>
    <w:rsid w:val="002D5C2B"/>
    <w:rsid w:val="003125B5"/>
    <w:rsid w:val="00346FFC"/>
    <w:rsid w:val="00355AAA"/>
    <w:rsid w:val="007E189E"/>
    <w:rsid w:val="009D7D7C"/>
    <w:rsid w:val="00A07759"/>
    <w:rsid w:val="00A6195C"/>
    <w:rsid w:val="00B52ABE"/>
    <w:rsid w:val="00DF3D8B"/>
    <w:rsid w:val="00EF44A2"/>
    <w:rsid w:val="00F25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E4122"/>
  <w15:chartTrackingRefBased/>
  <w15:docId w15:val="{682B8649-6373-994E-9BF3-D8165A449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D8B"/>
    <w:pPr>
      <w:spacing w:line="480" w:lineRule="auto"/>
    </w:pPr>
    <w:rPr>
      <w:rFonts w:ascii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2">
    <w:name w:val="Plain Table 2"/>
    <w:basedOn w:val="TableNormal"/>
    <w:uiPriority w:val="42"/>
    <w:rsid w:val="00DF3D8B"/>
    <w:rPr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186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86FD7"/>
    <w:pPr>
      <w:spacing w:line="240" w:lineRule="auto"/>
      <w:ind w:left="720"/>
      <w:contextualSpacing/>
    </w:pPr>
    <w:rPr>
      <w:rFonts w:asciiTheme="minorHAnsi" w:hAnsiTheme="minorHAnsi" w:cstheme="min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584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Archana Sasi</dc:creator>
  <cp:keywords/>
  <dc:description/>
  <cp:lastModifiedBy>Archana Sasi</cp:lastModifiedBy>
  <cp:revision>2</cp:revision>
  <dcterms:created xsi:type="dcterms:W3CDTF">2023-04-14T11:14:00Z</dcterms:created>
  <dcterms:modified xsi:type="dcterms:W3CDTF">2023-04-14T11:14:00Z</dcterms:modified>
</cp:coreProperties>
</file>