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bookmarkStart w:id="0" w:name="_Hlk148392448"/>
      <w:bookmarkEnd w:id="0"/>
      <w:r w:rsidRPr="001549D3">
        <w:t>Supplementary Material</w:t>
      </w:r>
    </w:p>
    <w:p w14:paraId="5631E177" w14:textId="77777777" w:rsidR="00DE599A" w:rsidRDefault="00DE599A" w:rsidP="00ED023F">
      <w:pPr>
        <w:spacing w:before="240" w:after="0"/>
        <w:rPr>
          <w:rFonts w:cs="Times New Roman"/>
          <w:b/>
          <w:bCs/>
        </w:rPr>
      </w:pPr>
    </w:p>
    <w:p w14:paraId="3DF83B56" w14:textId="3120458E" w:rsidR="00ED023F" w:rsidRPr="00ED023F" w:rsidRDefault="00F05D5B" w:rsidP="00ED023F">
      <w:pPr>
        <w:spacing w:before="240"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Figure </w:t>
      </w:r>
      <w:r w:rsidR="0081610B">
        <w:rPr>
          <w:rFonts w:cs="Times New Roman"/>
          <w:b/>
          <w:bCs/>
        </w:rPr>
        <w:t>S</w:t>
      </w:r>
      <w:r>
        <w:rPr>
          <w:rFonts w:cs="Times New Roman"/>
          <w:b/>
          <w:bCs/>
        </w:rPr>
        <w:t>1</w:t>
      </w:r>
    </w:p>
    <w:p w14:paraId="4CD7BAD3" w14:textId="5488928E" w:rsidR="00ED023F" w:rsidRPr="00ED023F" w:rsidRDefault="00ED023F" w:rsidP="00ED023F">
      <w:pPr>
        <w:spacing w:before="240" w:after="0"/>
        <w:rPr>
          <w:rFonts w:cs="Times New Roman"/>
        </w:rPr>
      </w:pPr>
      <w:r w:rsidRPr="00ED023F">
        <w:rPr>
          <w:rFonts w:cs="Times New Roman"/>
        </w:rPr>
        <w:t>Plot of correlation between impervious surface, crop, woody</w:t>
      </w:r>
      <w:r>
        <w:rPr>
          <w:rFonts w:cs="Times New Roman"/>
        </w:rPr>
        <w:t xml:space="preserve"> </w:t>
      </w:r>
      <w:r w:rsidRPr="00ED023F">
        <w:rPr>
          <w:rFonts w:cs="Times New Roman"/>
        </w:rPr>
        <w:t>surface, and herbaceous surface land cover in three scaled buffers</w:t>
      </w:r>
      <w:r>
        <w:rPr>
          <w:rFonts w:cs="Times New Roman"/>
        </w:rPr>
        <w:t xml:space="preserve"> </w:t>
      </w:r>
      <w:r w:rsidRPr="00ED023F">
        <w:rPr>
          <w:rFonts w:cs="Times New Roman"/>
        </w:rPr>
        <w:t>around 66 urban grasslands (250 m, 500 m, and 1,000 m). Colored</w:t>
      </w:r>
      <w:r>
        <w:rPr>
          <w:rFonts w:cs="Times New Roman"/>
        </w:rPr>
        <w:t xml:space="preserve"> </w:t>
      </w:r>
      <w:r w:rsidRPr="00ED023F">
        <w:rPr>
          <w:rFonts w:cs="Times New Roman"/>
        </w:rPr>
        <w:t>circles represent couples with correlations higher than 0.75.</w:t>
      </w:r>
    </w:p>
    <w:p w14:paraId="77314E42" w14:textId="59CF598A" w:rsidR="00ED023F" w:rsidRDefault="0081610B" w:rsidP="00A45A6D">
      <w:pPr>
        <w:spacing w:before="240" w:after="0"/>
        <w:jc w:val="center"/>
        <w:rPr>
          <w:rFonts w:cs="Times New Roman"/>
        </w:rPr>
      </w:pPr>
      <w:r>
        <w:rPr>
          <w:rFonts w:cs="Times New Roman"/>
          <w:b/>
          <w:bCs/>
          <w:noProof/>
        </w:rPr>
        <w:drawing>
          <wp:inline distT="0" distB="0" distL="0" distR="0" wp14:anchorId="02AAEB66" wp14:editId="72CAB459">
            <wp:extent cx="5705475" cy="516292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64" cy="518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C6A13" w14:textId="7B23F354" w:rsidR="00ED023F" w:rsidRDefault="00ED023F" w:rsidP="00994A3D">
      <w:pPr>
        <w:spacing w:before="240" w:after="0"/>
        <w:rPr>
          <w:rFonts w:cs="Times New Roman"/>
        </w:rPr>
      </w:pPr>
    </w:p>
    <w:p w14:paraId="2D3AD6C0" w14:textId="454D59B1" w:rsidR="00DE599A" w:rsidRDefault="00DE599A" w:rsidP="00994A3D">
      <w:pPr>
        <w:spacing w:before="240" w:after="0"/>
        <w:rPr>
          <w:rFonts w:cs="Times New Roman"/>
        </w:rPr>
      </w:pPr>
    </w:p>
    <w:p w14:paraId="3D835876" w14:textId="77777777" w:rsidR="0081610B" w:rsidRDefault="0081610B">
      <w:pPr>
        <w:spacing w:before="0" w:after="20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22D9B8CA" w14:textId="6C48BCE4" w:rsidR="00DE599A" w:rsidRPr="00ED023F" w:rsidRDefault="00B64819" w:rsidP="00DE599A">
      <w:pPr>
        <w:spacing w:before="240"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Table </w:t>
      </w:r>
      <w:r w:rsidR="0081610B">
        <w:rPr>
          <w:rFonts w:cs="Times New Roman"/>
          <w:b/>
          <w:bCs/>
        </w:rPr>
        <w:t>S</w:t>
      </w:r>
      <w:r w:rsidR="00DE599A">
        <w:rPr>
          <w:rFonts w:cs="Times New Roman"/>
          <w:b/>
          <w:bCs/>
        </w:rPr>
        <w:t>1</w:t>
      </w:r>
    </w:p>
    <w:p w14:paraId="624E8083" w14:textId="52C0E930" w:rsidR="0081610B" w:rsidRDefault="0081610B" w:rsidP="0081610B">
      <w:pPr>
        <w:spacing w:before="240" w:after="0"/>
        <w:rPr>
          <w:rFonts w:cs="Times New Roman"/>
        </w:rPr>
      </w:pPr>
      <w:r w:rsidRPr="0081610B">
        <w:rPr>
          <w:rFonts w:cs="Times New Roman"/>
        </w:rPr>
        <w:t xml:space="preserve">Species codes, full names (nomenclature following </w:t>
      </w:r>
      <w:proofErr w:type="spellStart"/>
      <w:r w:rsidRPr="0081610B">
        <w:rPr>
          <w:rFonts w:cs="Times New Roman"/>
        </w:rPr>
        <w:t>Tison</w:t>
      </w:r>
      <w:proofErr w:type="spellEnd"/>
      <w:r w:rsidRPr="0081610B">
        <w:rPr>
          <w:rFonts w:cs="Times New Roman"/>
        </w:rPr>
        <w:t xml:space="preserve"> and de</w:t>
      </w:r>
      <w:r>
        <w:rPr>
          <w:rFonts w:cs="Times New Roman"/>
        </w:rPr>
        <w:t xml:space="preserve"> </w:t>
      </w:r>
      <w:r w:rsidRPr="0081610B">
        <w:rPr>
          <w:rFonts w:cs="Times New Roman"/>
        </w:rPr>
        <w:t>Foucault, 2014), and occurrences in 330 samples</w:t>
      </w:r>
      <w:r w:rsidR="00A45A6D">
        <w:rPr>
          <w:rFonts w:cs="Times New Roman"/>
        </w:rPr>
        <w:t xml:space="preserve"> (for the species used in the CCA illustration, Figure 4)</w:t>
      </w:r>
      <w:r w:rsidRPr="0081610B">
        <w:rPr>
          <w:rFonts w:cs="Times New Roman"/>
        </w:rPr>
        <w:t>.</w:t>
      </w:r>
    </w:p>
    <w:p w14:paraId="4376C241" w14:textId="3FA7D3F6" w:rsidR="00DE599A" w:rsidRDefault="00DE599A" w:rsidP="00994A3D">
      <w:pPr>
        <w:spacing w:before="240" w:after="0"/>
        <w:rPr>
          <w:rFonts w:cs="Times New Roman"/>
        </w:rPr>
      </w:pPr>
    </w:p>
    <w:tbl>
      <w:tblPr>
        <w:tblW w:w="7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200"/>
        <w:gridCol w:w="1200"/>
      </w:tblGrid>
      <w:tr w:rsidR="00A45A6D" w:rsidRPr="00A45A6D" w14:paraId="75FCDD7C" w14:textId="77777777" w:rsidTr="00A45A6D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1D8E" w14:textId="77777777" w:rsidR="00A45A6D" w:rsidRPr="00A45A6D" w:rsidRDefault="00A45A6D" w:rsidP="00A45A6D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Names</w:t>
            </w:r>
            <w:proofErr w:type="spellEnd"/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CCAB" w14:textId="77777777" w:rsidR="00A45A6D" w:rsidRPr="00A45A6D" w:rsidRDefault="00A45A6D" w:rsidP="00A45A6D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 xml:space="preserve">Full </w:t>
            </w:r>
            <w:proofErr w:type="spellStart"/>
            <w:r w:rsidRPr="00A45A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names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8E2A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Occurrence</w:t>
            </w:r>
          </w:p>
        </w:tc>
      </w:tr>
      <w:tr w:rsidR="00A45A6D" w:rsidRPr="00A45A6D" w14:paraId="41D1593D" w14:textId="77777777" w:rsidTr="00A45A6D">
        <w:trPr>
          <w:trHeight w:val="29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E48C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Hol.lan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8422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Holcus</w:t>
            </w:r>
            <w:proofErr w:type="spellEnd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 </w:t>
            </w: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lanatus</w:t>
            </w:r>
            <w:proofErr w:type="spellEnd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 xml:space="preserve"> 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EBD0" w14:textId="77777777" w:rsidR="00A45A6D" w:rsidRPr="00A45A6D" w:rsidRDefault="00A45A6D" w:rsidP="00A45A6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280</w:t>
            </w:r>
          </w:p>
        </w:tc>
      </w:tr>
      <w:tr w:rsidR="00A45A6D" w:rsidRPr="00A45A6D" w14:paraId="286F5DCF" w14:textId="77777777" w:rsidTr="00A45A6D">
        <w:trPr>
          <w:trHeight w:val="29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485D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Vic.sat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CB09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Vicia sativa</w:t>
            </w: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 xml:space="preserve"> 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FB66" w14:textId="77777777" w:rsidR="00A45A6D" w:rsidRPr="00A45A6D" w:rsidRDefault="00A45A6D" w:rsidP="00A45A6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192</w:t>
            </w:r>
          </w:p>
        </w:tc>
      </w:tr>
      <w:tr w:rsidR="00A45A6D" w:rsidRPr="00A45A6D" w14:paraId="322F1154" w14:textId="77777777" w:rsidTr="00A45A6D">
        <w:trPr>
          <w:trHeight w:val="29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9B4D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Ran.acr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AF4A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Ranunculus</w:t>
            </w:r>
            <w:proofErr w:type="spellEnd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 </w:t>
            </w: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acris</w:t>
            </w:r>
            <w:proofErr w:type="spellEnd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 xml:space="preserve"> 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8D50" w14:textId="77777777" w:rsidR="00A45A6D" w:rsidRPr="00A45A6D" w:rsidRDefault="00A45A6D" w:rsidP="00A45A6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175</w:t>
            </w:r>
          </w:p>
        </w:tc>
      </w:tr>
      <w:tr w:rsidR="00A45A6D" w:rsidRPr="00A45A6D" w14:paraId="1E76374D" w14:textId="77777777" w:rsidTr="00A45A6D">
        <w:trPr>
          <w:trHeight w:val="29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8022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Ant.odo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702C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Anthoxanthum</w:t>
            </w:r>
            <w:proofErr w:type="spellEnd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 </w:t>
            </w: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odoratum</w:t>
            </w:r>
            <w:proofErr w:type="spellEnd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 xml:space="preserve"> 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F6F7" w14:textId="77777777" w:rsidR="00A45A6D" w:rsidRPr="00A45A6D" w:rsidRDefault="00A45A6D" w:rsidP="00A45A6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173</w:t>
            </w:r>
          </w:p>
        </w:tc>
      </w:tr>
      <w:tr w:rsidR="00A45A6D" w:rsidRPr="00A45A6D" w14:paraId="0242BADD" w14:textId="77777777" w:rsidTr="00A45A6D">
        <w:trPr>
          <w:trHeight w:val="29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4915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Pla.lan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88BD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Plantago</w:t>
            </w:r>
            <w:proofErr w:type="spellEnd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 </w:t>
            </w: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lanceolata</w:t>
            </w:r>
            <w:proofErr w:type="spellEnd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 xml:space="preserve"> 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99E6" w14:textId="77777777" w:rsidR="00A45A6D" w:rsidRPr="00A45A6D" w:rsidRDefault="00A45A6D" w:rsidP="00A45A6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150</w:t>
            </w:r>
          </w:p>
        </w:tc>
      </w:tr>
      <w:tr w:rsidR="00A45A6D" w:rsidRPr="00A45A6D" w14:paraId="07484C9D" w14:textId="77777777" w:rsidTr="00A45A6D">
        <w:trPr>
          <w:trHeight w:val="29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6D81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Con.arv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C7B3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Convolvulus </w:t>
            </w: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arvensis</w:t>
            </w:r>
            <w:proofErr w:type="spellEnd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 xml:space="preserve"> 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E80E" w14:textId="77777777" w:rsidR="00A45A6D" w:rsidRPr="00A45A6D" w:rsidRDefault="00A45A6D" w:rsidP="00A45A6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128</w:t>
            </w:r>
          </w:p>
        </w:tc>
      </w:tr>
      <w:tr w:rsidR="00A45A6D" w:rsidRPr="00A45A6D" w14:paraId="4A6B3024" w14:textId="77777777" w:rsidTr="00A45A6D">
        <w:trPr>
          <w:trHeight w:val="29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C93F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Bro.hor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6828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Bromus </w:t>
            </w: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hordeaceus</w:t>
            </w:r>
            <w:proofErr w:type="spellEnd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 xml:space="preserve"> 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7A29" w14:textId="77777777" w:rsidR="00A45A6D" w:rsidRPr="00A45A6D" w:rsidRDefault="00A45A6D" w:rsidP="00A45A6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110</w:t>
            </w:r>
          </w:p>
        </w:tc>
      </w:tr>
      <w:tr w:rsidR="00A45A6D" w:rsidRPr="00A45A6D" w14:paraId="619EE6AB" w14:textId="77777777" w:rsidTr="00A45A6D">
        <w:trPr>
          <w:trHeight w:val="29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A63B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Dau.car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CE0C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Daucus </w:t>
            </w: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carota</w:t>
            </w:r>
            <w:proofErr w:type="spellEnd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 xml:space="preserve"> 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6711" w14:textId="77777777" w:rsidR="00A45A6D" w:rsidRPr="00A45A6D" w:rsidRDefault="00A45A6D" w:rsidP="00A45A6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107</w:t>
            </w:r>
          </w:p>
        </w:tc>
      </w:tr>
      <w:tr w:rsidR="00A45A6D" w:rsidRPr="00A45A6D" w14:paraId="3728B09B" w14:textId="77777777" w:rsidTr="00A45A6D">
        <w:trPr>
          <w:trHeight w:val="29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12C0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Poa.pra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276B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Poa</w:t>
            </w:r>
            <w:proofErr w:type="spellEnd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 </w:t>
            </w: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pratensis</w:t>
            </w:r>
            <w:proofErr w:type="spellEnd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 xml:space="preserve"> 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FB48" w14:textId="77777777" w:rsidR="00A45A6D" w:rsidRPr="00A45A6D" w:rsidRDefault="00A45A6D" w:rsidP="00A45A6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92</w:t>
            </w:r>
          </w:p>
        </w:tc>
      </w:tr>
      <w:tr w:rsidR="00A45A6D" w:rsidRPr="00A45A6D" w14:paraId="62A04CEF" w14:textId="77777777" w:rsidTr="00A45A6D">
        <w:trPr>
          <w:trHeight w:val="29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EDAC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Hyp.rad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A9BC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Hypochaeris</w:t>
            </w:r>
            <w:proofErr w:type="spellEnd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 </w:t>
            </w: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radicata</w:t>
            </w:r>
            <w:proofErr w:type="spellEnd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 xml:space="preserve"> 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91B9" w14:textId="77777777" w:rsidR="00A45A6D" w:rsidRPr="00A45A6D" w:rsidRDefault="00A45A6D" w:rsidP="00A45A6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79</w:t>
            </w:r>
          </w:p>
        </w:tc>
      </w:tr>
      <w:tr w:rsidR="00A45A6D" w:rsidRPr="00A45A6D" w14:paraId="3A7E1FF6" w14:textId="77777777" w:rsidTr="00A45A6D">
        <w:trPr>
          <w:trHeight w:val="29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47CA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Vul.bro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D77E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Vulpia</w:t>
            </w:r>
            <w:proofErr w:type="spellEnd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 </w:t>
            </w: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bromoides</w:t>
            </w:r>
            <w:proofErr w:type="spellEnd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 </w:t>
            </w: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 xml:space="preserve">(L.) </w:t>
            </w:r>
            <w:proofErr w:type="spellStart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S.</w:t>
            </w:r>
            <w:proofErr w:type="gramStart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F.Gray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BEB7" w14:textId="77777777" w:rsidR="00A45A6D" w:rsidRPr="00A45A6D" w:rsidRDefault="00A45A6D" w:rsidP="00A45A6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69</w:t>
            </w:r>
          </w:p>
        </w:tc>
      </w:tr>
      <w:tr w:rsidR="00A45A6D" w:rsidRPr="00A45A6D" w14:paraId="41739133" w14:textId="77777777" w:rsidTr="00A45A6D">
        <w:trPr>
          <w:trHeight w:val="29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0406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Cir.arv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23FD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Cirsium </w:t>
            </w: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arvense</w:t>
            </w:r>
            <w:proofErr w:type="spellEnd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 </w:t>
            </w: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(L.) Scop.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512A" w14:textId="77777777" w:rsidR="00A45A6D" w:rsidRPr="00A45A6D" w:rsidRDefault="00A45A6D" w:rsidP="00A45A6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68</w:t>
            </w:r>
          </w:p>
        </w:tc>
      </w:tr>
      <w:tr w:rsidR="00A45A6D" w:rsidRPr="00A45A6D" w14:paraId="678C8BAE" w14:textId="77777777" w:rsidTr="00A45A6D">
        <w:trPr>
          <w:trHeight w:val="29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1C4F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Leu.vul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C0D0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Leucanthemum</w:t>
            </w:r>
            <w:proofErr w:type="spellEnd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 </w:t>
            </w: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vulgare</w:t>
            </w:r>
            <w:proofErr w:type="spellEnd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 </w:t>
            </w:r>
            <w:proofErr w:type="spellStart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Lam</w:t>
            </w:r>
            <w:proofErr w:type="spellEnd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DBA7" w14:textId="77777777" w:rsidR="00A45A6D" w:rsidRPr="00A45A6D" w:rsidRDefault="00A45A6D" w:rsidP="00A45A6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54</w:t>
            </w:r>
          </w:p>
        </w:tc>
      </w:tr>
      <w:tr w:rsidR="00A45A6D" w:rsidRPr="00A45A6D" w14:paraId="4854F893" w14:textId="77777777" w:rsidTr="00A45A6D">
        <w:trPr>
          <w:trHeight w:val="29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6F46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Rum.cri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9AD6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Rumex </w:t>
            </w: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crispus</w:t>
            </w:r>
            <w:proofErr w:type="spellEnd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 </w:t>
            </w: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C561" w14:textId="77777777" w:rsidR="00A45A6D" w:rsidRPr="00A45A6D" w:rsidRDefault="00A45A6D" w:rsidP="00A45A6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46</w:t>
            </w:r>
          </w:p>
        </w:tc>
      </w:tr>
      <w:tr w:rsidR="00A45A6D" w:rsidRPr="00A45A6D" w14:paraId="5968291C" w14:textId="77777777" w:rsidTr="00A45A6D">
        <w:trPr>
          <w:trHeight w:val="29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ED40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Her.sph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A5E4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Heracleum</w:t>
            </w:r>
            <w:proofErr w:type="spellEnd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 </w:t>
            </w: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sphondylium</w:t>
            </w:r>
            <w:proofErr w:type="spellEnd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 xml:space="preserve"> 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D632" w14:textId="77777777" w:rsidR="00A45A6D" w:rsidRPr="00A45A6D" w:rsidRDefault="00A45A6D" w:rsidP="00A45A6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41</w:t>
            </w:r>
          </w:p>
        </w:tc>
      </w:tr>
      <w:tr w:rsidR="00A45A6D" w:rsidRPr="00A45A6D" w14:paraId="7897D403" w14:textId="77777777" w:rsidTr="00A45A6D">
        <w:trPr>
          <w:trHeight w:val="29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F536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Tri.fla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CA85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Trisetum</w:t>
            </w:r>
            <w:proofErr w:type="spellEnd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 </w:t>
            </w: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flavescens</w:t>
            </w:r>
            <w:proofErr w:type="spellEnd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 </w:t>
            </w: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 xml:space="preserve">(L.) </w:t>
            </w:r>
            <w:proofErr w:type="spellStart"/>
            <w:proofErr w:type="gramStart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P.Beauv</w:t>
            </w:r>
            <w:proofErr w:type="spellEnd"/>
            <w:proofErr w:type="gramEnd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 xml:space="preserve">. </w:t>
            </w:r>
            <w:proofErr w:type="spellStart"/>
            <w:proofErr w:type="gram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subsp</w:t>
            </w:r>
            <w:proofErr w:type="spellEnd"/>
            <w:proofErr w:type="gramEnd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. </w:t>
            </w:r>
            <w:proofErr w:type="spellStart"/>
            <w:proofErr w:type="gram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flavescens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291B" w14:textId="77777777" w:rsidR="00A45A6D" w:rsidRPr="00A45A6D" w:rsidRDefault="00A45A6D" w:rsidP="00A45A6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41</w:t>
            </w:r>
          </w:p>
        </w:tc>
      </w:tr>
      <w:tr w:rsidR="00A45A6D" w:rsidRPr="00A45A6D" w14:paraId="095BFD1C" w14:textId="77777777" w:rsidTr="00A45A6D">
        <w:trPr>
          <w:trHeight w:val="29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63CF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Ste.gra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EB9E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Stellaria</w:t>
            </w:r>
            <w:proofErr w:type="spellEnd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 </w:t>
            </w: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graminea</w:t>
            </w:r>
            <w:proofErr w:type="spellEnd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 </w:t>
            </w: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EA23" w14:textId="77777777" w:rsidR="00A45A6D" w:rsidRPr="00A45A6D" w:rsidRDefault="00A45A6D" w:rsidP="00A45A6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40</w:t>
            </w:r>
          </w:p>
        </w:tc>
      </w:tr>
      <w:tr w:rsidR="00A45A6D" w:rsidRPr="00A45A6D" w14:paraId="0F0A7EB1" w14:textId="77777777" w:rsidTr="00A45A6D">
        <w:trPr>
          <w:trHeight w:val="29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DE16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Myo.dis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AD55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Myosotis </w:t>
            </w: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discolor</w:t>
            </w:r>
            <w:proofErr w:type="spellEnd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 </w:t>
            </w: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Pers.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90AF" w14:textId="77777777" w:rsidR="00A45A6D" w:rsidRPr="00A45A6D" w:rsidRDefault="00A45A6D" w:rsidP="00A45A6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38</w:t>
            </w:r>
          </w:p>
        </w:tc>
      </w:tr>
      <w:tr w:rsidR="00A45A6D" w:rsidRPr="00A45A6D" w14:paraId="180DA8C2" w14:textId="77777777" w:rsidTr="00A45A6D">
        <w:trPr>
          <w:trHeight w:val="29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FC2F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Ran.rep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4D2C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Ranunculus</w:t>
            </w:r>
            <w:proofErr w:type="spellEnd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 repens </w:t>
            </w: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705E" w14:textId="77777777" w:rsidR="00A45A6D" w:rsidRPr="00A45A6D" w:rsidRDefault="00A45A6D" w:rsidP="00A45A6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29</w:t>
            </w:r>
          </w:p>
        </w:tc>
      </w:tr>
      <w:tr w:rsidR="00A45A6D" w:rsidRPr="00A45A6D" w14:paraId="7C75257E" w14:textId="77777777" w:rsidTr="00A45A6D">
        <w:trPr>
          <w:trHeight w:val="29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CF73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Ave.bar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58B9" w14:textId="77777777" w:rsidR="00A45A6D" w:rsidRPr="00A45A6D" w:rsidRDefault="00A45A6D" w:rsidP="00A45A6D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</w:pP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Avena</w:t>
            </w:r>
            <w:proofErr w:type="spellEnd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 </w:t>
            </w: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barbata</w:t>
            </w:r>
            <w:proofErr w:type="spellEnd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 </w:t>
            </w: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 xml:space="preserve">Pott ex Link </w:t>
            </w:r>
            <w:proofErr w:type="spell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subsp</w:t>
            </w:r>
            <w:proofErr w:type="spellEnd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 xml:space="preserve">. </w:t>
            </w:r>
            <w:proofErr w:type="spellStart"/>
            <w:proofErr w:type="gramStart"/>
            <w:r w:rsidRPr="00A45A6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fr-FR" w:eastAsia="fr-FR"/>
              </w:rPr>
              <w:t>barbata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AB44" w14:textId="77777777" w:rsidR="00A45A6D" w:rsidRPr="00A45A6D" w:rsidRDefault="00A45A6D" w:rsidP="00A45A6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A45A6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28</w:t>
            </w:r>
          </w:p>
        </w:tc>
      </w:tr>
    </w:tbl>
    <w:p w14:paraId="247B53CB" w14:textId="2A4A5AE7" w:rsidR="00DE599A" w:rsidRDefault="00DE599A" w:rsidP="00994A3D">
      <w:pPr>
        <w:spacing w:before="240" w:after="0"/>
        <w:rPr>
          <w:rFonts w:cs="Times New Roman"/>
        </w:rPr>
      </w:pPr>
    </w:p>
    <w:p w14:paraId="018E26B0" w14:textId="456EEE73" w:rsidR="00DE599A" w:rsidRDefault="00DE599A" w:rsidP="00994A3D">
      <w:pPr>
        <w:spacing w:before="240" w:after="0"/>
        <w:rPr>
          <w:rFonts w:cs="Times New Roman"/>
        </w:rPr>
      </w:pPr>
    </w:p>
    <w:p w14:paraId="4BBE9AAD" w14:textId="6A40CF8A" w:rsidR="00DE599A" w:rsidRDefault="00DE599A" w:rsidP="00994A3D">
      <w:pPr>
        <w:spacing w:before="240" w:after="0"/>
        <w:rPr>
          <w:rFonts w:cs="Times New Roman"/>
        </w:rPr>
      </w:pPr>
    </w:p>
    <w:p w14:paraId="506BD6A2" w14:textId="235BD11F" w:rsidR="00A45A6D" w:rsidRDefault="00A45A6D">
      <w:pPr>
        <w:spacing w:before="0" w:after="200" w:line="276" w:lineRule="auto"/>
        <w:rPr>
          <w:rFonts w:cs="Times New Roman"/>
          <w:b/>
          <w:bCs/>
        </w:rPr>
      </w:pPr>
    </w:p>
    <w:p w14:paraId="0408FA5D" w14:textId="77777777" w:rsidR="00A45A6D" w:rsidRDefault="00A45A6D">
      <w:pPr>
        <w:spacing w:before="0" w:after="20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2833A7B7" w14:textId="147267E8" w:rsidR="00DE599A" w:rsidRPr="00ED023F" w:rsidRDefault="00B64819" w:rsidP="00DE599A">
      <w:pPr>
        <w:spacing w:before="240"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Table </w:t>
      </w:r>
      <w:r w:rsidR="00A45A6D">
        <w:rPr>
          <w:rFonts w:cs="Times New Roman"/>
          <w:b/>
          <w:bCs/>
        </w:rPr>
        <w:t>S</w:t>
      </w:r>
      <w:r>
        <w:rPr>
          <w:rFonts w:cs="Times New Roman"/>
          <w:b/>
          <w:bCs/>
        </w:rPr>
        <w:t>2</w:t>
      </w:r>
    </w:p>
    <w:p w14:paraId="65BF5514" w14:textId="7CB20A1F" w:rsidR="00A45A6D" w:rsidRDefault="00A45A6D" w:rsidP="00A45A6D">
      <w:pPr>
        <w:spacing w:before="240" w:after="0"/>
        <w:rPr>
          <w:rFonts w:cs="Times New Roman"/>
        </w:rPr>
      </w:pPr>
      <w:r w:rsidRPr="00A45A6D">
        <w:rPr>
          <w:rFonts w:cs="Times New Roman"/>
        </w:rPr>
        <w:t>Final mean models for the effect of mowing practices and land</w:t>
      </w:r>
      <w:r>
        <w:rPr>
          <w:rFonts w:cs="Times New Roman"/>
        </w:rPr>
        <w:t xml:space="preserve"> </w:t>
      </w:r>
      <w:r w:rsidRPr="00A45A6D">
        <w:rPr>
          <w:rFonts w:cs="Times New Roman"/>
        </w:rPr>
        <w:t>cover proportion within a 500-m radius on species richness</w:t>
      </w:r>
      <w:r>
        <w:rPr>
          <w:rFonts w:cs="Times New Roman"/>
        </w:rPr>
        <w:t xml:space="preserve">, </w:t>
      </w:r>
      <w:r w:rsidRPr="00A45A6D">
        <w:rPr>
          <w:rFonts w:cs="Times New Roman"/>
        </w:rPr>
        <w:t xml:space="preserve">Shannon index; </w:t>
      </w:r>
      <w:proofErr w:type="spellStart"/>
      <w:r w:rsidRPr="00A45A6D">
        <w:rPr>
          <w:rFonts w:cs="Times New Roman"/>
        </w:rPr>
        <w:t>Ellenberg</w:t>
      </w:r>
      <w:proofErr w:type="spellEnd"/>
      <w:r w:rsidRPr="00A45A6D">
        <w:rPr>
          <w:rFonts w:cs="Times New Roman"/>
        </w:rPr>
        <w:t xml:space="preserve"> index for reaction, light, and nitrogen;</w:t>
      </w:r>
      <w:r>
        <w:rPr>
          <w:rFonts w:cs="Times New Roman"/>
        </w:rPr>
        <w:t xml:space="preserve"> </w:t>
      </w:r>
      <w:r w:rsidRPr="00A45A6D">
        <w:rPr>
          <w:rFonts w:cs="Times New Roman"/>
        </w:rPr>
        <w:t>and plant life-form species richness (for hemicryptophytes</w:t>
      </w:r>
      <w:r>
        <w:rPr>
          <w:rFonts w:cs="Times New Roman"/>
        </w:rPr>
        <w:t xml:space="preserve"> </w:t>
      </w:r>
      <w:r w:rsidRPr="00A45A6D">
        <w:rPr>
          <w:rFonts w:cs="Times New Roman"/>
        </w:rPr>
        <w:t>and geophytes).</w:t>
      </w:r>
      <w:r>
        <w:rPr>
          <w:rFonts w:cs="Times New Roman"/>
        </w:rPr>
        <w:t xml:space="preserve"> </w:t>
      </w:r>
      <w:r w:rsidRPr="00A45A6D">
        <w:rPr>
          <w:rFonts w:cs="Times New Roman"/>
        </w:rPr>
        <w:t xml:space="preserve">Significant results, </w:t>
      </w:r>
      <w:proofErr w:type="gramStart"/>
      <w:r w:rsidRPr="00A45A6D">
        <w:rPr>
          <w:rFonts w:cs="Times New Roman"/>
        </w:rPr>
        <w:t>i.e.</w:t>
      </w:r>
      <w:proofErr w:type="gramEnd"/>
      <w:r w:rsidRPr="00A45A6D">
        <w:rPr>
          <w:rFonts w:cs="Times New Roman"/>
        </w:rPr>
        <w:t xml:space="preserve"> estimates whose 95% confidence interval do not include zero, are in bold</w:t>
      </w:r>
      <w:r>
        <w:rPr>
          <w:rFonts w:cs="Times New Roman"/>
        </w:rPr>
        <w:t xml:space="preserve">. </w:t>
      </w:r>
    </w:p>
    <w:p w14:paraId="399A1CC1" w14:textId="64D6FCF3" w:rsidR="00A45A6D" w:rsidRDefault="00A45A6D" w:rsidP="00A45A6D">
      <w:pPr>
        <w:spacing w:before="240" w:after="0"/>
        <w:jc w:val="center"/>
        <w:rPr>
          <w:rFonts w:cs="Times New Roman"/>
        </w:rPr>
      </w:pPr>
      <w:r w:rsidRPr="00A45A6D">
        <w:drawing>
          <wp:inline distT="0" distB="0" distL="0" distR="0" wp14:anchorId="5DDFA4BA" wp14:editId="730A4942">
            <wp:extent cx="5213683" cy="7307885"/>
            <wp:effectExtent l="0" t="0" r="635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683" cy="730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5A6D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C964" w14:textId="77777777" w:rsidR="007F5C87" w:rsidRDefault="007F5C87" w:rsidP="00117666">
      <w:pPr>
        <w:spacing w:after="0"/>
      </w:pPr>
      <w:r>
        <w:separator/>
      </w:r>
    </w:p>
  </w:endnote>
  <w:endnote w:type="continuationSeparator" w:id="0">
    <w:p w14:paraId="2932963B" w14:textId="77777777" w:rsidR="007F5C87" w:rsidRDefault="007F5C8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C35C2" w14:textId="77777777" w:rsidR="007F5C87" w:rsidRDefault="007F5C87" w:rsidP="00117666">
      <w:pPr>
        <w:spacing w:after="0"/>
      </w:pPr>
      <w:r>
        <w:separator/>
      </w:r>
    </w:p>
  </w:footnote>
  <w:footnote w:type="continuationSeparator" w:id="0">
    <w:p w14:paraId="5FCFDA33" w14:textId="77777777" w:rsidR="007F5C87" w:rsidRDefault="007F5C8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F5C87"/>
    <w:rsid w:val="00803D24"/>
    <w:rsid w:val="0081610B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45A6D"/>
    <w:rsid w:val="00A569CD"/>
    <w:rsid w:val="00AB6715"/>
    <w:rsid w:val="00B1671E"/>
    <w:rsid w:val="00B25EB8"/>
    <w:rsid w:val="00B354E1"/>
    <w:rsid w:val="00B37F4D"/>
    <w:rsid w:val="00B64819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DE599A"/>
    <w:rsid w:val="00E52377"/>
    <w:rsid w:val="00E64E17"/>
    <w:rsid w:val="00E866C9"/>
    <w:rsid w:val="00EA3D3C"/>
    <w:rsid w:val="00ED023F"/>
    <w:rsid w:val="00F05D5B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Paragraphedeliste"/>
    <w:next w:val="Normal"/>
    <w:link w:val="Titre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AB6715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us-titre"/>
    <w:next w:val="Normal"/>
    <w:uiPriority w:val="1"/>
    <w:qFormat/>
    <w:rsid w:val="00AB671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gende">
    <w:name w:val="caption"/>
    <w:basedOn w:val="Normal"/>
    <w:next w:val="Sansinterligne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B67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AB6715"/>
    <w:rPr>
      <w:rFonts w:ascii="Times New Roman" w:hAnsi="Times New Roman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6715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AB6715"/>
    <w:rPr>
      <w:rFonts w:ascii="Times New Roman" w:hAnsi="Times New Roman"/>
      <w:b/>
      <w:sz w:val="24"/>
    </w:rPr>
  </w:style>
  <w:style w:type="paragraph" w:styleId="Paragraphedeliste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Lienhypertexte">
    <w:name w:val="Hyperlink"/>
    <w:basedOn w:val="Policepardfaut"/>
    <w:uiPriority w:val="99"/>
    <w:unhideWhenUsed/>
    <w:rsid w:val="00AB6715"/>
    <w:rPr>
      <w:color w:val="0000FF"/>
      <w:u w:val="single"/>
    </w:rPr>
  </w:style>
  <w:style w:type="character" w:styleId="Accentuationintense">
    <w:name w:val="Intense Emphasis"/>
    <w:basedOn w:val="Policepardfau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frenceintense">
    <w:name w:val="Intense Reference"/>
    <w:basedOn w:val="Policepardfaut"/>
    <w:uiPriority w:val="32"/>
    <w:qFormat/>
    <w:rsid w:val="00AB6715"/>
    <w:rPr>
      <w:b/>
      <w:bCs/>
      <w:smallCaps/>
      <w:color w:val="auto"/>
      <w:spacing w:val="5"/>
    </w:rPr>
  </w:style>
  <w:style w:type="character" w:styleId="Numrodeligne">
    <w:name w:val="line number"/>
    <w:basedOn w:val="Policepardfaut"/>
    <w:uiPriority w:val="99"/>
    <w:semiHidden/>
    <w:unhideWhenUsed/>
    <w:rsid w:val="00AB6715"/>
  </w:style>
  <w:style w:type="character" w:customStyle="1" w:styleId="Titre3Car">
    <w:name w:val="Titre 3 Car"/>
    <w:basedOn w:val="Policepardfaut"/>
    <w:link w:val="Titre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lev">
    <w:name w:val="Strong"/>
    <w:basedOn w:val="Policepardfaut"/>
    <w:uiPriority w:val="22"/>
    <w:qFormat/>
    <w:rsid w:val="00AB6715"/>
    <w:rPr>
      <w:rFonts w:ascii="Times New Roman" w:hAnsi="Times New Roman"/>
      <w:b/>
      <w:bCs/>
    </w:rPr>
  </w:style>
  <w:style w:type="character" w:styleId="Accentuationlgre">
    <w:name w:val="Subtle Emphasis"/>
    <w:basedOn w:val="Policepardfau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lledutableau">
    <w:name w:val="Table Grid"/>
    <w:basedOn w:val="Tableau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rsid w:val="0001436A"/>
    <w:pPr>
      <w:spacing w:after="120"/>
    </w:pPr>
    <w:rPr>
      <w:i/>
    </w:rPr>
  </w:style>
  <w:style w:type="paragraph" w:styleId="R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ED0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17</TotalTime>
  <Pages>3</Pages>
  <Words>249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Hervé DANIEL</cp:lastModifiedBy>
  <cp:revision>2</cp:revision>
  <cp:lastPrinted>2013-10-03T12:51:00Z</cp:lastPrinted>
  <dcterms:created xsi:type="dcterms:W3CDTF">2023-10-16T22:13:00Z</dcterms:created>
  <dcterms:modified xsi:type="dcterms:W3CDTF">2023-10-16T22:13:00Z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