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5BE" w:rsidRPr="009D4C06" w:rsidRDefault="002765BE" w:rsidP="002765BE">
      <w:pPr>
        <w:pStyle w:val="1"/>
        <w:rPr>
          <w:rFonts w:eastAsiaTheme="minorEastAsia"/>
          <w:sz w:val="24"/>
          <w:szCs w:val="24"/>
        </w:rPr>
      </w:pPr>
      <w:r w:rsidRPr="009D4C06">
        <w:rPr>
          <w:rFonts w:eastAsiaTheme="minorEastAsia"/>
          <w:sz w:val="24"/>
          <w:szCs w:val="24"/>
        </w:rPr>
        <w:t>Supplemental Tables</w:t>
      </w:r>
    </w:p>
    <w:p w:rsidR="002765BE" w:rsidRPr="009D4C06" w:rsidRDefault="002765BE" w:rsidP="002765BE">
      <w:pPr>
        <w:spacing w:line="240" w:lineRule="auto"/>
        <w:ind w:firstLineChars="0" w:firstLine="0"/>
        <w:rPr>
          <w:rFonts w:eastAsiaTheme="minorEastAsia"/>
          <w:strike/>
          <w:sz w:val="24"/>
          <w:szCs w:val="24"/>
        </w:rPr>
      </w:pPr>
      <w:r w:rsidRPr="009D4C06">
        <w:rPr>
          <w:rFonts w:eastAsiaTheme="minorEastAsia"/>
          <w:sz w:val="24"/>
          <w:szCs w:val="24"/>
        </w:rPr>
        <w:t>Table S1 T</w:t>
      </w:r>
      <w:r w:rsidRPr="009D4C06">
        <w:rPr>
          <w:rFonts w:eastAsiaTheme="minorEastAsia" w:hint="eastAsia"/>
          <w:sz w:val="24"/>
          <w:szCs w:val="24"/>
        </w:rPr>
        <w:t>h</w:t>
      </w:r>
      <w:r w:rsidRPr="009D4C06">
        <w:rPr>
          <w:rFonts w:eastAsiaTheme="minorEastAsia"/>
          <w:sz w:val="24"/>
          <w:szCs w:val="24"/>
        </w:rPr>
        <w:t>e definition of all abbreviations used in Figure 1 for the 53 countries included in the analysis.</w:t>
      </w:r>
    </w:p>
    <w:tbl>
      <w:tblPr>
        <w:tblW w:w="8162" w:type="dxa"/>
        <w:tblLayout w:type="fixed"/>
        <w:tblLook w:val="04A0" w:firstRow="1" w:lastRow="0" w:firstColumn="1" w:lastColumn="0" w:noHBand="0" w:noVBand="1"/>
      </w:tblPr>
      <w:tblGrid>
        <w:gridCol w:w="850"/>
        <w:gridCol w:w="1814"/>
        <w:gridCol w:w="1417"/>
        <w:gridCol w:w="850"/>
        <w:gridCol w:w="1814"/>
        <w:gridCol w:w="1417"/>
      </w:tblGrid>
      <w:tr w:rsidR="002765BE" w:rsidRPr="009D4C06" w:rsidTr="00964267">
        <w:trPr>
          <w:trHeight w:val="460"/>
        </w:trPr>
        <w:tc>
          <w:tcPr>
            <w:tcW w:w="850" w:type="dxa"/>
            <w:tcBorders>
              <w:top w:val="single" w:sz="12" w:space="0" w:color="auto"/>
              <w:left w:val="nil"/>
              <w:bottom w:val="single" w:sz="4"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N</w:t>
            </w:r>
            <w:r w:rsidRPr="009D4C06">
              <w:rPr>
                <w:rFonts w:eastAsiaTheme="minorEastAsia" w:hint="eastAsia"/>
                <w:szCs w:val="20"/>
              </w:rPr>
              <w:t>o</w:t>
            </w:r>
            <w:r w:rsidRPr="009D4C06">
              <w:rPr>
                <w:rFonts w:eastAsiaTheme="minorEastAsia"/>
                <w:szCs w:val="20"/>
              </w:rPr>
              <w:t>.</w:t>
            </w:r>
          </w:p>
        </w:tc>
        <w:tc>
          <w:tcPr>
            <w:tcW w:w="1814" w:type="dxa"/>
            <w:tcBorders>
              <w:top w:val="single" w:sz="12" w:space="0" w:color="auto"/>
              <w:left w:val="nil"/>
              <w:bottom w:val="single" w:sz="4"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Country name</w:t>
            </w:r>
          </w:p>
        </w:tc>
        <w:tc>
          <w:tcPr>
            <w:tcW w:w="1417" w:type="dxa"/>
            <w:tcBorders>
              <w:top w:val="single" w:sz="12" w:space="0" w:color="auto"/>
              <w:left w:val="nil"/>
              <w:bottom w:val="single" w:sz="4" w:space="0" w:color="auto"/>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t>Abbreviation</w:t>
            </w:r>
          </w:p>
        </w:tc>
        <w:tc>
          <w:tcPr>
            <w:tcW w:w="850" w:type="dxa"/>
            <w:tcBorders>
              <w:top w:val="single" w:sz="12" w:space="0" w:color="auto"/>
              <w:left w:val="single" w:sz="12" w:space="0" w:color="auto"/>
              <w:bottom w:val="single" w:sz="4"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N</w:t>
            </w:r>
            <w:r w:rsidRPr="009D4C06">
              <w:rPr>
                <w:rFonts w:eastAsiaTheme="minorEastAsia" w:hint="eastAsia"/>
                <w:szCs w:val="20"/>
              </w:rPr>
              <w:t>o</w:t>
            </w:r>
            <w:r w:rsidRPr="009D4C06">
              <w:rPr>
                <w:rFonts w:eastAsiaTheme="minorEastAsia"/>
                <w:szCs w:val="20"/>
              </w:rPr>
              <w:t>.</w:t>
            </w:r>
          </w:p>
        </w:tc>
        <w:tc>
          <w:tcPr>
            <w:tcW w:w="1814" w:type="dxa"/>
            <w:tcBorders>
              <w:top w:val="single" w:sz="12" w:space="0" w:color="auto"/>
              <w:left w:val="nil"/>
              <w:bottom w:val="single" w:sz="4"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Country</w:t>
            </w:r>
          </w:p>
        </w:tc>
        <w:tc>
          <w:tcPr>
            <w:tcW w:w="1417" w:type="dxa"/>
            <w:tcBorders>
              <w:top w:val="single" w:sz="12" w:space="0" w:color="auto"/>
              <w:left w:val="nil"/>
              <w:bottom w:val="single" w:sz="4" w:space="0" w:color="auto"/>
              <w:right w:val="nil"/>
            </w:tcBorders>
            <w:shd w:val="clear" w:color="auto" w:fill="auto"/>
            <w:vAlign w:val="center"/>
          </w:tcPr>
          <w:p w:rsidR="002765BE" w:rsidRPr="009D4C06" w:rsidRDefault="002765BE" w:rsidP="00964267">
            <w:pPr>
              <w:spacing w:line="240" w:lineRule="auto"/>
              <w:ind w:firstLineChars="0" w:firstLine="0"/>
              <w:rPr>
                <w:rFonts w:eastAsiaTheme="minorEastAsia"/>
                <w:szCs w:val="20"/>
              </w:rPr>
            </w:pPr>
            <w:r w:rsidRPr="009D4C06">
              <w:t>Abbreviation</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Albania</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ALB</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28</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Latvia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LVA</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Azerbaijan</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AZE</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29</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Lithuania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LTU</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Bahrain</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BHR</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30</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Malaysia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MYS</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Bangladesh</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BGD</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31</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Mongolia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MNG</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5</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Belarus</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BLR</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32</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Myanmar</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MMR</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6</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Bosnia and Herzegovina</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BIH</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33</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Nepal</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NPL</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7</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Brunei</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BRN</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34</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Oman</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OMN</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8</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Bulgaria</w:t>
            </w:r>
          </w:p>
        </w:tc>
        <w:tc>
          <w:tcPr>
            <w:tcW w:w="1417" w:type="dxa"/>
            <w:tcBorders>
              <w:top w:val="nil"/>
              <w:left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BGR</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35</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Pakistan</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PAK</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9</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Cambodia</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KHM</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36</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Philippines</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PHL</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10</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China</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CHN</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37</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Poland</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POL</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11</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Croatia</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HRV</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38</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Qatar</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QAT</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12</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Cyprus</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CYP</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39</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Republic of Moldova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MDA</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13</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Czech Republic</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CZE</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40</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Romania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ROU</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14</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Egypt</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EGY</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41</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Russian Federation</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RUS</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15</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Estonia</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EST</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42</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Saudi Arabia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SAU</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16</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Georgia</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GEO</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43</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Serbia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SRB</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17</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Greece</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GRC</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44</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Singapore</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SGP</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18</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Hungary</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HUN</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45</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Slovakia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SVK</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19</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India</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IND</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46</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Slovenia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SVN</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20</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Indonesia</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IDN</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47</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Sri Lanka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LKA</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21</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Iran</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IRN</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48</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Thailand</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THA</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22</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Israel</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ISR</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49</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Turkey</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TUR</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23</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Jordan</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JOR</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50</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Ukraine</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UKR</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24</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Kazakhstan</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KAZ</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51</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 xml:space="preserve">United Arab </w:t>
            </w:r>
            <w:r w:rsidRPr="009D4C06">
              <w:rPr>
                <w:rFonts w:eastAsiaTheme="minorEastAsia" w:hint="eastAsia"/>
                <w:szCs w:val="20"/>
              </w:rPr>
              <w:lastRenderedPageBreak/>
              <w:t>Emirates</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lastRenderedPageBreak/>
              <w:t>ARE</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25</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Kuwait</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KWT</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52</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Uzbekistan</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UZB</w:t>
            </w:r>
          </w:p>
        </w:tc>
      </w:tr>
      <w:tr w:rsidR="002765BE" w:rsidRPr="009D4C06" w:rsidTr="00964267">
        <w:trPr>
          <w:trHeight w:val="460"/>
        </w:trPr>
        <w:tc>
          <w:tcPr>
            <w:tcW w:w="850" w:type="dxa"/>
            <w:tcBorders>
              <w:top w:val="nil"/>
              <w:left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26</w:t>
            </w:r>
          </w:p>
        </w:tc>
        <w:tc>
          <w:tcPr>
            <w:tcW w:w="1814" w:type="dxa"/>
            <w:tcBorders>
              <w:top w:val="nil"/>
              <w:left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Kyrgyzstan</w:t>
            </w:r>
          </w:p>
        </w:tc>
        <w:tc>
          <w:tcPr>
            <w:tcW w:w="1417" w:type="dxa"/>
            <w:tcBorders>
              <w:top w:val="nil"/>
              <w:left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KGZ</w:t>
            </w:r>
          </w:p>
        </w:tc>
        <w:tc>
          <w:tcPr>
            <w:tcW w:w="850" w:type="dxa"/>
            <w:tcBorders>
              <w:top w:val="nil"/>
              <w:left w:val="single" w:sz="12"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53</w:t>
            </w:r>
          </w:p>
        </w:tc>
        <w:tc>
          <w:tcPr>
            <w:tcW w:w="1814" w:type="dxa"/>
            <w:tcBorders>
              <w:top w:val="nil"/>
              <w:left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Vietnam</w:t>
            </w:r>
          </w:p>
        </w:tc>
        <w:tc>
          <w:tcPr>
            <w:tcW w:w="1417" w:type="dxa"/>
            <w:tcBorders>
              <w:top w:val="nil"/>
              <w:left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VNM</w:t>
            </w:r>
          </w:p>
        </w:tc>
      </w:tr>
      <w:tr w:rsidR="002765BE" w:rsidRPr="009D4C06" w:rsidTr="00964267">
        <w:trPr>
          <w:trHeight w:val="480"/>
        </w:trPr>
        <w:tc>
          <w:tcPr>
            <w:tcW w:w="850" w:type="dxa"/>
            <w:tcBorders>
              <w:top w:val="nil"/>
              <w:left w:val="nil"/>
              <w:bottom w:val="single" w:sz="12"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27</w:t>
            </w:r>
          </w:p>
        </w:tc>
        <w:tc>
          <w:tcPr>
            <w:tcW w:w="1814" w:type="dxa"/>
            <w:tcBorders>
              <w:top w:val="nil"/>
              <w:left w:val="nil"/>
              <w:bottom w:val="single" w:sz="12"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hint="eastAsia"/>
                <w:szCs w:val="20"/>
              </w:rPr>
              <w:t>Lao People's Democratic Republic</w:t>
            </w:r>
          </w:p>
        </w:tc>
        <w:tc>
          <w:tcPr>
            <w:tcW w:w="1417" w:type="dxa"/>
            <w:tcBorders>
              <w:top w:val="nil"/>
              <w:left w:val="nil"/>
              <w:bottom w:val="single" w:sz="12" w:space="0" w:color="auto"/>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LAO</w:t>
            </w:r>
          </w:p>
        </w:tc>
        <w:tc>
          <w:tcPr>
            <w:tcW w:w="850" w:type="dxa"/>
            <w:tcBorders>
              <w:top w:val="nil"/>
              <w:left w:val="single" w:sz="12" w:space="0" w:color="auto"/>
              <w:bottom w:val="single" w:sz="12"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p>
        </w:tc>
        <w:tc>
          <w:tcPr>
            <w:tcW w:w="1814" w:type="dxa"/>
            <w:tcBorders>
              <w:top w:val="nil"/>
              <w:left w:val="nil"/>
              <w:bottom w:val="single" w:sz="12"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p>
        </w:tc>
        <w:tc>
          <w:tcPr>
            <w:tcW w:w="1417" w:type="dxa"/>
            <w:tcBorders>
              <w:top w:val="nil"/>
              <w:left w:val="nil"/>
              <w:bottom w:val="single" w:sz="12"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p>
        </w:tc>
      </w:tr>
    </w:tbl>
    <w:p w:rsidR="002765BE" w:rsidRPr="009D4C06" w:rsidRDefault="002765BE" w:rsidP="002765BE">
      <w:pPr>
        <w:ind w:firstLineChars="0" w:firstLine="0"/>
        <w:rPr>
          <w:rFonts w:eastAsiaTheme="minorEastAsia"/>
        </w:rPr>
      </w:pP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
        <w:gridCol w:w="6832"/>
      </w:tblGrid>
      <w:tr w:rsidR="002765BE" w:rsidRPr="009D4C06" w:rsidTr="00964267">
        <w:trPr>
          <w:trHeight w:val="20"/>
        </w:trPr>
        <w:tc>
          <w:tcPr>
            <w:tcW w:w="5000" w:type="pct"/>
            <w:gridSpan w:val="2"/>
            <w:tcBorders>
              <w:bottom w:val="single" w:sz="6" w:space="0" w:color="auto"/>
            </w:tcBorders>
            <w:vAlign w:val="center"/>
          </w:tcPr>
          <w:p w:rsidR="002765BE" w:rsidRPr="009D4C06" w:rsidRDefault="002765BE" w:rsidP="00964267">
            <w:pPr>
              <w:spacing w:line="240" w:lineRule="auto"/>
              <w:ind w:firstLineChars="0" w:firstLine="0"/>
              <w:jc w:val="left"/>
              <w:rPr>
                <w:rFonts w:eastAsiaTheme="minorEastAsia"/>
                <w:bCs/>
                <w:sz w:val="22"/>
              </w:rPr>
            </w:pPr>
            <w:r w:rsidRPr="009D4C06">
              <w:rPr>
                <w:rFonts w:eastAsiaTheme="minorEastAsia"/>
                <w:bCs/>
                <w:sz w:val="22"/>
              </w:rPr>
              <w:t>Table S2 Detailed descriptions of third-level indicators</w:t>
            </w:r>
          </w:p>
        </w:tc>
      </w:tr>
      <w:tr w:rsidR="002765BE" w:rsidRPr="009D4C06" w:rsidTr="00964267">
        <w:trPr>
          <w:trHeight w:val="20"/>
        </w:trPr>
        <w:tc>
          <w:tcPr>
            <w:tcW w:w="1397" w:type="pct"/>
            <w:tcBorders>
              <w:top w:val="single" w:sz="12"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Third-level</w:t>
            </w:r>
          </w:p>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Indicator</w:t>
            </w:r>
          </w:p>
        </w:tc>
        <w:tc>
          <w:tcPr>
            <w:tcW w:w="3603" w:type="pct"/>
            <w:tcBorders>
              <w:top w:val="single" w:sz="12"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Description</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Government lockdown policy stringency index</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 xml:space="preserve">Data for the government lockdown policy stringency index was obtained from the Oxford Coronavirus Government Response Tracker (OxCGRT; </w:t>
            </w:r>
            <w:hyperlink r:id="rId5" w:history="1">
              <w:r w:rsidRPr="009D4C06">
                <w:rPr>
                  <w:rStyle w:val="afa"/>
                  <w:rFonts w:eastAsiaTheme="minorEastAsia"/>
                  <w:bCs/>
                  <w:sz w:val="22"/>
                </w:rPr>
                <w:t>https://ourworldindata.org/covid-stringency-index</w:t>
              </w:r>
            </w:hyperlink>
            <w:r w:rsidRPr="009D4C06">
              <w:rPr>
                <w:rFonts w:eastAsiaTheme="minorEastAsia"/>
                <w:bCs/>
                <w:sz w:val="22"/>
              </w:rPr>
              <w:t>). The index is a composite measure of nine response metrics, including school closures, workplace closures, cancellation of public events, restrictions on public gatherings, closures of public transport, public information campaigns, restrictions on internal movements, international travel controls, and stay-at-home requirements.</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Public health intervention policy index</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for the public health intervention policy index was obtained from  OxCGRT (</w:t>
            </w:r>
            <w:hyperlink r:id="rId6" w:history="1">
              <w:r w:rsidRPr="009D4C06">
                <w:rPr>
                  <w:rStyle w:val="afa"/>
                  <w:rFonts w:eastAsiaTheme="minorEastAsia"/>
                  <w:bCs/>
                  <w:sz w:val="22"/>
                </w:rPr>
                <w:t>https://ourworldindata.org/grapher/covid-containment-and-health-index</w:t>
              </w:r>
            </w:hyperlink>
            <w:r w:rsidRPr="009D4C06">
              <w:rPr>
                <w:rFonts w:eastAsiaTheme="minorEastAsia"/>
                <w:bCs/>
                <w:sz w:val="22"/>
              </w:rPr>
              <w:t>). The index is obtained by calculating the average of four indicators: testing policy, the extent of contact tracing, requirements to wear face coverings, and policies around vaccine rollout. The result highlights the national government’s policy initiatives in epidemic prevention using health instruments.</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Government efficiency of risk management index</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for the government efficiency of risk management index was selected from the COVID-19 Regional Security Assessment Database (</w:t>
            </w:r>
            <w:hyperlink r:id="rId7" w:history="1">
              <w:r w:rsidRPr="009D4C06">
                <w:rPr>
                  <w:rStyle w:val="afa"/>
                  <w:rFonts w:eastAsiaTheme="minorEastAsia"/>
                  <w:bCs/>
                  <w:sz w:val="22"/>
                </w:rPr>
                <w:t>https://www.dkv.global/covid-safety-assessment-200-regions</w:t>
              </w:r>
            </w:hyperlink>
            <w:r w:rsidRPr="009D4C06">
              <w:rPr>
                <w:rFonts w:eastAsiaTheme="minorEastAsia"/>
                <w:bCs/>
                <w:sz w:val="22"/>
              </w:rPr>
              <w:t>), which combines the performance of countries in six areas</w:t>
            </w:r>
            <w:r w:rsidRPr="009D4C06">
              <w:rPr>
                <w:rFonts w:eastAsiaTheme="minorEastAsia" w:hint="eastAsia"/>
                <w:bCs/>
                <w:sz w:val="22"/>
              </w:rPr>
              <w:t>:</w:t>
            </w:r>
            <w:r w:rsidRPr="009D4C06">
              <w:rPr>
                <w:rFonts w:eastAsiaTheme="minorEastAsia"/>
                <w:bCs/>
                <w:sz w:val="22"/>
              </w:rPr>
              <w:t xml:space="preserve"> level of security and defense advancement, rapid emergency mobilization, the efficiency of government structure, economic sustainability, pandemic readiness, and </w:t>
            </w:r>
            <w:r w:rsidRPr="009D4C06">
              <w:rPr>
                <w:rFonts w:eastAsiaTheme="minorEastAsia"/>
                <w:bCs/>
                <w:sz w:val="22"/>
              </w:rPr>
              <w:lastRenderedPageBreak/>
              <w:t>legislative efficiency.</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lastRenderedPageBreak/>
              <w:t>Medical doctors (per 10,000)</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for the number of medical doctors (per 10,000 people) came from the WHO Global Health Observatory database (</w:t>
            </w:r>
            <w:hyperlink r:id="rId8" w:history="1">
              <w:r w:rsidRPr="009D4C06">
                <w:rPr>
                  <w:rStyle w:val="afa"/>
                  <w:rFonts w:eastAsiaTheme="minorEastAsia"/>
                  <w:bCs/>
                  <w:sz w:val="22"/>
                </w:rPr>
                <w:t>https://apps.who.int/gho/data/node.main.HWFGRP_0020?lang=en</w:t>
              </w:r>
            </w:hyperlink>
            <w:r w:rsidRPr="009D4C06">
              <w:rPr>
                <w:rFonts w:eastAsiaTheme="minorEastAsia"/>
                <w:bCs/>
                <w:sz w:val="22"/>
              </w:rPr>
              <w:t>), which counts the number of practicing physicians per million inhabitants and reflects the stock of medical human resources.</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Hospital beds (per 1000 people)</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for the number of hospital beds (per 1000 people) was obtained from the WHO Global Health Observatory database (</w:t>
            </w:r>
            <w:hyperlink r:id="rId9" w:history="1">
              <w:r w:rsidRPr="009D4C06">
                <w:rPr>
                  <w:rStyle w:val="afa"/>
                  <w:rFonts w:eastAsiaTheme="minorEastAsia"/>
                  <w:bCs/>
                  <w:sz w:val="22"/>
                </w:rPr>
                <w:t>https://data.worldbank.org/indicator/SH.MED.BEDS.ZS</w:t>
              </w:r>
            </w:hyperlink>
            <w:r w:rsidRPr="009D4C06">
              <w:rPr>
                <w:rFonts w:eastAsiaTheme="minorEastAsia"/>
                <w:bCs/>
                <w:sz w:val="22"/>
              </w:rPr>
              <w:t>), which counts the number of hospital beds (for both acute and chronic care) per 1000 inhabitants, and reflects on aspects of the stock of medical supplies.</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Nursing and midwifery personnel (per 10,000)</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for the number of nursing and midwifery personnel (per 10,000 people) was obtained from the WHO Global Health Observatory database (</w:t>
            </w:r>
            <w:hyperlink r:id="rId10" w:history="1">
              <w:r w:rsidRPr="009D4C06">
                <w:rPr>
                  <w:rStyle w:val="afa"/>
                  <w:rFonts w:eastAsiaTheme="minorEastAsia"/>
                  <w:bCs/>
                  <w:sz w:val="22"/>
                </w:rPr>
                <w:t>https://apps.who.int/gho/data/node.main.HWF1?lang=en</w:t>
              </w:r>
            </w:hyperlink>
            <w:r w:rsidRPr="009D4C06">
              <w:rPr>
                <w:rFonts w:eastAsiaTheme="minorEastAsia"/>
                <w:bCs/>
                <w:sz w:val="22"/>
              </w:rPr>
              <w:t>), which counts the number of practicing nursing and midwifery personnel per million inhabitants.</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Current health expenditure as a percentage of GDP</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for the current health expenditure as a percentage of GDP was obtained from the WHO Global Health Observatory database (</w:t>
            </w:r>
            <w:hyperlink r:id="rId11" w:history="1">
              <w:r w:rsidRPr="009D4C06">
                <w:rPr>
                  <w:rStyle w:val="afa"/>
                  <w:rFonts w:eastAsiaTheme="minorEastAsia"/>
                  <w:bCs/>
                  <w:sz w:val="22"/>
                </w:rPr>
                <w:t>https://apps.who.int/gho/data/node.main.GHEDCHEGDPSHA2011?lang=en</w:t>
              </w:r>
            </w:hyperlink>
            <w:r w:rsidRPr="009D4C06">
              <w:rPr>
                <w:rFonts w:eastAsiaTheme="minorEastAsia"/>
                <w:bCs/>
                <w:sz w:val="22"/>
              </w:rPr>
              <w:t>), which measures the level of current health expenditure in monetary terms, and therefore reflects the importance of the health sector in the overall national economy.</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Mortality rate attributable to unsafe water and inadequate sanitation and hygiene</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for the mortality rate attributable to unsafe water, sanitation, and hygiene came from the WHO Global Health Observatory database (</w:t>
            </w:r>
            <w:hyperlink r:id="rId12" w:history="1">
              <w:r w:rsidRPr="009D4C06">
                <w:rPr>
                  <w:rStyle w:val="afa"/>
                  <w:rFonts w:eastAsiaTheme="minorEastAsia"/>
                  <w:bCs/>
                  <w:sz w:val="22"/>
                </w:rPr>
                <w:t>https://apps.who.int/gho/data/node.main.SDG39?lang=en</w:t>
              </w:r>
            </w:hyperlink>
            <w:r w:rsidRPr="009D4C06">
              <w:rPr>
                <w:rFonts w:eastAsiaTheme="minorEastAsia"/>
                <w:bCs/>
                <w:sz w:val="22"/>
              </w:rPr>
              <w:t>), which counts the number of deaths per 100,000 people due to unsafe water and inadequate sanitation and hygiene. The indicator is used by international organizations to measure the effectiveness of countries in their fight against disease and death.</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 xml:space="preserve">Percentage of the population </w:t>
            </w:r>
            <w:r w:rsidRPr="009D4C06">
              <w:rPr>
                <w:rFonts w:eastAsiaTheme="minorEastAsia"/>
                <w:bCs/>
                <w:sz w:val="22"/>
              </w:rPr>
              <w:lastRenderedPageBreak/>
              <w:t>using basic public health facilities</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lastRenderedPageBreak/>
              <w:t xml:space="preserve">Data for the percentage of the population with access to the safe disposal of human urine and faeces was obtained from the WHO Global Health Observatory database </w:t>
            </w:r>
            <w:r w:rsidRPr="009D4C06">
              <w:rPr>
                <w:rFonts w:eastAsiaTheme="minorEastAsia"/>
                <w:bCs/>
                <w:sz w:val="22"/>
              </w:rPr>
              <w:lastRenderedPageBreak/>
              <w:t>(</w:t>
            </w:r>
            <w:hyperlink r:id="rId13" w:history="1">
              <w:r w:rsidRPr="009D4C06">
                <w:rPr>
                  <w:rStyle w:val="afa"/>
                  <w:rFonts w:eastAsiaTheme="minorEastAsia"/>
                  <w:bCs/>
                  <w:sz w:val="22"/>
                </w:rPr>
                <w:t>https://apps.who.int/gho/data/node.main.SDG62?lang=en</w:t>
              </w:r>
            </w:hyperlink>
            <w:r w:rsidRPr="009D4C06">
              <w:rPr>
                <w:rFonts w:eastAsiaTheme="minorEastAsia"/>
                <w:bCs/>
                <w:sz w:val="22"/>
              </w:rPr>
              <w:t>), and was measured by counting the proportion of people who use basic health facility services (i.e., improved sanitation facilities that are not shared with other households).</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lastRenderedPageBreak/>
              <w:t>Logistics performance index</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 xml:space="preserve">Data for </w:t>
            </w:r>
            <w:r w:rsidRPr="009D4C06">
              <w:rPr>
                <w:rFonts w:eastAsiaTheme="minorEastAsia" w:hint="eastAsia"/>
                <w:bCs/>
                <w:sz w:val="22"/>
              </w:rPr>
              <w:t>t</w:t>
            </w:r>
            <w:r w:rsidRPr="009D4C06">
              <w:rPr>
                <w:rFonts w:eastAsiaTheme="minorEastAsia"/>
                <w:bCs/>
                <w:sz w:val="22"/>
              </w:rPr>
              <w:t>he logistics performance index was obtained from the World Bank database (</w:t>
            </w:r>
            <w:hyperlink r:id="rId14" w:anchor="datatable" w:history="1">
              <w:r w:rsidRPr="009D4C06">
                <w:rPr>
                  <w:rStyle w:val="afa"/>
                  <w:rFonts w:eastAsiaTheme="minorEastAsia"/>
                  <w:bCs/>
                  <w:sz w:val="22"/>
                </w:rPr>
                <w:t>https://lpi.worldbank.org/international/aggregated- ranking?sort=desc&amp;order=Infrastructure#datatable</w:t>
              </w:r>
            </w:hyperlink>
            <w:r w:rsidRPr="009D4C06">
              <w:rPr>
                <w:rFonts w:eastAsiaTheme="minorEastAsia"/>
                <w:bCs/>
                <w:sz w:val="22"/>
              </w:rPr>
              <w:t>) and is measured using six dimensions: the quality of each country’s trade and transport infrastructure, the efficiency of customs, logistics development, level of connectivity, quality of service, and timeliness of delivery.</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Access to electricity</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for the access to electricity was obtained from the World Bank database (</w:t>
            </w:r>
            <w:hyperlink r:id="rId15" w:history="1">
              <w:r w:rsidRPr="009D4C06">
                <w:rPr>
                  <w:rStyle w:val="afa"/>
                  <w:rFonts w:eastAsiaTheme="minorEastAsia"/>
                  <w:bCs/>
                  <w:sz w:val="22"/>
                </w:rPr>
                <w:t>https://data.worldbank.org/indicator/EG.ELC.ACCS.ZS</w:t>
              </w:r>
            </w:hyperlink>
            <w:r w:rsidRPr="009D4C06">
              <w:rPr>
                <w:rFonts w:eastAsiaTheme="minorEastAsia"/>
                <w:bCs/>
                <w:sz w:val="22"/>
              </w:rPr>
              <w:t>). It represents the percentage of the population with access to electricity and helps measure the extent of coverage of energy resources under the epidemic.</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Electric power consumption</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for the electricity power consumption indicator was obtained  from the World Bank database(</w:t>
            </w:r>
            <w:hyperlink r:id="rId16" w:history="1">
              <w:r w:rsidRPr="009D4C06">
                <w:rPr>
                  <w:rStyle w:val="afa"/>
                  <w:rFonts w:eastAsiaTheme="minorEastAsia"/>
                  <w:bCs/>
                  <w:sz w:val="22"/>
                </w:rPr>
                <w:t>https://data.worldbank.org/indicator/EG.USE.ELEC.KH.PC</w:t>
              </w:r>
            </w:hyperlink>
            <w:r w:rsidRPr="009D4C06">
              <w:rPr>
                <w:rFonts w:eastAsiaTheme="minorEastAsia"/>
                <w:bCs/>
                <w:sz w:val="22"/>
              </w:rPr>
              <w:t>). It measures the production of power plants and combined heat and power plants after subtracting the heat loss during transmission, distribution, transformation</w:t>
            </w:r>
            <w:r w:rsidRPr="009D4C06">
              <w:rPr>
                <w:rFonts w:eastAsiaTheme="minorEastAsia" w:hint="eastAsia"/>
                <w:bCs/>
                <w:sz w:val="22"/>
              </w:rPr>
              <w:t>,</w:t>
            </w:r>
            <w:r w:rsidRPr="009D4C06">
              <w:rPr>
                <w:rFonts w:eastAsiaTheme="minorEastAsia"/>
                <w:bCs/>
                <w:sz w:val="22"/>
              </w:rPr>
              <w:t xml:space="preserve"> and own use by heat and power plants. It therefore reflects the adequacy of the electricity supply in the event of an epidemic.</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Percentage of individuals using the Internet</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for the percentage of individuals using the Internet was obtained from the UN database (</w:t>
            </w:r>
            <w:hyperlink r:id="rId17" w:history="1">
              <w:r w:rsidRPr="009D4C06">
                <w:rPr>
                  <w:rStyle w:val="afa"/>
                  <w:rFonts w:eastAsiaTheme="minorEastAsia"/>
                  <w:bCs/>
                  <w:sz w:val="22"/>
                </w:rPr>
                <w:t>http://data.un.org/Data.aspx?d=ITU&amp;f=ind1Code%3aI99H</w:t>
              </w:r>
            </w:hyperlink>
            <w:r w:rsidRPr="009D4C06">
              <w:rPr>
                <w:rFonts w:eastAsiaTheme="minorEastAsia"/>
                <w:bCs/>
                <w:sz w:val="22"/>
              </w:rPr>
              <w:t>), which counts the share of a country’s population that has used the Internet in the past 3 months.</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 xml:space="preserve">Mobile-cellular telephone subscriptions per 100 </w:t>
            </w:r>
            <w:r w:rsidRPr="009D4C06">
              <w:rPr>
                <w:rFonts w:eastAsiaTheme="minorEastAsia"/>
                <w:bCs/>
                <w:sz w:val="22"/>
              </w:rPr>
              <w:lastRenderedPageBreak/>
              <w:t>inhabitants</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lastRenderedPageBreak/>
              <w:t>Data for the number of mobile cellular subscribers per 100 people was obtained from the UN database (</w:t>
            </w:r>
            <w:hyperlink r:id="rId18" w:history="1">
              <w:r w:rsidRPr="009D4C06">
                <w:rPr>
                  <w:rStyle w:val="afa"/>
                  <w:rFonts w:eastAsiaTheme="minorEastAsia"/>
                  <w:bCs/>
                  <w:sz w:val="22"/>
                </w:rPr>
                <w:t>http://data.un.org/Data.aspx?d=ITU&amp;f=ind1Code%3aI911</w:t>
              </w:r>
            </w:hyperlink>
            <w:r w:rsidRPr="009D4C06">
              <w:rPr>
                <w:rFonts w:eastAsiaTheme="minorEastAsia"/>
                <w:bCs/>
                <w:sz w:val="22"/>
              </w:rPr>
              <w:t>), which counts the number of mobile cellular subscribers using voice communications per 100 inhabitants in a country.</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GDP growth rate in the last 5 years</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for the GDP growth rate came from the World Bank database (</w:t>
            </w:r>
            <w:hyperlink r:id="rId19" w:history="1">
              <w:r w:rsidRPr="009D4C06">
                <w:rPr>
                  <w:rStyle w:val="afa"/>
                  <w:rFonts w:eastAsiaTheme="minorEastAsia"/>
                  <w:bCs/>
                  <w:sz w:val="22"/>
                </w:rPr>
                <w:t>https://data.worldbank.org/indicator/NY.GDP.MKTP.KD.ZG</w:t>
              </w:r>
            </w:hyperlink>
            <w:r w:rsidRPr="009D4C06">
              <w:rPr>
                <w:rFonts w:eastAsiaTheme="minorEastAsia"/>
                <w:bCs/>
                <w:sz w:val="22"/>
              </w:rPr>
              <w:t>). The GDP growth rate for the last 5 years is calculated by averaging the GDP growth rate from 2015 to 2019, reflecting the growth rate of the country’s total economy and the overall level of economic strength in the last 5 years.</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GDP per capita</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on the GDP per capita was obtained from the World Bank database (</w:t>
            </w:r>
            <w:hyperlink r:id="rId20" w:history="1">
              <w:r w:rsidRPr="009D4C06">
                <w:rPr>
                  <w:rStyle w:val="afa"/>
                  <w:rFonts w:eastAsiaTheme="minorEastAsia"/>
                  <w:bCs/>
                  <w:sz w:val="22"/>
                </w:rPr>
                <w:t>https://data.worldbank.org/indicator/NY.GDP.PCAP.CD</w:t>
              </w:r>
            </w:hyperlink>
            <w:r w:rsidRPr="009D4C06">
              <w:rPr>
                <w:rFonts w:eastAsiaTheme="minorEastAsia"/>
                <w:bCs/>
                <w:sz w:val="22"/>
              </w:rPr>
              <w:t>), using gross domestic product divided by the mid-year population, which is an important measure used to gauge the economic level of a country’s people.</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The unemployment rate of the adult population</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on unemployment rates for the adult population was obtained from the United Nations database (</w:t>
            </w:r>
            <w:hyperlink r:id="rId21" w:history="1">
              <w:r w:rsidRPr="009D4C06">
                <w:rPr>
                  <w:rStyle w:val="afa"/>
                  <w:rFonts w:eastAsiaTheme="minorEastAsia"/>
                  <w:bCs/>
                  <w:sz w:val="22"/>
                </w:rPr>
                <w:t>https://data.worldbank.org/indicator/SL.UEM.TOTL.NE.ZS</w:t>
              </w:r>
            </w:hyperlink>
            <w:r w:rsidRPr="009D4C06">
              <w:rPr>
                <w:rFonts w:eastAsiaTheme="minorEastAsia"/>
                <w:bCs/>
                <w:sz w:val="22"/>
              </w:rPr>
              <w:t>), which counts the number of employed people who are not part of the labor force even though they are available for and seeking employment.</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 xml:space="preserve">Life expectancy at birth </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for the life expectancy at birth was obtained from the UN Human Development Report (</w:t>
            </w:r>
            <w:hyperlink r:id="rId22" w:history="1">
              <w:r w:rsidRPr="009D4C06">
                <w:rPr>
                  <w:rStyle w:val="afa"/>
                  <w:rFonts w:eastAsiaTheme="minorEastAsia"/>
                  <w:bCs/>
                  <w:sz w:val="22"/>
                </w:rPr>
                <w:t>http://hdr.undp.org/en/content/latest-human-development-index-ranking</w:t>
              </w:r>
            </w:hyperlink>
            <w:r w:rsidRPr="009D4C06">
              <w:rPr>
                <w:rFonts w:eastAsiaTheme="minorEastAsia"/>
                <w:bCs/>
                <w:sz w:val="22"/>
              </w:rPr>
              <w:t>). This metric measures the average number of years a newborn is expected to live if mortality patterns at the time of its birth remain constant in the future and is a key indicator for assessing the health of a country’s population.</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Universal healthcare (UHC) service coverage index</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for the UHC service coverage index was obtained from the WHO database (</w:t>
            </w:r>
            <w:hyperlink r:id="rId23" w:history="1">
              <w:r w:rsidRPr="009D4C06">
                <w:rPr>
                  <w:rStyle w:val="afa"/>
                  <w:rFonts w:eastAsiaTheme="minorEastAsia"/>
                  <w:bCs/>
                  <w:sz w:val="22"/>
                </w:rPr>
                <w:t>https://apps.who.int/gho/data/node.main.SDG38?lang=en</w:t>
              </w:r>
            </w:hyperlink>
            <w:r w:rsidRPr="009D4C06">
              <w:rPr>
                <w:rFonts w:eastAsiaTheme="minorEastAsia"/>
                <w:bCs/>
                <w:sz w:val="22"/>
              </w:rPr>
              <w:t>). The metric represents the percentage of the population that has access to the quality of health services they need (including medicines and other health products) without financial hardship.</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Neonatal mortality rate</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for neonatal mortality rates was obtained from the World Bank database (</w:t>
            </w:r>
            <w:hyperlink r:id="rId24" w:history="1">
              <w:r w:rsidRPr="009D4C06">
                <w:rPr>
                  <w:rStyle w:val="afa"/>
                  <w:rFonts w:eastAsiaTheme="minorEastAsia"/>
                  <w:bCs/>
                  <w:sz w:val="22"/>
                </w:rPr>
                <w:t>https://data.worldbank.org/indicator/SH.DYN.NMRT</w:t>
              </w:r>
            </w:hyperlink>
            <w:r w:rsidRPr="009D4C06">
              <w:rPr>
                <w:rFonts w:eastAsiaTheme="minorEastAsia"/>
                <w:bCs/>
                <w:sz w:val="22"/>
              </w:rPr>
              <w:t>), and the indicator is the number of neonates who die before reaching 28 days of age, expressed per 1000 live births in a given year.</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 xml:space="preserve">Literacy rate </w:t>
            </w:r>
            <w:r w:rsidRPr="009D4C06">
              <w:rPr>
                <w:rFonts w:eastAsiaTheme="minorEastAsia"/>
                <w:bCs/>
                <w:sz w:val="22"/>
              </w:rPr>
              <w:lastRenderedPageBreak/>
              <w:t>of the adult population</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lastRenderedPageBreak/>
              <w:t xml:space="preserve">Data for the adult literacy rate was taken from the World Bank database </w:t>
            </w:r>
            <w:r w:rsidRPr="009D4C06">
              <w:rPr>
                <w:rFonts w:eastAsiaTheme="minorEastAsia"/>
                <w:bCs/>
                <w:sz w:val="22"/>
              </w:rPr>
              <w:lastRenderedPageBreak/>
              <w:t>(</w:t>
            </w:r>
            <w:hyperlink r:id="rId25" w:history="1">
              <w:r w:rsidRPr="009D4C06">
                <w:rPr>
                  <w:rStyle w:val="afa"/>
                  <w:rFonts w:eastAsiaTheme="minorEastAsia"/>
                  <w:bCs/>
                  <w:sz w:val="22"/>
                </w:rPr>
                <w:t>https://data.worldbank.org/indicator/SE.ADT.LITR.ZS</w:t>
              </w:r>
            </w:hyperlink>
            <w:r w:rsidRPr="009D4C06">
              <w:rPr>
                <w:rFonts w:eastAsiaTheme="minorEastAsia"/>
                <w:bCs/>
                <w:sz w:val="22"/>
              </w:rPr>
              <w:t>). This metric represents the percentage of the national population aged 15 and older who can understand, read, and write short texts about their daily lives.</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lastRenderedPageBreak/>
              <w:t>Expected years of schooling</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 xml:space="preserve">Data on the expected years of schooling was obtained from the UN Human Development Report </w:t>
            </w:r>
            <w:r w:rsidRPr="009D4C06">
              <w:rPr>
                <w:rFonts w:eastAsiaTheme="minorEastAsia" w:hint="eastAsia"/>
                <w:bCs/>
                <w:sz w:val="22"/>
              </w:rPr>
              <w:t>(</w:t>
            </w:r>
            <w:hyperlink r:id="rId26" w:history="1">
              <w:r w:rsidRPr="009D4C06">
                <w:rPr>
                  <w:rStyle w:val="afa"/>
                  <w:rFonts w:eastAsiaTheme="minorEastAsia"/>
                  <w:bCs/>
                  <w:sz w:val="22"/>
                </w:rPr>
                <w:t>http://hdr.undp.org/en/content/latest-human-development-index-ranking</w:t>
              </w:r>
            </w:hyperlink>
            <w:r w:rsidRPr="009D4C06">
              <w:rPr>
                <w:rFonts w:eastAsiaTheme="minorEastAsia"/>
                <w:bCs/>
                <w:sz w:val="22"/>
              </w:rPr>
              <w:t>). This metric counts national calculations of the number of years children are expected to attend school and can be used as a yardstick for measuring the country’s educational development.</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Government expenditure on education</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on the government expenditure on education was obtained from the World Bank database (</w:t>
            </w:r>
            <w:hyperlink r:id="rId27" w:history="1">
              <w:r w:rsidRPr="009D4C06">
                <w:rPr>
                  <w:rStyle w:val="afa"/>
                  <w:rFonts w:eastAsiaTheme="minorEastAsia"/>
                  <w:bCs/>
                  <w:sz w:val="22"/>
                </w:rPr>
                <w:t>https://data.worldbank.org/indicator/SE.XPD.TOTL.GD.ZS</w:t>
              </w:r>
            </w:hyperlink>
            <w:r w:rsidRPr="009D4C06">
              <w:rPr>
                <w:rFonts w:eastAsiaTheme="minorEastAsia"/>
                <w:bCs/>
                <w:sz w:val="22"/>
              </w:rPr>
              <w:t>). The data comprises public recurrent and capital expenditures on education as a share of GDP, and measures in monetary terms the importance that countries place on education.</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Global innovation index</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for the global innovation index was derived from the World Intellectual Property Organization database (</w:t>
            </w:r>
            <w:hyperlink r:id="rId28" w:history="1">
              <w:r w:rsidRPr="009D4C06">
                <w:rPr>
                  <w:rStyle w:val="afa"/>
                  <w:rFonts w:eastAsiaTheme="minorEastAsia"/>
                  <w:bCs/>
                  <w:sz w:val="22"/>
                </w:rPr>
                <w:t>https://www.wipo.int/global_innovation_index/en/</w:t>
              </w:r>
            </w:hyperlink>
            <w:r w:rsidRPr="009D4C06">
              <w:rPr>
                <w:rFonts w:eastAsiaTheme="minorEastAsia"/>
                <w:bCs/>
                <w:sz w:val="22"/>
              </w:rPr>
              <w:t>) by averaging two sub-indices (innovation inputs and innovation outputs). The innovation input sub-index measures five major elements: institutions, human capital and research, infrastructure, market maturity, and business maturity. The innovation output measures two major elements: knowledge and technology outputs and creative outputs.</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Research and development expenditure</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on R&amp;D expenditures was obtained from the World Bank database (</w:t>
            </w:r>
            <w:hyperlink r:id="rId29" w:history="1">
              <w:r w:rsidRPr="009D4C06">
                <w:rPr>
                  <w:rStyle w:val="afa"/>
                  <w:rFonts w:eastAsiaTheme="minorEastAsia"/>
                  <w:bCs/>
                  <w:sz w:val="22"/>
                </w:rPr>
                <w:t>https://data.worldbank.org/indicator/GB.XPD.RSDV.GD.ZS</w:t>
              </w:r>
            </w:hyperlink>
            <w:r w:rsidRPr="009D4C06">
              <w:rPr>
                <w:rFonts w:eastAsiaTheme="minorEastAsia"/>
                <w:bCs/>
                <w:sz w:val="22"/>
              </w:rPr>
              <w:t>). The metric measures the share of current and capital expenditures (state and private), and is an internationally accepted standard for a country’s strength in science and technology.</w:t>
            </w:r>
          </w:p>
        </w:tc>
      </w:tr>
      <w:tr w:rsidR="002765BE" w:rsidRPr="009D4C06" w:rsidTr="00964267">
        <w:trPr>
          <w:trHeight w:val="20"/>
        </w:trPr>
        <w:tc>
          <w:tcPr>
            <w:tcW w:w="1397"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jc w:val="center"/>
              <w:rPr>
                <w:rFonts w:eastAsiaTheme="minorEastAsia"/>
                <w:bCs/>
                <w:sz w:val="22"/>
              </w:rPr>
            </w:pPr>
            <w:r w:rsidRPr="009D4C06">
              <w:rPr>
                <w:rFonts w:eastAsiaTheme="minorEastAsia"/>
                <w:bCs/>
                <w:sz w:val="22"/>
              </w:rPr>
              <w:t>Productive capacities index</w:t>
            </w:r>
          </w:p>
        </w:tc>
        <w:tc>
          <w:tcPr>
            <w:tcW w:w="3603" w:type="pct"/>
            <w:tcBorders>
              <w:top w:val="single" w:sz="6" w:space="0" w:color="auto"/>
              <w:bottom w:val="single" w:sz="6" w:space="0" w:color="auto"/>
            </w:tcBorders>
            <w:vAlign w:val="center"/>
          </w:tcPr>
          <w:p w:rsidR="002765BE" w:rsidRPr="009D4C06" w:rsidRDefault="002765BE" w:rsidP="00964267">
            <w:pPr>
              <w:spacing w:line="240" w:lineRule="auto"/>
              <w:ind w:firstLineChars="0" w:firstLine="0"/>
              <w:rPr>
                <w:rFonts w:eastAsiaTheme="minorEastAsia"/>
                <w:bCs/>
                <w:sz w:val="22"/>
              </w:rPr>
            </w:pPr>
            <w:r w:rsidRPr="009D4C06">
              <w:rPr>
                <w:rFonts w:eastAsiaTheme="minorEastAsia"/>
                <w:bCs/>
                <w:sz w:val="22"/>
              </w:rPr>
              <w:t>Data for the productive capacities index was obtained from the UNCTAD database (</w:t>
            </w:r>
            <w:hyperlink r:id="rId30" w:history="1">
              <w:r w:rsidRPr="009D4C06">
                <w:rPr>
                  <w:rStyle w:val="afa"/>
                  <w:rFonts w:eastAsiaTheme="minorEastAsia"/>
                  <w:bCs/>
                  <w:sz w:val="22"/>
                </w:rPr>
                <w:t>https://unctadstat.unctad.org/EN/Pci.html</w:t>
              </w:r>
            </w:hyperlink>
            <w:r w:rsidRPr="009D4C06">
              <w:rPr>
                <w:rFonts w:eastAsiaTheme="minorEastAsia"/>
                <w:bCs/>
                <w:sz w:val="22"/>
              </w:rPr>
              <w:t xml:space="preserve">). The overall index is based on eight factors: human capital, natural capital, energy, </w:t>
            </w:r>
            <w:r w:rsidRPr="009D4C06">
              <w:rPr>
                <w:rFonts w:eastAsiaTheme="minorEastAsia" w:hint="eastAsia"/>
                <w:bCs/>
                <w:sz w:val="22"/>
              </w:rPr>
              <w:t>i</w:t>
            </w:r>
            <w:r w:rsidRPr="009D4C06">
              <w:rPr>
                <w:rFonts w:eastAsiaTheme="minorEastAsia"/>
                <w:bCs/>
                <w:sz w:val="22"/>
              </w:rPr>
              <w:t xml:space="preserve">nformation and </w:t>
            </w:r>
            <w:r w:rsidRPr="009D4C06">
              <w:rPr>
                <w:rFonts w:eastAsiaTheme="minorEastAsia" w:hint="eastAsia"/>
                <w:bCs/>
                <w:sz w:val="22"/>
              </w:rPr>
              <w:t>c</w:t>
            </w:r>
            <w:r w:rsidRPr="009D4C06">
              <w:rPr>
                <w:rFonts w:eastAsiaTheme="minorEastAsia"/>
                <w:bCs/>
                <w:sz w:val="22"/>
              </w:rPr>
              <w:t xml:space="preserve">ommunication </w:t>
            </w:r>
            <w:r w:rsidRPr="009D4C06">
              <w:rPr>
                <w:rFonts w:eastAsiaTheme="minorEastAsia" w:hint="eastAsia"/>
                <w:bCs/>
                <w:sz w:val="22"/>
              </w:rPr>
              <w:t>t</w:t>
            </w:r>
            <w:r w:rsidRPr="009D4C06">
              <w:rPr>
                <w:rFonts w:eastAsiaTheme="minorEastAsia"/>
                <w:bCs/>
                <w:sz w:val="22"/>
              </w:rPr>
              <w:t xml:space="preserve">echnologies, structural change, transport, institutions, and private sector </w:t>
            </w:r>
            <w:r w:rsidRPr="009D4C06">
              <w:rPr>
                <w:rFonts w:eastAsiaTheme="minorEastAsia" w:hint="eastAsia"/>
                <w:bCs/>
                <w:sz w:val="22"/>
              </w:rPr>
              <w:t>trading</w:t>
            </w:r>
            <w:r w:rsidRPr="009D4C06">
              <w:rPr>
                <w:rFonts w:eastAsiaTheme="minorEastAsia"/>
                <w:bCs/>
                <w:sz w:val="22"/>
              </w:rPr>
              <w:t xml:space="preserve">. It reflects the state of a country’s capacity to </w:t>
            </w:r>
            <w:r w:rsidRPr="009D4C06">
              <w:rPr>
                <w:rFonts w:eastAsiaTheme="minorEastAsia"/>
                <w:bCs/>
                <w:sz w:val="22"/>
              </w:rPr>
              <w:lastRenderedPageBreak/>
              <w:t>produce goods and services.</w:t>
            </w:r>
          </w:p>
        </w:tc>
      </w:tr>
    </w:tbl>
    <w:p w:rsidR="002765BE" w:rsidRPr="009D4C06" w:rsidRDefault="002765BE" w:rsidP="002765BE">
      <w:pPr>
        <w:ind w:firstLineChars="0" w:firstLine="0"/>
        <w:rPr>
          <w:rFonts w:eastAsiaTheme="minorEastAsia"/>
          <w:sz w:val="24"/>
          <w:szCs w:val="24"/>
        </w:rPr>
      </w:pPr>
    </w:p>
    <w:p w:rsidR="002765BE" w:rsidRPr="009D4C06" w:rsidRDefault="002765BE" w:rsidP="002765BE">
      <w:pPr>
        <w:spacing w:line="240" w:lineRule="auto"/>
        <w:ind w:firstLineChars="0" w:firstLine="0"/>
        <w:rPr>
          <w:rFonts w:eastAsiaTheme="minorEastAsia"/>
          <w:sz w:val="24"/>
          <w:szCs w:val="24"/>
        </w:rPr>
      </w:pPr>
      <w:r w:rsidRPr="009D4C06">
        <w:rPr>
          <w:rFonts w:eastAsiaTheme="minorEastAsia"/>
          <w:sz w:val="24"/>
          <w:szCs w:val="24"/>
        </w:rPr>
        <w:t>Table S3 Actual anti-epidemic resilience data for countries along the Belt and Road route in 2020.</w:t>
      </w:r>
      <w:r w:rsidRPr="009D4C06">
        <w:t xml:space="preserve"> </w:t>
      </w:r>
      <w:r w:rsidRPr="009D4C06">
        <w:rPr>
          <w:rFonts w:eastAsiaTheme="minorEastAsia"/>
          <w:sz w:val="24"/>
          <w:szCs w:val="24"/>
        </w:rPr>
        <w:t>Countries are arranged from most to least resilient based on the data in Table 3.</w:t>
      </w:r>
    </w:p>
    <w:tbl>
      <w:tblPr>
        <w:tblStyle w:val="aff"/>
        <w:tblW w:w="5000" w:type="pct"/>
        <w:tblLook w:val="04A0" w:firstRow="1" w:lastRow="0" w:firstColumn="1" w:lastColumn="0" w:noHBand="0" w:noVBand="1"/>
      </w:tblPr>
      <w:tblGrid>
        <w:gridCol w:w="1405"/>
        <w:gridCol w:w="2586"/>
        <w:gridCol w:w="2397"/>
        <w:gridCol w:w="1912"/>
      </w:tblGrid>
      <w:tr w:rsidR="002765BE" w:rsidRPr="009D4C06" w:rsidTr="00964267">
        <w:trPr>
          <w:cnfStyle w:val="100000000000" w:firstRow="1" w:lastRow="0" w:firstColumn="0" w:lastColumn="0" w:oddVBand="0" w:evenVBand="0" w:oddHBand="0" w:evenHBand="0" w:firstRowFirstColumn="0" w:firstRowLastColumn="0" w:lastRowFirstColumn="0" w:lastRowLastColumn="0"/>
          <w:trHeight w:val="440"/>
        </w:trPr>
        <w:tc>
          <w:tcPr>
            <w:tcW w:w="843" w:type="pct"/>
            <w:noWrap/>
          </w:tcPr>
          <w:p w:rsidR="002765BE" w:rsidRPr="009D4C06" w:rsidRDefault="002765BE" w:rsidP="00964267">
            <w:pPr>
              <w:spacing w:line="720" w:lineRule="auto"/>
              <w:ind w:firstLineChars="0" w:firstLine="0"/>
              <w:jc w:val="center"/>
              <w:rPr>
                <w:rFonts w:eastAsiaTheme="minorEastAsia"/>
                <w:sz w:val="22"/>
              </w:rPr>
            </w:pPr>
            <w:r w:rsidRPr="009D4C06">
              <w:rPr>
                <w:rFonts w:eastAsiaTheme="minorEastAsia"/>
                <w:sz w:val="22"/>
              </w:rPr>
              <w:t>Country</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Cumulative number of</w:t>
            </w:r>
          </w:p>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confirmed diagnoses per million population</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Cumulative number of</w:t>
            </w:r>
          </w:p>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confirmed deaths per million population</w:t>
            </w:r>
          </w:p>
        </w:tc>
        <w:tc>
          <w:tcPr>
            <w:tcW w:w="1153" w:type="pct"/>
            <w:noWrap/>
          </w:tcPr>
          <w:p w:rsidR="002765BE" w:rsidRPr="009D4C06" w:rsidRDefault="002765BE" w:rsidP="00964267">
            <w:pPr>
              <w:ind w:firstLineChars="0" w:firstLine="0"/>
              <w:jc w:val="center"/>
              <w:rPr>
                <w:rFonts w:eastAsiaTheme="minorEastAsia"/>
                <w:sz w:val="22"/>
              </w:rPr>
            </w:pPr>
            <w:r w:rsidRPr="009D4C06">
              <w:rPr>
                <w:rFonts w:eastAsiaTheme="minorEastAsia"/>
                <w:sz w:val="22"/>
              </w:rPr>
              <w:t xml:space="preserve">Monitoring and detection </w:t>
            </w:r>
            <w:r w:rsidRPr="009D4C06">
              <w:rPr>
                <w:rFonts w:eastAsiaTheme="minorEastAsia" w:hint="eastAsia"/>
                <w:sz w:val="22"/>
              </w:rPr>
              <w:t>score</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Israel</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49283.3</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391.2</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143.1</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Bahrain</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58982.4</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224.6</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122.0</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China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68.5</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3.2</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136.1</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Singapore</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10112.2</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5.0</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146.9</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United Arab Emirates</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21599.3</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69.7</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142.4</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Oman</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26650.2</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309.9</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114.6</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Qatar</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49924.0</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90.9</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123.4</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Saudi Arabia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10806.4</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185.2</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120.5</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Kuwait</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35809.7</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222.3</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114.8</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Cyprus</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24796.0</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100.1</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126.8</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Hungary</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32980.5</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973.2</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119.9</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Estonia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21418.9</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175.2</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95.4</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Viet</w:t>
            </w:r>
            <w:r w:rsidRPr="009D4C06">
              <w:rPr>
                <w:rFonts w:eastAsiaTheme="minorEastAsia" w:hint="eastAsia"/>
                <w:sz w:val="22"/>
              </w:rPr>
              <w:t>n</w:t>
            </w:r>
            <w:r w:rsidRPr="009D4C06">
              <w:rPr>
                <w:rFonts w:eastAsiaTheme="minorEastAsia"/>
                <w:sz w:val="22"/>
              </w:rPr>
              <w:t>am</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15.1</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0.4</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106.0</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Greece</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12378.0</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429.7</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99.2</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Poland</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33628.6</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735.3</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94.2</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Slovenia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57532.5</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1280.5</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91.2</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Turkey</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26187.8</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252.0</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115.2</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Lithuania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52145.4</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659.7</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90.4</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Latvia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20230.2</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324.4</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84.7</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Russia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21752.2</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385.6</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77.7</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Georgia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57815.6</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635.0</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96.7</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Czech Rep.</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66033.5</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1075.6</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97.5</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lastRenderedPageBreak/>
              <w:t>Brunei Darussalam</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350.2</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6.9</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84.6</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Malaysia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3448.1</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15.1</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94.6</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Croatia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50049.7</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926.8</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70.3</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Slovakia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31786.0</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378.9</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87.3</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India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7582.6</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109.9</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53.5</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Ukraine</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23752.9</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416.4</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74.5</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Romania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32069.5</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796.5</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57.7</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Bulgaria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28595.2</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1067.9</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75.4</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Albania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19672.8</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400.1</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81.6</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Thailand</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93.1</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0.9</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79.3</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Azerbaijan</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21930.5</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262.9</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98.1</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Serbia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49661.0</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471.9</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73.8</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Jordan</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29591.4</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385.2</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65.2</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Philippines</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4436.4</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86.7</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53.5</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Kazakhstan</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10715.2</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122.9</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67.4</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Mongolia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376.4</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12.2</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62.6</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Belarus</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20351.1</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149.6</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76.2</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Indonesia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2755.4</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82.3</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55.1</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Sri Lanka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2038.3</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9.5</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45.6</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Moldova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35594.8</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732.5</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74.9</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Pakistan</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2376.5</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50.0</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71.5</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Bangladesh</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3080.5</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45.3</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62.3</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Nepal</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8778.6</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62.3</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63.3</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Uzbekistan</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2381.0</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19.0</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64.2</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Egypt</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1375.0</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76.2</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62.0</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Bosnia and Herz.</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31677.8</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1156.0</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66.5</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Kyrgyzstan</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13212.9</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220.9</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67.9</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Iran</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14860.7</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671.8</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55.1</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Myanmar</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2297.6</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49.5</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62.1</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lastRenderedPageBreak/>
              <w:t>Lao PDR</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5.9</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0.0</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62.2</w:t>
            </w:r>
          </w:p>
        </w:tc>
      </w:tr>
      <w:tr w:rsidR="002765BE" w:rsidRPr="009D4C06" w:rsidTr="00964267">
        <w:trPr>
          <w:trHeight w:val="440"/>
        </w:trPr>
        <w:tc>
          <w:tcPr>
            <w:tcW w:w="84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Cambodia</w:t>
            </w:r>
          </w:p>
        </w:tc>
        <w:tc>
          <w:tcPr>
            <w:tcW w:w="1559"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22.4</w:t>
            </w:r>
          </w:p>
        </w:tc>
        <w:tc>
          <w:tcPr>
            <w:tcW w:w="1445"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0.0</w:t>
            </w:r>
          </w:p>
        </w:tc>
        <w:tc>
          <w:tcPr>
            <w:tcW w:w="1153"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62.2</w:t>
            </w:r>
          </w:p>
        </w:tc>
      </w:tr>
    </w:tbl>
    <w:p w:rsidR="002765BE" w:rsidRPr="009D4C06" w:rsidRDefault="002765BE" w:rsidP="002765BE">
      <w:pPr>
        <w:ind w:firstLine="400"/>
        <w:rPr>
          <w:rFonts w:eastAsiaTheme="minorEastAsia"/>
        </w:rPr>
      </w:pPr>
    </w:p>
    <w:p w:rsidR="002765BE" w:rsidRPr="009D4C06" w:rsidRDefault="002765BE" w:rsidP="002765BE">
      <w:pPr>
        <w:spacing w:line="240" w:lineRule="auto"/>
        <w:ind w:firstLineChars="0" w:firstLine="0"/>
        <w:rPr>
          <w:rFonts w:eastAsiaTheme="minorEastAsia"/>
          <w:i/>
          <w:sz w:val="18"/>
          <w:szCs w:val="18"/>
        </w:rPr>
      </w:pPr>
      <w:r w:rsidRPr="009D4C06">
        <w:rPr>
          <w:rFonts w:eastAsiaTheme="minorEastAsia"/>
          <w:sz w:val="24"/>
          <w:szCs w:val="24"/>
        </w:rPr>
        <w:t>Table S4 The actual anti-epidemic resilience ranking (</w:t>
      </w:r>
      <m:oMath>
        <m:sSubSup>
          <m:sSubSupPr>
            <m:ctrlPr>
              <w:rPr>
                <w:rFonts w:ascii="Cambria Math" w:eastAsiaTheme="minorEastAsia" w:hAnsi="Cambria Math"/>
                <w:i/>
                <w:szCs w:val="20"/>
              </w:rPr>
            </m:ctrlPr>
          </m:sSubSupPr>
          <m:e>
            <m:r>
              <w:rPr>
                <w:rFonts w:ascii="Cambria Math" w:eastAsiaTheme="minorEastAsia" w:hAnsi="Cambria Math"/>
                <w:szCs w:val="20"/>
              </w:rPr>
              <m:t>U</m:t>
            </m:r>
          </m:e>
          <m:sub>
            <m:r>
              <w:rPr>
                <w:rFonts w:ascii="Cambria Math" w:eastAsiaTheme="minorEastAsia" w:hAnsi="Cambria Math"/>
                <w:szCs w:val="20"/>
              </w:rPr>
              <m:t>p</m:t>
            </m:r>
          </m:sub>
          <m:sup>
            <m:r>
              <w:rPr>
                <w:rFonts w:ascii="Cambria Math" w:eastAsiaTheme="minorEastAsia" w:hAnsi="Cambria Math"/>
                <w:szCs w:val="20"/>
              </w:rPr>
              <m:t>'</m:t>
            </m:r>
          </m:sup>
        </m:sSubSup>
      </m:oMath>
      <w:r w:rsidRPr="009D4C06">
        <w:rPr>
          <w:rFonts w:eastAsiaTheme="minorEastAsia"/>
          <w:sz w:val="24"/>
          <w:szCs w:val="24"/>
        </w:rPr>
        <w:t xml:space="preserve">) of the Belt and Road countries; low ranks and high </w:t>
      </w:r>
      <m:oMath>
        <m:sSubSup>
          <m:sSubSupPr>
            <m:ctrlPr>
              <w:rPr>
                <w:rFonts w:ascii="Cambria Math" w:eastAsiaTheme="minorEastAsia" w:hAnsi="Cambria Math"/>
                <w:i/>
                <w:szCs w:val="20"/>
              </w:rPr>
            </m:ctrlPr>
          </m:sSubSupPr>
          <m:e>
            <m:r>
              <w:rPr>
                <w:rFonts w:ascii="Cambria Math" w:eastAsiaTheme="minorEastAsia" w:hAnsi="Cambria Math"/>
                <w:szCs w:val="20"/>
              </w:rPr>
              <m:t>U</m:t>
            </m:r>
          </m:e>
          <m:sub>
            <m:r>
              <w:rPr>
                <w:rFonts w:ascii="Cambria Math" w:eastAsiaTheme="minorEastAsia" w:hAnsi="Cambria Math"/>
                <w:szCs w:val="20"/>
              </w:rPr>
              <m:t>p</m:t>
            </m:r>
          </m:sub>
          <m:sup>
            <m:r>
              <w:rPr>
                <w:rFonts w:ascii="Cambria Math" w:eastAsiaTheme="minorEastAsia" w:hAnsi="Cambria Math"/>
                <w:szCs w:val="20"/>
              </w:rPr>
              <m:t>'</m:t>
            </m:r>
          </m:sup>
        </m:sSubSup>
      </m:oMath>
      <w:r w:rsidRPr="009D4C06">
        <w:rPr>
          <w:rFonts w:eastAsiaTheme="minorEastAsia"/>
          <w:sz w:val="24"/>
          <w:szCs w:val="24"/>
        </w:rPr>
        <w:t xml:space="preserve"> represent high resilience</w:t>
      </w:r>
      <w:r w:rsidRPr="009D4C06">
        <w:rPr>
          <w:rFonts w:eastAsiaTheme="minorEastAsia"/>
          <w:sz w:val="18"/>
          <w:szCs w:val="18"/>
        </w:rPr>
        <w:t>.</w:t>
      </w:r>
    </w:p>
    <w:tbl>
      <w:tblPr>
        <w:tblW w:w="8162" w:type="dxa"/>
        <w:tblLayout w:type="fixed"/>
        <w:tblLook w:val="04A0" w:firstRow="1" w:lastRow="0" w:firstColumn="1" w:lastColumn="0" w:noHBand="0" w:noVBand="1"/>
      </w:tblPr>
      <w:tblGrid>
        <w:gridCol w:w="850"/>
        <w:gridCol w:w="1814"/>
        <w:gridCol w:w="1417"/>
        <w:gridCol w:w="850"/>
        <w:gridCol w:w="1814"/>
        <w:gridCol w:w="1417"/>
      </w:tblGrid>
      <w:tr w:rsidR="002765BE" w:rsidRPr="009D4C06" w:rsidTr="00964267">
        <w:trPr>
          <w:trHeight w:val="460"/>
        </w:trPr>
        <w:tc>
          <w:tcPr>
            <w:tcW w:w="850" w:type="dxa"/>
            <w:tcBorders>
              <w:top w:val="single" w:sz="12" w:space="0" w:color="auto"/>
              <w:left w:val="nil"/>
              <w:bottom w:val="single" w:sz="4"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Rank</w:t>
            </w:r>
          </w:p>
        </w:tc>
        <w:tc>
          <w:tcPr>
            <w:tcW w:w="1814" w:type="dxa"/>
            <w:tcBorders>
              <w:top w:val="single" w:sz="12" w:space="0" w:color="auto"/>
              <w:left w:val="nil"/>
              <w:bottom w:val="single" w:sz="4"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Country</w:t>
            </w:r>
          </w:p>
        </w:tc>
        <w:tc>
          <w:tcPr>
            <w:tcW w:w="1417" w:type="dxa"/>
            <w:tcBorders>
              <w:top w:val="single" w:sz="12" w:space="0" w:color="auto"/>
              <w:left w:val="nil"/>
              <w:bottom w:val="single" w:sz="4" w:space="0" w:color="auto"/>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m:oMathPara>
              <m:oMath>
                <m:sSubSup>
                  <m:sSubSupPr>
                    <m:ctrlPr>
                      <w:rPr>
                        <w:rFonts w:ascii="Cambria Math" w:eastAsiaTheme="minorEastAsia" w:hAnsi="Cambria Math"/>
                        <w:i/>
                        <w:szCs w:val="20"/>
                      </w:rPr>
                    </m:ctrlPr>
                  </m:sSubSupPr>
                  <m:e>
                    <m:r>
                      <w:rPr>
                        <w:rFonts w:ascii="Cambria Math" w:eastAsiaTheme="minorEastAsia" w:hAnsi="Cambria Math"/>
                        <w:szCs w:val="20"/>
                      </w:rPr>
                      <m:t>U</m:t>
                    </m:r>
                  </m:e>
                  <m:sub>
                    <m:r>
                      <w:rPr>
                        <w:rFonts w:ascii="Cambria Math" w:eastAsiaTheme="minorEastAsia" w:hAnsi="Cambria Math"/>
                        <w:szCs w:val="20"/>
                      </w:rPr>
                      <m:t>p</m:t>
                    </m:r>
                  </m:sub>
                  <m:sup>
                    <m:r>
                      <w:rPr>
                        <w:rFonts w:ascii="Cambria Math" w:eastAsiaTheme="minorEastAsia" w:hAnsi="Cambria Math"/>
                        <w:szCs w:val="20"/>
                      </w:rPr>
                      <m:t>'</m:t>
                    </m:r>
                  </m:sup>
                </m:sSubSup>
              </m:oMath>
            </m:oMathPara>
          </w:p>
        </w:tc>
        <w:tc>
          <w:tcPr>
            <w:tcW w:w="850" w:type="dxa"/>
            <w:tcBorders>
              <w:top w:val="single" w:sz="12" w:space="0" w:color="auto"/>
              <w:left w:val="single" w:sz="12" w:space="0" w:color="auto"/>
              <w:bottom w:val="single" w:sz="4"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Rank</w:t>
            </w:r>
          </w:p>
        </w:tc>
        <w:tc>
          <w:tcPr>
            <w:tcW w:w="1814" w:type="dxa"/>
            <w:tcBorders>
              <w:top w:val="single" w:sz="12" w:space="0" w:color="auto"/>
              <w:left w:val="nil"/>
              <w:bottom w:val="single" w:sz="4"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Country</w:t>
            </w:r>
          </w:p>
        </w:tc>
        <w:tc>
          <w:tcPr>
            <w:tcW w:w="1417" w:type="dxa"/>
            <w:tcBorders>
              <w:top w:val="single" w:sz="12" w:space="0" w:color="auto"/>
              <w:left w:val="nil"/>
              <w:bottom w:val="single" w:sz="4"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m:oMathPara>
              <m:oMath>
                <m:sSubSup>
                  <m:sSubSupPr>
                    <m:ctrlPr>
                      <w:rPr>
                        <w:rFonts w:ascii="Cambria Math" w:eastAsiaTheme="minorEastAsia" w:hAnsi="Cambria Math"/>
                        <w:i/>
                        <w:szCs w:val="20"/>
                      </w:rPr>
                    </m:ctrlPr>
                  </m:sSubSupPr>
                  <m:e>
                    <m:r>
                      <w:rPr>
                        <w:rFonts w:ascii="Cambria Math" w:eastAsiaTheme="minorEastAsia" w:hAnsi="Cambria Math"/>
                        <w:szCs w:val="20"/>
                      </w:rPr>
                      <m:t>U</m:t>
                    </m:r>
                  </m:e>
                  <m:sub>
                    <m:r>
                      <w:rPr>
                        <w:rFonts w:ascii="Cambria Math" w:eastAsiaTheme="minorEastAsia" w:hAnsi="Cambria Math"/>
                        <w:szCs w:val="20"/>
                      </w:rPr>
                      <m:t>p</m:t>
                    </m:r>
                  </m:sub>
                  <m:sup>
                    <m:r>
                      <w:rPr>
                        <w:rFonts w:ascii="Cambria Math" w:eastAsiaTheme="minorEastAsia" w:hAnsi="Cambria Math"/>
                        <w:szCs w:val="20"/>
                      </w:rPr>
                      <m:t>'</m:t>
                    </m:r>
                  </m:sup>
                </m:sSubSup>
              </m:oMath>
            </m:oMathPara>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China</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1.00</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28</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Myanmar</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0.419</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Singapore</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0.958</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29</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Bangladesh</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0.418</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United Arab Emirates</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0.821</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30</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Egypt</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0.416</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Saudi Arabia</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0.817</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31</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Poland</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0.416</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5</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Viet</w:t>
            </w:r>
            <w:r w:rsidRPr="009D4C06">
              <w:rPr>
                <w:rFonts w:eastAsiaTheme="minorEastAsia" w:hint="eastAsia"/>
                <w:szCs w:val="20"/>
              </w:rPr>
              <w:t>n</w:t>
            </w:r>
            <w:r w:rsidRPr="009D4C06">
              <w:rPr>
                <w:rFonts w:eastAsiaTheme="minorEastAsia"/>
                <w:szCs w:val="20"/>
              </w:rPr>
              <w:t>am</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0.770</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32</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Nepal</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0.405</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6</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Cyprus</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0.735</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33</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Kyrgyzstan</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0.402</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7</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Oman</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0.677</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34</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Bahrain</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0.379</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8</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Turkey</w:t>
            </w:r>
          </w:p>
        </w:tc>
        <w:tc>
          <w:tcPr>
            <w:tcW w:w="1417" w:type="dxa"/>
            <w:tcBorders>
              <w:top w:val="nil"/>
              <w:left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0.672</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35</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Ukraine</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0.378</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9</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Malaysia</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0.669</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36</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Indonesia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0.358</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10</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Brunei</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0.604</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37</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Philippines</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0.340</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11</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Greece</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0.603</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38</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Hungary</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0.329</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12</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Azerbaijan</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0.597</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39</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India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0.326</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13</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Estonia</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0.592</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40</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Slovakia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0.311</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14</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Kuwait</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0.575</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41</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Jordan</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0.300</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15</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Thailand</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0.565</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42</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Sri Lanka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0.300</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16</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Pakistan</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0.491</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43</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Moldova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0.293</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17</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Israel</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0.482</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44</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Serbia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0.279</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18</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Latvia</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0.482</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45</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Lithuania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0.241</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19</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Albania</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0.451</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46</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Iran</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0.221</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20</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Belarus</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0.451</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47</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Georgia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0.208</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21</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Qatar</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0.450</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48</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Bulgaria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0.190</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22</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Uzbekistan</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0.440</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49</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Croatia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0.166</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23</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Lao PDR</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0.435</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50</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Romania</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0.160</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lastRenderedPageBreak/>
              <w:t>24</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Cambodia</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0.435</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51</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Bosnia and Herz.</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0.103</w:t>
            </w:r>
          </w:p>
        </w:tc>
      </w:tr>
      <w:tr w:rsidR="002765BE" w:rsidRPr="009D4C06" w:rsidTr="00964267">
        <w:trPr>
          <w:trHeight w:val="460"/>
        </w:trPr>
        <w:tc>
          <w:tcPr>
            <w:tcW w:w="850"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25</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Mongolia</w:t>
            </w:r>
          </w:p>
        </w:tc>
        <w:tc>
          <w:tcPr>
            <w:tcW w:w="1417" w:type="dxa"/>
            <w:tcBorders>
              <w:top w:val="nil"/>
              <w:left w:val="nil"/>
              <w:bottom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0.435</w:t>
            </w:r>
          </w:p>
        </w:tc>
        <w:tc>
          <w:tcPr>
            <w:tcW w:w="850" w:type="dxa"/>
            <w:tcBorders>
              <w:top w:val="nil"/>
              <w:left w:val="single" w:sz="12" w:space="0" w:color="auto"/>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52</w:t>
            </w:r>
          </w:p>
        </w:tc>
        <w:tc>
          <w:tcPr>
            <w:tcW w:w="1814"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Czech Rep.</w:t>
            </w:r>
          </w:p>
        </w:tc>
        <w:tc>
          <w:tcPr>
            <w:tcW w:w="1417" w:type="dxa"/>
            <w:tcBorders>
              <w:top w:val="nil"/>
              <w:left w:val="nil"/>
              <w:bottom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0.021</w:t>
            </w:r>
          </w:p>
        </w:tc>
      </w:tr>
      <w:tr w:rsidR="002765BE" w:rsidRPr="009D4C06" w:rsidTr="00964267">
        <w:trPr>
          <w:trHeight w:val="460"/>
        </w:trPr>
        <w:tc>
          <w:tcPr>
            <w:tcW w:w="850" w:type="dxa"/>
            <w:tcBorders>
              <w:top w:val="nil"/>
              <w:left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26</w:t>
            </w:r>
          </w:p>
        </w:tc>
        <w:tc>
          <w:tcPr>
            <w:tcW w:w="1814" w:type="dxa"/>
            <w:tcBorders>
              <w:top w:val="nil"/>
              <w:left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Kazakhstan</w:t>
            </w:r>
          </w:p>
        </w:tc>
        <w:tc>
          <w:tcPr>
            <w:tcW w:w="1417" w:type="dxa"/>
            <w:tcBorders>
              <w:top w:val="nil"/>
              <w:left w:val="nil"/>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0.420</w:t>
            </w:r>
          </w:p>
        </w:tc>
        <w:tc>
          <w:tcPr>
            <w:tcW w:w="850" w:type="dxa"/>
            <w:tcBorders>
              <w:top w:val="nil"/>
              <w:left w:val="single" w:sz="12"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53</w:t>
            </w:r>
          </w:p>
        </w:tc>
        <w:tc>
          <w:tcPr>
            <w:tcW w:w="1814" w:type="dxa"/>
            <w:tcBorders>
              <w:top w:val="nil"/>
              <w:left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Slovenia</w:t>
            </w:r>
          </w:p>
        </w:tc>
        <w:tc>
          <w:tcPr>
            <w:tcW w:w="1417" w:type="dxa"/>
            <w:tcBorders>
              <w:top w:val="nil"/>
              <w:left w:val="nil"/>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w:t>
            </w:r>
          </w:p>
        </w:tc>
      </w:tr>
      <w:tr w:rsidR="002765BE" w:rsidRPr="009D4C06" w:rsidTr="00964267">
        <w:trPr>
          <w:trHeight w:val="480"/>
        </w:trPr>
        <w:tc>
          <w:tcPr>
            <w:tcW w:w="850" w:type="dxa"/>
            <w:tcBorders>
              <w:top w:val="nil"/>
              <w:left w:val="nil"/>
              <w:bottom w:val="single" w:sz="12"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27</w:t>
            </w:r>
          </w:p>
        </w:tc>
        <w:tc>
          <w:tcPr>
            <w:tcW w:w="1814" w:type="dxa"/>
            <w:tcBorders>
              <w:top w:val="nil"/>
              <w:left w:val="nil"/>
              <w:bottom w:val="single" w:sz="12"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Russia</w:t>
            </w:r>
          </w:p>
        </w:tc>
        <w:tc>
          <w:tcPr>
            <w:tcW w:w="1417" w:type="dxa"/>
            <w:tcBorders>
              <w:top w:val="nil"/>
              <w:left w:val="nil"/>
              <w:bottom w:val="single" w:sz="12" w:space="0" w:color="auto"/>
              <w:right w:val="single" w:sz="12" w:space="0" w:color="auto"/>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r w:rsidRPr="009D4C06">
              <w:rPr>
                <w:rFonts w:eastAsiaTheme="minorEastAsia"/>
                <w:szCs w:val="20"/>
              </w:rPr>
              <w:t>0.420</w:t>
            </w:r>
          </w:p>
        </w:tc>
        <w:tc>
          <w:tcPr>
            <w:tcW w:w="850" w:type="dxa"/>
            <w:tcBorders>
              <w:top w:val="nil"/>
              <w:left w:val="single" w:sz="12" w:space="0" w:color="auto"/>
              <w:bottom w:val="single" w:sz="12"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p>
        </w:tc>
        <w:tc>
          <w:tcPr>
            <w:tcW w:w="1814" w:type="dxa"/>
            <w:tcBorders>
              <w:top w:val="nil"/>
              <w:left w:val="nil"/>
              <w:bottom w:val="single" w:sz="12"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p>
        </w:tc>
        <w:tc>
          <w:tcPr>
            <w:tcW w:w="1417" w:type="dxa"/>
            <w:tcBorders>
              <w:top w:val="nil"/>
              <w:left w:val="nil"/>
              <w:bottom w:val="single" w:sz="12" w:space="0" w:color="auto"/>
              <w:right w:val="nil"/>
            </w:tcBorders>
            <w:shd w:val="clear" w:color="auto" w:fill="auto"/>
            <w:vAlign w:val="center"/>
          </w:tcPr>
          <w:p w:rsidR="002765BE" w:rsidRPr="009D4C06" w:rsidRDefault="002765BE" w:rsidP="00964267">
            <w:pPr>
              <w:spacing w:line="240" w:lineRule="auto"/>
              <w:ind w:firstLineChars="0" w:firstLine="0"/>
              <w:jc w:val="center"/>
              <w:rPr>
                <w:rFonts w:eastAsiaTheme="minorEastAsia"/>
                <w:szCs w:val="20"/>
              </w:rPr>
            </w:pPr>
          </w:p>
        </w:tc>
      </w:tr>
    </w:tbl>
    <w:p w:rsidR="002765BE" w:rsidRPr="009D4C06" w:rsidRDefault="002765BE" w:rsidP="002765BE">
      <w:pPr>
        <w:widowControl/>
        <w:spacing w:line="240" w:lineRule="auto"/>
        <w:ind w:firstLineChars="0" w:firstLine="0"/>
        <w:jc w:val="left"/>
        <w:rPr>
          <w:rFonts w:eastAsiaTheme="minorEastAsia"/>
        </w:rPr>
      </w:pPr>
    </w:p>
    <w:p w:rsidR="002765BE" w:rsidRPr="009D4C06" w:rsidRDefault="002765BE" w:rsidP="002765BE">
      <w:pPr>
        <w:spacing w:line="240" w:lineRule="auto"/>
        <w:ind w:firstLineChars="0" w:firstLine="0"/>
        <w:rPr>
          <w:rFonts w:eastAsiaTheme="minorEastAsia"/>
          <w:sz w:val="24"/>
          <w:szCs w:val="24"/>
        </w:rPr>
      </w:pPr>
      <w:r w:rsidRPr="009D4C06">
        <w:rPr>
          <w:rFonts w:eastAsiaTheme="minorEastAsia"/>
          <w:sz w:val="24"/>
          <w:szCs w:val="24"/>
        </w:rPr>
        <w:t>Table S5 Resilience scores for the 53 Belt and Road countries based on the values of the five first-level dimensions of anti-pandemic resilience. Countries are arranged from most to least resilient based on the data in Table 3.</w:t>
      </w:r>
    </w:p>
    <w:tbl>
      <w:tblPr>
        <w:tblStyle w:val="aff"/>
        <w:tblW w:w="4871" w:type="pct"/>
        <w:tblLook w:val="04A0" w:firstRow="1" w:lastRow="0" w:firstColumn="1" w:lastColumn="0" w:noHBand="0" w:noVBand="1"/>
      </w:tblPr>
      <w:tblGrid>
        <w:gridCol w:w="2151"/>
        <w:gridCol w:w="1291"/>
        <w:gridCol w:w="1425"/>
        <w:gridCol w:w="1069"/>
        <w:gridCol w:w="883"/>
        <w:gridCol w:w="1267"/>
      </w:tblGrid>
      <w:tr w:rsidR="002765BE" w:rsidRPr="009D4C06" w:rsidTr="00964267">
        <w:trPr>
          <w:cnfStyle w:val="100000000000" w:firstRow="1" w:lastRow="0" w:firstColumn="0" w:lastColumn="0" w:oddVBand="0" w:evenVBand="0" w:oddHBand="0" w:evenHBand="0" w:firstRowFirstColumn="0" w:firstRowLastColumn="0" w:lastRowFirstColumn="0" w:lastRowLastColumn="0"/>
          <w:trHeight w:val="440"/>
        </w:trPr>
        <w:tc>
          <w:tcPr>
            <w:tcW w:w="1331" w:type="pct"/>
            <w:vMerge w:val="restart"/>
            <w:noWrap/>
            <w:vAlign w:val="center"/>
          </w:tcPr>
          <w:p w:rsidR="002765BE" w:rsidRPr="009D4C06" w:rsidRDefault="002765BE" w:rsidP="00964267">
            <w:pPr>
              <w:spacing w:line="240" w:lineRule="auto"/>
              <w:ind w:firstLine="440"/>
              <w:jc w:val="center"/>
              <w:rPr>
                <w:rFonts w:eastAsiaTheme="minorEastAsia"/>
                <w:sz w:val="22"/>
              </w:rPr>
            </w:pPr>
            <w:r w:rsidRPr="009D4C06">
              <w:rPr>
                <w:rFonts w:eastAsiaTheme="minorEastAsia" w:hint="eastAsia"/>
                <w:sz w:val="22"/>
              </w:rPr>
              <w:t>Country</w:t>
            </w:r>
          </w:p>
        </w:tc>
        <w:tc>
          <w:tcPr>
            <w:tcW w:w="3669" w:type="pct"/>
            <w:gridSpan w:val="5"/>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Resilience</w:t>
            </w:r>
          </w:p>
        </w:tc>
      </w:tr>
      <w:tr w:rsidR="002765BE" w:rsidRPr="009D4C06" w:rsidTr="00964267">
        <w:trPr>
          <w:trHeight w:val="440"/>
        </w:trPr>
        <w:tc>
          <w:tcPr>
            <w:tcW w:w="1331" w:type="pct"/>
            <w:vMerge/>
            <w:noWrap/>
            <w:vAlign w:val="center"/>
          </w:tcPr>
          <w:p w:rsidR="002765BE" w:rsidRPr="009D4C06" w:rsidRDefault="002765BE" w:rsidP="00964267">
            <w:pPr>
              <w:spacing w:line="240" w:lineRule="auto"/>
              <w:ind w:firstLineChars="0" w:firstLine="0"/>
              <w:jc w:val="center"/>
              <w:rPr>
                <w:rFonts w:eastAsiaTheme="minorEastAsia"/>
                <w:sz w:val="22"/>
              </w:rPr>
            </w:pP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Institutional</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Infrastructure</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Economy</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Society</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Technology</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Israel</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0.388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0.088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0.091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0.145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0.046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Bahrain</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0.406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0.101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0.058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0.103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0.021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China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0.396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0.069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0.091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0.106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0.035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Singapore</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0.309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0.108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0.103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0.129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0.040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United Arab Emirates</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0.334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0.109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0.090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0.111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0.033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Oman</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0.360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0.075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0.078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0.112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0.015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Qatar</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0.343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0.102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0.085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0.093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0.026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Saudi Arabia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0.384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0.090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0.044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0.114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0.019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Kuwait</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0.381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0.105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0.054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0.102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0.014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Cyprus</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0.300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0.067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0.076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0.136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0.027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Hungary</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0.268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0.082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0.061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0.115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0.029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Estonia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0.221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0.094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0.079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0.126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0.031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Viet</w:t>
            </w:r>
            <w:r w:rsidRPr="009D4C06">
              <w:rPr>
                <w:rFonts w:eastAsiaTheme="minorEastAsia" w:hint="eastAsia"/>
                <w:sz w:val="22"/>
              </w:rPr>
              <w:t>n</w:t>
            </w:r>
            <w:r w:rsidRPr="009D4C06">
              <w:rPr>
                <w:rFonts w:eastAsiaTheme="minorEastAsia"/>
                <w:sz w:val="22"/>
              </w:rPr>
              <w:t>am</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0.247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0.060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0.084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0.098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0.015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Greece</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0.275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0.077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0.021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0.130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0.025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Poland</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0.228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0.086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0.068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0.122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0.028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Slovenia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0.242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0.086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0.066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0.137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0.032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Turkey</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0.245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0.061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0.060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0.105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0.019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Lithuania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0.217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0.085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0.066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0.110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0.025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Latvia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0.197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0.073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0.055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0.110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0.024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Russia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0.211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0.076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0.029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0.106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0.019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Georgia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0.220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0.055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0.040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0.093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0.016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lastRenderedPageBreak/>
              <w:t>Czech Rep.</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0.195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0.096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0.065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0.121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0.035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Brunei Darussalam</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0.150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0.071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0.051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0.112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0.017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Malaysia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0.196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0.074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0.061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0.103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0.023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Croatia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0.151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0.072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0.041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0.111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0.023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Slovakia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0.167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0.077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0.057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0.112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0.024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India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0.211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0.036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0.062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0.086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0.014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Ukraine</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0.161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0.069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0.029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0.105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0.015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Romania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0.145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0.067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0.065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0.099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0.018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Bulgaria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0.116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0.074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0.051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0.098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0.021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Albania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0.156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0.048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0.038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0.105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0.011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Thailand</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0.129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0.063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0.044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0.112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0.021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Azerbaijan</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0.192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0.049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0.014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0.075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0.010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Serbia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0.137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0.069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0.046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0.097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0.021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Jordan</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0.150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0.057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0.030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0.097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0.013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Philippines</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0.167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0.044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0.061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0.072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0.010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Kazakhstan</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0.154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0.074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0.047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0.094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0.010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Mongolia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0.128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0.041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0.046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0.098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0.013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Belarus</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0.093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0.069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0.021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0.114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0.018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Indonesia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0.126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0.042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0.060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0.075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0.009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Sri Lanka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0.128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0.034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0.045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0.075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0.010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Moldova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0.107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0.051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0.036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0.094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0.014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Pakistan</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0.148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0.014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0.057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0.012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0.003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Bangladesh</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0.169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0.014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0.087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0.036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0.004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Nepal</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0.162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0.020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0.064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0.061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0.005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Uzbekistan</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0.083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0.045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0.071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0.097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0.005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Egypt</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0.115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0.045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0.064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0.074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0.010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Bosnia and Herz.</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0.079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0.057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0.035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0.097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0.014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Kyrgyzstan</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0.110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0.043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0.037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0.102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0.005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Iran</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0.091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0.050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0.022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0.099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0.014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Myanmar</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0.151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0.010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0.048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0.035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0.000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t>Lao PDR</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0.070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0.015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0.079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0.042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0.004 </w:t>
            </w:r>
          </w:p>
        </w:tc>
      </w:tr>
      <w:tr w:rsidR="002765BE" w:rsidRPr="009D4C06" w:rsidTr="00964267">
        <w:trPr>
          <w:trHeight w:val="440"/>
        </w:trPr>
        <w:tc>
          <w:tcPr>
            <w:tcW w:w="1331" w:type="pct"/>
            <w:noWrap/>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sz w:val="22"/>
              </w:rPr>
              <w:lastRenderedPageBreak/>
              <w:t>Cambodia</w:t>
            </w:r>
          </w:p>
        </w:tc>
        <w:tc>
          <w:tcPr>
            <w:tcW w:w="798"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0.030 </w:t>
            </w:r>
          </w:p>
        </w:tc>
        <w:tc>
          <w:tcPr>
            <w:tcW w:w="88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0.033 </w:t>
            </w:r>
          </w:p>
        </w:tc>
        <w:tc>
          <w:tcPr>
            <w:tcW w:w="661" w:type="pct"/>
            <w:noWrap/>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0.076 </w:t>
            </w:r>
          </w:p>
        </w:tc>
        <w:tc>
          <w:tcPr>
            <w:tcW w:w="546"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0.049 </w:t>
            </w:r>
          </w:p>
        </w:tc>
        <w:tc>
          <w:tcPr>
            <w:tcW w:w="782" w:type="pct"/>
            <w:vAlign w:val="center"/>
          </w:tcPr>
          <w:p w:rsidR="002765BE" w:rsidRPr="009D4C06" w:rsidRDefault="002765BE" w:rsidP="00964267">
            <w:pPr>
              <w:spacing w:line="240" w:lineRule="auto"/>
              <w:ind w:firstLineChars="0" w:firstLine="0"/>
              <w:jc w:val="center"/>
              <w:rPr>
                <w:rFonts w:eastAsiaTheme="minorEastAsia"/>
                <w:sz w:val="22"/>
              </w:rPr>
            </w:pPr>
            <w:r w:rsidRPr="009D4C06">
              <w:rPr>
                <w:rFonts w:eastAsiaTheme="minorEastAsia" w:hint="eastAsia"/>
                <w:sz w:val="22"/>
              </w:rPr>
              <w:t xml:space="preserve">0.004 </w:t>
            </w:r>
          </w:p>
        </w:tc>
      </w:tr>
    </w:tbl>
    <w:p w:rsidR="00F3477B" w:rsidRDefault="002765BE">
      <w:pPr>
        <w:ind w:firstLine="400"/>
      </w:pPr>
      <w:bookmarkStart w:id="0" w:name="_GoBack"/>
      <w:bookmarkEnd w:id="0"/>
    </w:p>
    <w:sectPr w:rsidR="00F3477B" w:rsidSect="006854F2">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Roman">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04524"/>
    <w:multiLevelType w:val="multilevel"/>
    <w:tmpl w:val="5CE0452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BE"/>
    <w:rsid w:val="000A2500"/>
    <w:rsid w:val="00102B65"/>
    <w:rsid w:val="001D06E8"/>
    <w:rsid w:val="00205A1A"/>
    <w:rsid w:val="00263C14"/>
    <w:rsid w:val="002765BE"/>
    <w:rsid w:val="00296036"/>
    <w:rsid w:val="003148E7"/>
    <w:rsid w:val="004E3676"/>
    <w:rsid w:val="004F183B"/>
    <w:rsid w:val="00555E68"/>
    <w:rsid w:val="005C506C"/>
    <w:rsid w:val="005D0556"/>
    <w:rsid w:val="006854F2"/>
    <w:rsid w:val="006B17FB"/>
    <w:rsid w:val="007B7343"/>
    <w:rsid w:val="007D414C"/>
    <w:rsid w:val="00850970"/>
    <w:rsid w:val="008A4809"/>
    <w:rsid w:val="00A01219"/>
    <w:rsid w:val="00A06E10"/>
    <w:rsid w:val="00A11C29"/>
    <w:rsid w:val="00A23C67"/>
    <w:rsid w:val="00AD4B11"/>
    <w:rsid w:val="00B44796"/>
    <w:rsid w:val="00B57AC5"/>
    <w:rsid w:val="00C05F00"/>
    <w:rsid w:val="00C31E11"/>
    <w:rsid w:val="00CA0D5F"/>
    <w:rsid w:val="00CE7421"/>
    <w:rsid w:val="00D6634F"/>
    <w:rsid w:val="00D97549"/>
    <w:rsid w:val="00F01DDE"/>
    <w:rsid w:val="00F8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87C3"/>
  <w14:defaultImageDpi w14:val="32767"/>
  <w15:chartTrackingRefBased/>
  <w15:docId w15:val="{9720FDC3-B6B8-B442-9E5B-34FB2678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765BE"/>
    <w:pPr>
      <w:widowControl w:val="0"/>
      <w:spacing w:line="360" w:lineRule="auto"/>
      <w:ind w:firstLineChars="200" w:firstLine="200"/>
      <w:jc w:val="both"/>
    </w:pPr>
    <w:rPr>
      <w:rFonts w:ascii="Times New Roman" w:eastAsia="Times New Roman" w:hAnsi="Times New Roman"/>
      <w:sz w:val="20"/>
      <w:szCs w:val="22"/>
    </w:rPr>
  </w:style>
  <w:style w:type="paragraph" w:styleId="1">
    <w:name w:val="heading 1"/>
    <w:basedOn w:val="a"/>
    <w:next w:val="a"/>
    <w:link w:val="10"/>
    <w:uiPriority w:val="9"/>
    <w:qFormat/>
    <w:rsid w:val="002765BE"/>
    <w:pPr>
      <w:keepNext/>
      <w:keepLines/>
      <w:ind w:firstLineChars="0" w:firstLine="0"/>
      <w:outlineLvl w:val="0"/>
    </w:pPr>
    <w:rPr>
      <w:b/>
      <w:bCs/>
      <w:kern w:val="44"/>
      <w:sz w:val="22"/>
      <w:szCs w:val="44"/>
    </w:rPr>
  </w:style>
  <w:style w:type="paragraph" w:styleId="2">
    <w:name w:val="heading 2"/>
    <w:basedOn w:val="a"/>
    <w:next w:val="a"/>
    <w:link w:val="20"/>
    <w:uiPriority w:val="9"/>
    <w:unhideWhenUsed/>
    <w:qFormat/>
    <w:rsid w:val="002765BE"/>
    <w:pPr>
      <w:keepNext/>
      <w:keepLines/>
      <w:ind w:firstLineChars="0" w:firstLine="0"/>
      <w:outlineLvl w:val="1"/>
    </w:pPr>
    <w:rPr>
      <w:rFonts w:eastAsiaTheme="majorEastAsia" w:cstheme="majorBidi"/>
      <w:bCs/>
      <w:szCs w:val="32"/>
    </w:rPr>
  </w:style>
  <w:style w:type="paragraph" w:styleId="3">
    <w:name w:val="heading 3"/>
    <w:basedOn w:val="a"/>
    <w:next w:val="a"/>
    <w:link w:val="30"/>
    <w:uiPriority w:val="9"/>
    <w:unhideWhenUsed/>
    <w:qFormat/>
    <w:rsid w:val="002765BE"/>
    <w:pPr>
      <w:keepNext/>
      <w:keepLines/>
      <w:ind w:firstLineChars="0" w:firstLine="0"/>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2765BE"/>
    <w:rPr>
      <w:rFonts w:ascii="Times New Roman" w:eastAsia="Times New Roman" w:hAnsi="Times New Roman"/>
      <w:b/>
      <w:bCs/>
      <w:kern w:val="44"/>
      <w:sz w:val="22"/>
      <w:szCs w:val="44"/>
    </w:rPr>
  </w:style>
  <w:style w:type="character" w:customStyle="1" w:styleId="20">
    <w:name w:val="标题 2 字符"/>
    <w:basedOn w:val="a0"/>
    <w:link w:val="2"/>
    <w:uiPriority w:val="9"/>
    <w:qFormat/>
    <w:rsid w:val="002765BE"/>
    <w:rPr>
      <w:rFonts w:ascii="Times New Roman" w:eastAsiaTheme="majorEastAsia" w:hAnsi="Times New Roman" w:cstheme="majorBidi"/>
      <w:bCs/>
      <w:sz w:val="20"/>
      <w:szCs w:val="32"/>
    </w:rPr>
  </w:style>
  <w:style w:type="character" w:customStyle="1" w:styleId="30">
    <w:name w:val="标题 3 字符"/>
    <w:basedOn w:val="a0"/>
    <w:link w:val="3"/>
    <w:uiPriority w:val="9"/>
    <w:qFormat/>
    <w:rsid w:val="002765BE"/>
    <w:rPr>
      <w:rFonts w:ascii="Times New Roman" w:eastAsia="Times New Roman" w:hAnsi="Times New Roman"/>
      <w:bCs/>
      <w:sz w:val="20"/>
      <w:szCs w:val="32"/>
    </w:rPr>
  </w:style>
  <w:style w:type="paragraph" w:styleId="a3">
    <w:name w:val="annotation text"/>
    <w:link w:val="a4"/>
    <w:uiPriority w:val="99"/>
    <w:unhideWhenUsed/>
    <w:rsid w:val="002765BE"/>
    <w:rPr>
      <w:rFonts w:ascii="Times New Roman" w:eastAsia="宋体" w:hAnsi="Times New Roman" w:cs="Times New Roman"/>
      <w:kern w:val="0"/>
    </w:rPr>
  </w:style>
  <w:style w:type="character" w:customStyle="1" w:styleId="a4">
    <w:name w:val="批注文字 字符"/>
    <w:basedOn w:val="a0"/>
    <w:link w:val="a3"/>
    <w:uiPriority w:val="99"/>
    <w:rsid w:val="002765BE"/>
    <w:rPr>
      <w:rFonts w:ascii="Times New Roman" w:eastAsia="宋体" w:hAnsi="Times New Roman" w:cs="Times New Roman"/>
      <w:kern w:val="0"/>
    </w:rPr>
  </w:style>
  <w:style w:type="paragraph" w:styleId="a5">
    <w:name w:val="endnote text"/>
    <w:basedOn w:val="a"/>
    <w:link w:val="a6"/>
    <w:uiPriority w:val="99"/>
    <w:unhideWhenUsed/>
    <w:qFormat/>
    <w:rsid w:val="002765BE"/>
    <w:pPr>
      <w:widowControl/>
      <w:spacing w:line="240" w:lineRule="auto"/>
      <w:ind w:firstLineChars="0" w:firstLine="0"/>
      <w:jc w:val="left"/>
    </w:pPr>
    <w:rPr>
      <w:rFonts w:ascii="宋体" w:eastAsia="宋体" w:hAnsi="宋体" w:cs="宋体"/>
      <w:kern w:val="0"/>
      <w:szCs w:val="20"/>
    </w:rPr>
  </w:style>
  <w:style w:type="character" w:customStyle="1" w:styleId="a6">
    <w:name w:val="尾注文本 字符"/>
    <w:basedOn w:val="a0"/>
    <w:link w:val="a5"/>
    <w:uiPriority w:val="99"/>
    <w:qFormat/>
    <w:rsid w:val="002765BE"/>
    <w:rPr>
      <w:rFonts w:ascii="宋体" w:eastAsia="宋体" w:hAnsi="宋体" w:cs="宋体"/>
      <w:kern w:val="0"/>
      <w:sz w:val="20"/>
      <w:szCs w:val="20"/>
    </w:rPr>
  </w:style>
  <w:style w:type="paragraph" w:styleId="a7">
    <w:name w:val="Balloon Text"/>
    <w:link w:val="a8"/>
    <w:uiPriority w:val="99"/>
    <w:semiHidden/>
    <w:unhideWhenUsed/>
    <w:rsid w:val="002765BE"/>
    <w:rPr>
      <w:rFonts w:ascii="Times New Roman" w:eastAsia="宋体" w:hAnsi="Times New Roman" w:cs="Times New Roman"/>
      <w:kern w:val="0"/>
      <w:szCs w:val="18"/>
    </w:rPr>
  </w:style>
  <w:style w:type="character" w:customStyle="1" w:styleId="a8">
    <w:name w:val="批注框文本 字符"/>
    <w:basedOn w:val="a0"/>
    <w:link w:val="a7"/>
    <w:uiPriority w:val="99"/>
    <w:semiHidden/>
    <w:rsid w:val="002765BE"/>
    <w:rPr>
      <w:rFonts w:ascii="Times New Roman" w:eastAsia="宋体" w:hAnsi="Times New Roman" w:cs="Times New Roman"/>
      <w:kern w:val="0"/>
      <w:szCs w:val="18"/>
    </w:rPr>
  </w:style>
  <w:style w:type="paragraph" w:styleId="a9">
    <w:name w:val="footer"/>
    <w:basedOn w:val="a"/>
    <w:link w:val="aa"/>
    <w:uiPriority w:val="99"/>
    <w:unhideWhenUsed/>
    <w:qFormat/>
    <w:rsid w:val="002765BE"/>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qFormat/>
    <w:rsid w:val="002765BE"/>
    <w:rPr>
      <w:rFonts w:ascii="Times New Roman" w:eastAsia="Times New Roman" w:hAnsi="Times New Roman"/>
      <w:sz w:val="18"/>
      <w:szCs w:val="18"/>
    </w:rPr>
  </w:style>
  <w:style w:type="paragraph" w:styleId="ab">
    <w:name w:val="header"/>
    <w:basedOn w:val="a"/>
    <w:link w:val="ac"/>
    <w:uiPriority w:val="99"/>
    <w:unhideWhenUsed/>
    <w:qFormat/>
    <w:rsid w:val="002765BE"/>
    <w:pPr>
      <w:pBdr>
        <w:bottom w:val="single" w:sz="6" w:space="1" w:color="auto"/>
      </w:pBdr>
      <w:tabs>
        <w:tab w:val="center" w:pos="4153"/>
        <w:tab w:val="right" w:pos="8306"/>
      </w:tabs>
      <w:snapToGrid w:val="0"/>
      <w:spacing w:line="240" w:lineRule="auto"/>
      <w:jc w:val="center"/>
    </w:pPr>
    <w:rPr>
      <w:sz w:val="18"/>
      <w:szCs w:val="18"/>
    </w:rPr>
  </w:style>
  <w:style w:type="character" w:customStyle="1" w:styleId="ac">
    <w:name w:val="页眉 字符"/>
    <w:basedOn w:val="a0"/>
    <w:link w:val="ab"/>
    <w:uiPriority w:val="99"/>
    <w:qFormat/>
    <w:rsid w:val="002765BE"/>
    <w:rPr>
      <w:rFonts w:ascii="Times New Roman" w:eastAsia="Times New Roman" w:hAnsi="Times New Roman"/>
      <w:sz w:val="18"/>
      <w:szCs w:val="18"/>
    </w:rPr>
  </w:style>
  <w:style w:type="paragraph" w:styleId="ad">
    <w:name w:val="footnote text"/>
    <w:basedOn w:val="a"/>
    <w:link w:val="ae"/>
    <w:uiPriority w:val="99"/>
    <w:unhideWhenUsed/>
    <w:qFormat/>
    <w:rsid w:val="002765BE"/>
    <w:pPr>
      <w:widowControl/>
      <w:snapToGrid w:val="0"/>
      <w:spacing w:line="240" w:lineRule="auto"/>
      <w:ind w:firstLineChars="0" w:firstLine="0"/>
      <w:jc w:val="left"/>
    </w:pPr>
    <w:rPr>
      <w:rFonts w:ascii="宋体" w:eastAsia="宋体" w:hAnsi="宋体" w:cs="宋体"/>
      <w:kern w:val="0"/>
      <w:sz w:val="18"/>
      <w:szCs w:val="18"/>
    </w:rPr>
  </w:style>
  <w:style w:type="character" w:customStyle="1" w:styleId="ae">
    <w:name w:val="脚注文本 字符"/>
    <w:basedOn w:val="a0"/>
    <w:link w:val="ad"/>
    <w:uiPriority w:val="99"/>
    <w:qFormat/>
    <w:rsid w:val="002765BE"/>
    <w:rPr>
      <w:rFonts w:ascii="宋体" w:eastAsia="宋体" w:hAnsi="宋体" w:cs="宋体"/>
      <w:kern w:val="0"/>
      <w:sz w:val="18"/>
      <w:szCs w:val="18"/>
    </w:rPr>
  </w:style>
  <w:style w:type="paragraph" w:styleId="HTML">
    <w:name w:val="HTML Preformatted"/>
    <w:basedOn w:val="a"/>
    <w:link w:val="HTML0"/>
    <w:uiPriority w:val="99"/>
    <w:unhideWhenUsed/>
    <w:qFormat/>
    <w:rsid w:val="0027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 w:val="24"/>
      <w:szCs w:val="24"/>
    </w:rPr>
  </w:style>
  <w:style w:type="character" w:customStyle="1" w:styleId="HTML0">
    <w:name w:val="HTML 预设格式 字符"/>
    <w:basedOn w:val="a0"/>
    <w:link w:val="HTML"/>
    <w:uiPriority w:val="99"/>
    <w:qFormat/>
    <w:rsid w:val="002765BE"/>
    <w:rPr>
      <w:rFonts w:ascii="宋体" w:eastAsia="宋体" w:hAnsi="宋体" w:cs="宋体"/>
      <w:kern w:val="0"/>
    </w:rPr>
  </w:style>
  <w:style w:type="paragraph" w:styleId="af">
    <w:name w:val="Normal (Web)"/>
    <w:basedOn w:val="a"/>
    <w:uiPriority w:val="99"/>
    <w:unhideWhenUsed/>
    <w:qFormat/>
    <w:rsid w:val="002765BE"/>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f0">
    <w:name w:val="Title"/>
    <w:basedOn w:val="a"/>
    <w:next w:val="a"/>
    <w:link w:val="af1"/>
    <w:uiPriority w:val="10"/>
    <w:qFormat/>
    <w:rsid w:val="002765BE"/>
    <w:pPr>
      <w:ind w:firstLineChars="0" w:firstLine="0"/>
      <w:jc w:val="center"/>
      <w:outlineLvl w:val="0"/>
    </w:pPr>
    <w:rPr>
      <w:rFonts w:eastAsiaTheme="majorEastAsia" w:cstheme="majorBidi"/>
      <w:b/>
      <w:bCs/>
      <w:sz w:val="24"/>
      <w:szCs w:val="32"/>
    </w:rPr>
  </w:style>
  <w:style w:type="character" w:customStyle="1" w:styleId="af1">
    <w:name w:val="标题 字符"/>
    <w:basedOn w:val="a0"/>
    <w:link w:val="af0"/>
    <w:uiPriority w:val="10"/>
    <w:rsid w:val="002765BE"/>
    <w:rPr>
      <w:rFonts w:ascii="Times New Roman" w:eastAsiaTheme="majorEastAsia" w:hAnsi="Times New Roman" w:cstheme="majorBidi"/>
      <w:b/>
      <w:bCs/>
      <w:szCs w:val="32"/>
    </w:rPr>
  </w:style>
  <w:style w:type="paragraph" w:styleId="af2">
    <w:name w:val="annotation subject"/>
    <w:basedOn w:val="a3"/>
    <w:next w:val="a3"/>
    <w:link w:val="af3"/>
    <w:uiPriority w:val="99"/>
    <w:semiHidden/>
    <w:unhideWhenUsed/>
    <w:rsid w:val="002765BE"/>
    <w:rPr>
      <w:b/>
      <w:bCs/>
    </w:rPr>
  </w:style>
  <w:style w:type="character" w:customStyle="1" w:styleId="af3">
    <w:name w:val="批注主题 字符"/>
    <w:basedOn w:val="a4"/>
    <w:link w:val="af2"/>
    <w:uiPriority w:val="99"/>
    <w:semiHidden/>
    <w:rsid w:val="002765BE"/>
    <w:rPr>
      <w:rFonts w:ascii="Times New Roman" w:eastAsia="宋体" w:hAnsi="Times New Roman" w:cs="Times New Roman"/>
      <w:b/>
      <w:bCs/>
      <w:kern w:val="0"/>
    </w:rPr>
  </w:style>
  <w:style w:type="table" w:styleId="af4">
    <w:name w:val="Table Grid"/>
    <w:basedOn w:val="a1"/>
    <w:uiPriority w:val="39"/>
    <w:qFormat/>
    <w:rsid w:val="002765B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2765BE"/>
    <w:rPr>
      <w:b/>
      <w:bCs/>
    </w:rPr>
  </w:style>
  <w:style w:type="character" w:styleId="af6">
    <w:name w:val="endnote reference"/>
    <w:basedOn w:val="a0"/>
    <w:uiPriority w:val="99"/>
    <w:unhideWhenUsed/>
    <w:qFormat/>
    <w:rsid w:val="002765BE"/>
    <w:rPr>
      <w:vertAlign w:val="superscript"/>
    </w:rPr>
  </w:style>
  <w:style w:type="character" w:styleId="af7">
    <w:name w:val="FollowedHyperlink"/>
    <w:basedOn w:val="a0"/>
    <w:uiPriority w:val="99"/>
    <w:semiHidden/>
    <w:unhideWhenUsed/>
    <w:rsid w:val="002765BE"/>
    <w:rPr>
      <w:color w:val="954F72" w:themeColor="followedHyperlink"/>
      <w:u w:val="single"/>
    </w:rPr>
  </w:style>
  <w:style w:type="character" w:styleId="af8">
    <w:name w:val="Emphasis"/>
    <w:basedOn w:val="a0"/>
    <w:uiPriority w:val="20"/>
    <w:qFormat/>
    <w:rsid w:val="002765BE"/>
    <w:rPr>
      <w:i/>
      <w:iCs/>
    </w:rPr>
  </w:style>
  <w:style w:type="character" w:styleId="af9">
    <w:name w:val="line number"/>
    <w:basedOn w:val="a0"/>
    <w:uiPriority w:val="99"/>
    <w:semiHidden/>
    <w:unhideWhenUsed/>
    <w:rsid w:val="002765BE"/>
  </w:style>
  <w:style w:type="character" w:styleId="afa">
    <w:name w:val="Hyperlink"/>
    <w:basedOn w:val="a0"/>
    <w:uiPriority w:val="99"/>
    <w:unhideWhenUsed/>
    <w:qFormat/>
    <w:rsid w:val="002765BE"/>
    <w:rPr>
      <w:color w:val="0563C1" w:themeColor="hyperlink"/>
      <w:u w:val="single"/>
    </w:rPr>
  </w:style>
  <w:style w:type="character" w:styleId="afb">
    <w:name w:val="annotation reference"/>
    <w:basedOn w:val="a0"/>
    <w:uiPriority w:val="99"/>
    <w:semiHidden/>
    <w:unhideWhenUsed/>
    <w:rsid w:val="002765BE"/>
    <w:rPr>
      <w:sz w:val="21"/>
      <w:szCs w:val="21"/>
    </w:rPr>
  </w:style>
  <w:style w:type="character" w:styleId="afc">
    <w:name w:val="footnote reference"/>
    <w:basedOn w:val="a0"/>
    <w:uiPriority w:val="99"/>
    <w:unhideWhenUsed/>
    <w:qFormat/>
    <w:rsid w:val="002765BE"/>
    <w:rPr>
      <w:vertAlign w:val="superscript"/>
    </w:rPr>
  </w:style>
  <w:style w:type="paragraph" w:customStyle="1" w:styleId="EndNoteBibliographyTitle">
    <w:name w:val="EndNote Bibliography Title"/>
    <w:basedOn w:val="a"/>
    <w:link w:val="EndNoteBibliographyTitle0"/>
    <w:rsid w:val="002765BE"/>
    <w:pPr>
      <w:jc w:val="center"/>
    </w:pPr>
    <w:rPr>
      <w:rFonts w:cs="Times New Roman"/>
    </w:rPr>
  </w:style>
  <w:style w:type="character" w:customStyle="1" w:styleId="EndNoteBibliographyTitle0">
    <w:name w:val="EndNote Bibliography Title 字符"/>
    <w:basedOn w:val="a0"/>
    <w:link w:val="EndNoteBibliographyTitle"/>
    <w:rsid w:val="002765BE"/>
    <w:rPr>
      <w:rFonts w:ascii="Times New Roman" w:eastAsia="Times New Roman" w:hAnsi="Times New Roman" w:cs="Times New Roman"/>
      <w:sz w:val="20"/>
      <w:szCs w:val="22"/>
    </w:rPr>
  </w:style>
  <w:style w:type="paragraph" w:customStyle="1" w:styleId="EndNoteBibliography">
    <w:name w:val="EndNote Bibliography"/>
    <w:basedOn w:val="a"/>
    <w:link w:val="EndNoteBibliography0"/>
    <w:rsid w:val="002765BE"/>
    <w:pPr>
      <w:spacing w:line="240" w:lineRule="auto"/>
    </w:pPr>
    <w:rPr>
      <w:rFonts w:cs="Times New Roman"/>
    </w:rPr>
  </w:style>
  <w:style w:type="character" w:customStyle="1" w:styleId="EndNoteBibliography0">
    <w:name w:val="EndNote Bibliography 字符"/>
    <w:basedOn w:val="a0"/>
    <w:link w:val="EndNoteBibliography"/>
    <w:rsid w:val="002765BE"/>
    <w:rPr>
      <w:rFonts w:ascii="Times New Roman" w:eastAsia="Times New Roman" w:hAnsi="Times New Roman" w:cs="Times New Roman"/>
      <w:sz w:val="20"/>
      <w:szCs w:val="22"/>
    </w:rPr>
  </w:style>
  <w:style w:type="character" w:customStyle="1" w:styleId="11">
    <w:name w:val="未处理的提及1"/>
    <w:basedOn w:val="a0"/>
    <w:uiPriority w:val="99"/>
    <w:unhideWhenUsed/>
    <w:qFormat/>
    <w:rsid w:val="002765BE"/>
    <w:rPr>
      <w:color w:val="605E5C"/>
      <w:shd w:val="clear" w:color="auto" w:fill="E1DFDD"/>
    </w:rPr>
  </w:style>
  <w:style w:type="paragraph" w:styleId="afd">
    <w:name w:val="List Paragraph"/>
    <w:basedOn w:val="a"/>
    <w:link w:val="afe"/>
    <w:uiPriority w:val="34"/>
    <w:qFormat/>
    <w:rsid w:val="002765BE"/>
    <w:pPr>
      <w:ind w:firstLine="420"/>
    </w:pPr>
  </w:style>
  <w:style w:type="table" w:customStyle="1" w:styleId="aff">
    <w:name w:val="三线表"/>
    <w:basedOn w:val="a1"/>
    <w:uiPriority w:val="99"/>
    <w:rsid w:val="002765BE"/>
    <w:rPr>
      <w:kern w:val="0"/>
      <w:sz w:val="20"/>
      <w:szCs w:val="20"/>
    </w:rPr>
    <w:tblPr>
      <w:tblBorders>
        <w:top w:val="single" w:sz="12" w:space="0" w:color="auto"/>
        <w:bottom w:val="single" w:sz="12" w:space="0" w:color="auto"/>
      </w:tblBorders>
    </w:tblPr>
    <w:tblStylePr w:type="firstRow">
      <w:tblPr/>
      <w:tcPr>
        <w:tcBorders>
          <w:bottom w:val="single" w:sz="4" w:space="0" w:color="auto"/>
        </w:tcBorders>
      </w:tcPr>
    </w:tblStylePr>
  </w:style>
  <w:style w:type="paragraph" w:customStyle="1" w:styleId="aff0">
    <w:name w:val="表格"/>
    <w:basedOn w:val="a"/>
    <w:link w:val="aff1"/>
    <w:qFormat/>
    <w:rsid w:val="002765BE"/>
    <w:pPr>
      <w:framePr w:hSpace="180" w:wrap="around" w:vAnchor="text" w:hAnchor="margin" w:xAlign="center" w:y="413"/>
      <w:spacing w:line="240" w:lineRule="auto"/>
      <w:ind w:firstLineChars="0" w:firstLine="0"/>
    </w:pPr>
    <w:rPr>
      <w:rFonts w:eastAsia="宋体"/>
      <w:sz w:val="21"/>
      <w:szCs w:val="21"/>
    </w:rPr>
  </w:style>
  <w:style w:type="character" w:customStyle="1" w:styleId="aff1">
    <w:name w:val="表格 字符"/>
    <w:basedOn w:val="a0"/>
    <w:link w:val="aff0"/>
    <w:rsid w:val="002765BE"/>
    <w:rPr>
      <w:rFonts w:ascii="Times New Roman" w:eastAsia="宋体" w:hAnsi="Times New Roman"/>
      <w:sz w:val="21"/>
      <w:szCs w:val="21"/>
    </w:rPr>
  </w:style>
  <w:style w:type="table" w:customStyle="1" w:styleId="12">
    <w:name w:val="三线表1"/>
    <w:basedOn w:val="a1"/>
    <w:uiPriority w:val="99"/>
    <w:rsid w:val="002765BE"/>
    <w:rPr>
      <w:rFonts w:ascii="Times New Roman" w:eastAsia="宋体" w:hAnsi="Times New Roman"/>
      <w:kern w:val="0"/>
      <w:sz w:val="20"/>
      <w:szCs w:val="20"/>
    </w:rPr>
    <w:tblPr>
      <w:tblBorders>
        <w:top w:val="single" w:sz="12" w:space="0" w:color="auto"/>
        <w:bottom w:val="single" w:sz="12" w:space="0" w:color="auto"/>
      </w:tblBorders>
    </w:tblPr>
    <w:tblStylePr w:type="firstRow">
      <w:tblPr/>
      <w:tcPr>
        <w:tcBorders>
          <w:bottom w:val="single" w:sz="4" w:space="0" w:color="auto"/>
        </w:tcBorders>
      </w:tcPr>
    </w:tblStylePr>
  </w:style>
  <w:style w:type="character" w:styleId="aff2">
    <w:name w:val="Placeholder Text"/>
    <w:basedOn w:val="a0"/>
    <w:uiPriority w:val="99"/>
    <w:semiHidden/>
    <w:rsid w:val="002765BE"/>
    <w:rPr>
      <w:color w:val="808080"/>
    </w:rPr>
  </w:style>
  <w:style w:type="paragraph" w:customStyle="1" w:styleId="13">
    <w:name w:val="修订1"/>
    <w:hidden/>
    <w:uiPriority w:val="99"/>
    <w:semiHidden/>
    <w:rsid w:val="002765BE"/>
    <w:rPr>
      <w:rFonts w:ascii="Times New Roman" w:eastAsia="Times New Roman" w:hAnsi="Times New Roman"/>
      <w:sz w:val="20"/>
      <w:szCs w:val="22"/>
    </w:rPr>
  </w:style>
  <w:style w:type="paragraph" w:customStyle="1" w:styleId="aff3">
    <w:name w:val="公式"/>
    <w:basedOn w:val="a"/>
    <w:link w:val="aff4"/>
    <w:qFormat/>
    <w:rsid w:val="002765BE"/>
    <w:pPr>
      <w:tabs>
        <w:tab w:val="center" w:pos="4160"/>
        <w:tab w:val="right" w:pos="8300"/>
      </w:tabs>
      <w:spacing w:line="240" w:lineRule="auto"/>
      <w:ind w:firstLineChars="0" w:firstLine="0"/>
    </w:pPr>
    <w:rPr>
      <w:rFonts w:eastAsia="宋体" w:cstheme="majorBidi"/>
      <w:bCs/>
      <w:kern w:val="44"/>
      <w:sz w:val="21"/>
      <w:szCs w:val="32"/>
    </w:rPr>
  </w:style>
  <w:style w:type="character" w:customStyle="1" w:styleId="aff4">
    <w:name w:val="公式 字符"/>
    <w:basedOn w:val="a0"/>
    <w:link w:val="aff3"/>
    <w:rsid w:val="002765BE"/>
    <w:rPr>
      <w:rFonts w:ascii="Times New Roman" w:eastAsia="宋体" w:hAnsi="Times New Roman" w:cstheme="majorBidi"/>
      <w:bCs/>
      <w:kern w:val="44"/>
      <w:sz w:val="21"/>
      <w:szCs w:val="32"/>
    </w:rPr>
  </w:style>
  <w:style w:type="character" w:customStyle="1" w:styleId="14">
    <w:name w:val="访问过的超链接1"/>
    <w:basedOn w:val="a0"/>
    <w:uiPriority w:val="99"/>
    <w:unhideWhenUsed/>
    <w:qFormat/>
    <w:rsid w:val="002765BE"/>
    <w:rPr>
      <w:color w:val="954F72"/>
      <w:u w:val="single"/>
    </w:rPr>
  </w:style>
  <w:style w:type="paragraph" w:customStyle="1" w:styleId="15">
    <w:name w:val="无间隔1"/>
    <w:uiPriority w:val="1"/>
    <w:qFormat/>
    <w:rsid w:val="002765BE"/>
    <w:rPr>
      <w:rFonts w:ascii="宋体" w:eastAsia="宋体" w:hAnsi="宋体" w:cs="宋体"/>
      <w:kern w:val="0"/>
    </w:rPr>
  </w:style>
  <w:style w:type="paragraph" w:customStyle="1" w:styleId="aff5">
    <w:name w:val="标注"/>
    <w:basedOn w:val="a"/>
    <w:link w:val="aff6"/>
    <w:qFormat/>
    <w:rsid w:val="002765BE"/>
    <w:pPr>
      <w:spacing w:line="240" w:lineRule="auto"/>
      <w:ind w:firstLineChars="0" w:firstLine="0"/>
    </w:pPr>
    <w:rPr>
      <w:rFonts w:eastAsia="宋体" w:cs="Times New Roman"/>
      <w:sz w:val="21"/>
    </w:rPr>
  </w:style>
  <w:style w:type="character" w:customStyle="1" w:styleId="aff6">
    <w:name w:val="标注 字符"/>
    <w:basedOn w:val="a0"/>
    <w:link w:val="aff5"/>
    <w:qFormat/>
    <w:rsid w:val="002765BE"/>
    <w:rPr>
      <w:rFonts w:ascii="Times New Roman" w:eastAsia="宋体" w:hAnsi="Times New Roman" w:cs="Times New Roman"/>
      <w:sz w:val="21"/>
      <w:szCs w:val="22"/>
    </w:rPr>
  </w:style>
  <w:style w:type="paragraph" w:customStyle="1" w:styleId="16">
    <w:name w:val="列表段落1"/>
    <w:basedOn w:val="a"/>
    <w:uiPriority w:val="34"/>
    <w:qFormat/>
    <w:rsid w:val="002765BE"/>
    <w:pPr>
      <w:widowControl/>
      <w:spacing w:line="240" w:lineRule="auto"/>
      <w:ind w:firstLine="420"/>
      <w:jc w:val="left"/>
    </w:pPr>
    <w:rPr>
      <w:rFonts w:ascii="宋体" w:eastAsia="宋体" w:hAnsi="宋体" w:cs="宋体"/>
      <w:kern w:val="0"/>
      <w:sz w:val="24"/>
      <w:szCs w:val="24"/>
    </w:rPr>
  </w:style>
  <w:style w:type="paragraph" w:customStyle="1" w:styleId="aff7">
    <w:name w:val="公式编号"/>
    <w:basedOn w:val="16"/>
    <w:link w:val="aff8"/>
    <w:qFormat/>
    <w:rsid w:val="002765BE"/>
    <w:pPr>
      <w:widowControl w:val="0"/>
      <w:tabs>
        <w:tab w:val="center" w:pos="4156"/>
        <w:tab w:val="center" w:pos="8312"/>
      </w:tabs>
      <w:ind w:firstLineChars="0" w:firstLine="0"/>
      <w:jc w:val="both"/>
      <w:textAlignment w:val="center"/>
    </w:pPr>
    <w:rPr>
      <w:rFonts w:ascii="Times New Roman" w:eastAsia="Times New Roman" w:hAnsi="Times New Roman" w:cs="Times New Roman"/>
      <w:kern w:val="2"/>
      <w:szCs w:val="22"/>
    </w:rPr>
  </w:style>
  <w:style w:type="character" w:customStyle="1" w:styleId="aff8">
    <w:name w:val="公式编号 字符"/>
    <w:basedOn w:val="a0"/>
    <w:link w:val="aff7"/>
    <w:qFormat/>
    <w:rsid w:val="002765BE"/>
    <w:rPr>
      <w:rFonts w:ascii="Times New Roman" w:eastAsia="Times New Roman" w:hAnsi="Times New Roman" w:cs="Times New Roman"/>
      <w:szCs w:val="22"/>
    </w:rPr>
  </w:style>
  <w:style w:type="character" w:customStyle="1" w:styleId="17">
    <w:name w:val="占位符文本1"/>
    <w:basedOn w:val="a0"/>
    <w:uiPriority w:val="99"/>
    <w:semiHidden/>
    <w:qFormat/>
    <w:rsid w:val="002765BE"/>
    <w:rPr>
      <w:color w:val="808080"/>
    </w:rPr>
  </w:style>
  <w:style w:type="character" w:customStyle="1" w:styleId="21">
    <w:name w:val="未处理的提及2"/>
    <w:basedOn w:val="a0"/>
    <w:uiPriority w:val="99"/>
    <w:unhideWhenUsed/>
    <w:qFormat/>
    <w:rsid w:val="002765BE"/>
    <w:rPr>
      <w:color w:val="605E5C"/>
      <w:shd w:val="clear" w:color="auto" w:fill="E1DFDD"/>
    </w:rPr>
  </w:style>
  <w:style w:type="paragraph" w:customStyle="1" w:styleId="22">
    <w:name w:val="列表段落2"/>
    <w:basedOn w:val="a"/>
    <w:uiPriority w:val="34"/>
    <w:qFormat/>
    <w:rsid w:val="002765BE"/>
    <w:pPr>
      <w:widowControl/>
      <w:spacing w:line="240" w:lineRule="auto"/>
      <w:ind w:firstLine="420"/>
      <w:jc w:val="left"/>
    </w:pPr>
    <w:rPr>
      <w:rFonts w:ascii="宋体" w:eastAsia="宋体" w:hAnsi="宋体" w:cs="宋体"/>
      <w:kern w:val="0"/>
      <w:sz w:val="24"/>
      <w:szCs w:val="24"/>
    </w:rPr>
  </w:style>
  <w:style w:type="character" w:customStyle="1" w:styleId="23">
    <w:name w:val="占位符文本2"/>
    <w:basedOn w:val="a0"/>
    <w:uiPriority w:val="99"/>
    <w:semiHidden/>
    <w:qFormat/>
    <w:rsid w:val="002765BE"/>
    <w:rPr>
      <w:color w:val="808080"/>
    </w:rPr>
  </w:style>
  <w:style w:type="character" w:customStyle="1" w:styleId="31">
    <w:name w:val="未处理的提及3"/>
    <w:basedOn w:val="a0"/>
    <w:uiPriority w:val="99"/>
    <w:unhideWhenUsed/>
    <w:qFormat/>
    <w:rsid w:val="002765BE"/>
    <w:rPr>
      <w:color w:val="605E5C"/>
      <w:shd w:val="clear" w:color="auto" w:fill="E1DFDD"/>
    </w:rPr>
  </w:style>
  <w:style w:type="character" w:customStyle="1" w:styleId="apple-converted-space">
    <w:name w:val="apple-converted-space"/>
    <w:basedOn w:val="a0"/>
    <w:qFormat/>
    <w:rsid w:val="002765BE"/>
  </w:style>
  <w:style w:type="character" w:customStyle="1" w:styleId="4">
    <w:name w:val="未处理的提及4"/>
    <w:basedOn w:val="a0"/>
    <w:uiPriority w:val="99"/>
    <w:unhideWhenUsed/>
    <w:rsid w:val="002765BE"/>
    <w:rPr>
      <w:color w:val="605E5C"/>
      <w:shd w:val="clear" w:color="auto" w:fill="E1DFDD"/>
    </w:rPr>
  </w:style>
  <w:style w:type="character" w:customStyle="1" w:styleId="afe">
    <w:name w:val="列表段落 字符"/>
    <w:basedOn w:val="a0"/>
    <w:link w:val="afd"/>
    <w:uiPriority w:val="34"/>
    <w:rsid w:val="002765BE"/>
    <w:rPr>
      <w:rFonts w:ascii="Times New Roman" w:eastAsia="Times New Roman" w:hAnsi="Times New Roman"/>
      <w:sz w:val="20"/>
      <w:szCs w:val="22"/>
    </w:rPr>
  </w:style>
  <w:style w:type="character" w:customStyle="1" w:styleId="5">
    <w:name w:val="未处理的提及5"/>
    <w:basedOn w:val="a0"/>
    <w:uiPriority w:val="99"/>
    <w:semiHidden/>
    <w:unhideWhenUsed/>
    <w:rsid w:val="002765BE"/>
    <w:rPr>
      <w:color w:val="605E5C"/>
      <w:shd w:val="clear" w:color="auto" w:fill="E1DFDD"/>
    </w:rPr>
  </w:style>
  <w:style w:type="character" w:customStyle="1" w:styleId="6">
    <w:name w:val="未处理的提及6"/>
    <w:basedOn w:val="a0"/>
    <w:uiPriority w:val="99"/>
    <w:semiHidden/>
    <w:unhideWhenUsed/>
    <w:rsid w:val="002765BE"/>
    <w:rPr>
      <w:color w:val="605E5C"/>
      <w:shd w:val="clear" w:color="auto" w:fill="E1DFDD"/>
    </w:rPr>
  </w:style>
  <w:style w:type="character" w:customStyle="1" w:styleId="7">
    <w:name w:val="未处理的提及7"/>
    <w:basedOn w:val="a0"/>
    <w:uiPriority w:val="99"/>
    <w:semiHidden/>
    <w:unhideWhenUsed/>
    <w:rsid w:val="002765BE"/>
    <w:rPr>
      <w:color w:val="605E5C"/>
      <w:shd w:val="clear" w:color="auto" w:fill="E1DFDD"/>
    </w:rPr>
  </w:style>
  <w:style w:type="character" w:customStyle="1" w:styleId="fontstyle01">
    <w:name w:val="fontstyle01"/>
    <w:basedOn w:val="a0"/>
    <w:rsid w:val="002765BE"/>
    <w:rPr>
      <w:rFonts w:ascii="Times-Roman" w:hAnsi="Times-Roman" w:hint="default"/>
      <w:color w:val="000000"/>
      <w:sz w:val="24"/>
      <w:szCs w:val="24"/>
    </w:rPr>
  </w:style>
  <w:style w:type="character" w:customStyle="1" w:styleId="authors-list-item">
    <w:name w:val="authors-list-item"/>
    <w:basedOn w:val="a0"/>
    <w:rsid w:val="002765BE"/>
  </w:style>
  <w:style w:type="character" w:customStyle="1" w:styleId="author-sup-separator">
    <w:name w:val="author-sup-separator"/>
    <w:basedOn w:val="a0"/>
    <w:rsid w:val="002765BE"/>
  </w:style>
  <w:style w:type="character" w:customStyle="1" w:styleId="cit">
    <w:name w:val="cit"/>
    <w:basedOn w:val="a0"/>
    <w:rsid w:val="002765BE"/>
  </w:style>
  <w:style w:type="character" w:customStyle="1" w:styleId="comma">
    <w:name w:val="comma"/>
    <w:basedOn w:val="a0"/>
    <w:qFormat/>
    <w:rsid w:val="002765BE"/>
  </w:style>
  <w:style w:type="paragraph" w:styleId="aff9">
    <w:name w:val="Revision"/>
    <w:hidden/>
    <w:uiPriority w:val="99"/>
    <w:semiHidden/>
    <w:rsid w:val="002765BE"/>
    <w:rPr>
      <w:rFonts w:ascii="Times New Roman" w:eastAsia="Times New Roman" w:hAnsi="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gho/data/node.main.HWFGRP_0020?lang=en" TargetMode="External"/><Relationship Id="rId13" Type="http://schemas.openxmlformats.org/officeDocument/2006/relationships/hyperlink" Target="https://apps.who.int/gho/data/node.main.SDG62?lang=en" TargetMode="External"/><Relationship Id="rId18" Type="http://schemas.openxmlformats.org/officeDocument/2006/relationships/hyperlink" Target="http://data.un.org/Data.aspx?d=ITU&amp;f=ind1Code%3aI911" TargetMode="External"/><Relationship Id="rId26" Type="http://schemas.openxmlformats.org/officeDocument/2006/relationships/hyperlink" Target="http://hdr.undp.org/en/content/latest-human-development-index-ranking" TargetMode="External"/><Relationship Id="rId3" Type="http://schemas.openxmlformats.org/officeDocument/2006/relationships/settings" Target="settings.xml"/><Relationship Id="rId21" Type="http://schemas.openxmlformats.org/officeDocument/2006/relationships/hyperlink" Target="https://data.worldbank.org/indicator/SL.UEM.TOTL.NE.ZS" TargetMode="External"/><Relationship Id="rId7" Type="http://schemas.openxmlformats.org/officeDocument/2006/relationships/hyperlink" Target="https://www.dkv.global/covid-safety-assessment-200-regions" TargetMode="External"/><Relationship Id="rId12" Type="http://schemas.openxmlformats.org/officeDocument/2006/relationships/hyperlink" Target="https://apps.who.int/gho/data/node.main.SDG39?lang=en" TargetMode="External"/><Relationship Id="rId17" Type="http://schemas.openxmlformats.org/officeDocument/2006/relationships/hyperlink" Target="http://data.un.org/Data.aspx?d=ITU&amp;f=ind1Code%3aI99H" TargetMode="External"/><Relationship Id="rId25" Type="http://schemas.openxmlformats.org/officeDocument/2006/relationships/hyperlink" Target="https://data.worldbank.org/indicator/SE.ADT.LITR.ZS" TargetMode="External"/><Relationship Id="rId2" Type="http://schemas.openxmlformats.org/officeDocument/2006/relationships/styles" Target="styles.xml"/><Relationship Id="rId16" Type="http://schemas.openxmlformats.org/officeDocument/2006/relationships/hyperlink" Target="https://data.worldbank.org/indicator/EG.USE.ELEC.KH.PC" TargetMode="External"/><Relationship Id="rId20" Type="http://schemas.openxmlformats.org/officeDocument/2006/relationships/hyperlink" Target="https://data.worldbank.org/indicator/NY.GDP.PCAP.CD" TargetMode="External"/><Relationship Id="rId29" Type="http://schemas.openxmlformats.org/officeDocument/2006/relationships/hyperlink" Target="https://data.worldbank.org/indicator/GB.XPD.RSDV.GD.ZS" TargetMode="External"/><Relationship Id="rId1" Type="http://schemas.openxmlformats.org/officeDocument/2006/relationships/numbering" Target="numbering.xml"/><Relationship Id="rId6" Type="http://schemas.openxmlformats.org/officeDocument/2006/relationships/hyperlink" Target="https://ourworldindata.org/grapher/covid-containment-and-health-index" TargetMode="External"/><Relationship Id="rId11" Type="http://schemas.openxmlformats.org/officeDocument/2006/relationships/hyperlink" Target="https://apps.who.int/gho/data/node.main.GHEDCHEGDPSHA2011?lang=en" TargetMode="External"/><Relationship Id="rId24" Type="http://schemas.openxmlformats.org/officeDocument/2006/relationships/hyperlink" Target="https://data.worldbank.org/indicator/SH.DYN.NMRT" TargetMode="External"/><Relationship Id="rId32" Type="http://schemas.openxmlformats.org/officeDocument/2006/relationships/theme" Target="theme/theme1.xml"/><Relationship Id="rId5" Type="http://schemas.openxmlformats.org/officeDocument/2006/relationships/hyperlink" Target="https://ourworldindata.org/covid-stringency-index" TargetMode="External"/><Relationship Id="rId15" Type="http://schemas.openxmlformats.org/officeDocument/2006/relationships/hyperlink" Target="https://data.worldbank.org/indicator/EG.ELC.ACCS.ZS" TargetMode="External"/><Relationship Id="rId23" Type="http://schemas.openxmlformats.org/officeDocument/2006/relationships/hyperlink" Target="https://apps.who.int/gho/data/node.main.SDG38?lang=en" TargetMode="External"/><Relationship Id="rId28" Type="http://schemas.openxmlformats.org/officeDocument/2006/relationships/hyperlink" Target="https://www.wipo.int/global_innovation_index/en/" TargetMode="External"/><Relationship Id="rId10" Type="http://schemas.openxmlformats.org/officeDocument/2006/relationships/hyperlink" Target="https://apps.who.int/gho/data/node.main.HWF1?lang=en" TargetMode="External"/><Relationship Id="rId19" Type="http://schemas.openxmlformats.org/officeDocument/2006/relationships/hyperlink" Target="https://data.worldbank.org/indicator/NY.GDP.MKTP.KD.Z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ta.worldbank.org/indicator/SH.MED.BEDS.ZS" TargetMode="External"/><Relationship Id="rId14" Type="http://schemas.openxmlformats.org/officeDocument/2006/relationships/hyperlink" Target="https://lpi.worldbank.org/international/aggregated-ranking?sort=desc&amp;order=Infrastructure" TargetMode="External"/><Relationship Id="rId22" Type="http://schemas.openxmlformats.org/officeDocument/2006/relationships/hyperlink" Target="http://hdr.undp.org/en/content/latest-human-development-index-ranking" TargetMode="External"/><Relationship Id="rId27" Type="http://schemas.openxmlformats.org/officeDocument/2006/relationships/hyperlink" Target="https://data.worldbank.org/indicator/SE.XPD.TOTL.GD.ZS" TargetMode="External"/><Relationship Id="rId30" Type="http://schemas.openxmlformats.org/officeDocument/2006/relationships/hyperlink" Target="https://unctadstat.unctad.org/EN/Pci.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2842</Words>
  <Characters>16204</Characters>
  <Application>Microsoft Office Word</Application>
  <DocSecurity>0</DocSecurity>
  <Lines>135</Lines>
  <Paragraphs>38</Paragraphs>
  <ScaleCrop>false</ScaleCrop>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A6328</dc:creator>
  <cp:keywords/>
  <dc:description/>
  <cp:lastModifiedBy>A6328</cp:lastModifiedBy>
  <cp:revision>1</cp:revision>
  <dcterms:created xsi:type="dcterms:W3CDTF">2022-08-06T02:13:00Z</dcterms:created>
  <dcterms:modified xsi:type="dcterms:W3CDTF">2022-08-06T02:13:00Z</dcterms:modified>
</cp:coreProperties>
</file>