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E72" w14:textId="051DD5EC" w:rsidR="00E6428B" w:rsidRPr="0054679C" w:rsidRDefault="0038744F">
      <w:pPr>
        <w:spacing w:line="360" w:lineRule="atLeast"/>
        <w:jc w:val="left"/>
        <w:rPr>
          <w:rFonts w:ascii="Times New Roman" w:eastAsia="Microsoft YaHei" w:hAnsi="Times New Roman" w:cs="Times New Roman"/>
          <w:b/>
          <w:bCs/>
          <w:color w:val="000000" w:themeColor="text1"/>
          <w:sz w:val="22"/>
        </w:rPr>
      </w:pPr>
      <w:r>
        <w:rPr>
          <w:rFonts w:ascii="Times New Roman" w:eastAsia="Microsoft YaHei" w:hAnsi="Times New Roman" w:cs="Times New Roman"/>
          <w:b/>
          <w:bCs/>
          <w:color w:val="000000" w:themeColor="text1"/>
          <w:sz w:val="22"/>
        </w:rPr>
        <w:t>Supplementary t</w:t>
      </w:r>
      <w:r w:rsidR="00C0574F" w:rsidRPr="0054679C">
        <w:rPr>
          <w:rFonts w:ascii="Times New Roman" w:eastAsia="Microsoft YaHei" w:hAnsi="Times New Roman" w:cs="Times New Roman"/>
          <w:b/>
          <w:bCs/>
          <w:color w:val="000000" w:themeColor="text1"/>
          <w:sz w:val="22"/>
        </w:rPr>
        <w:t>ables</w:t>
      </w:r>
    </w:p>
    <w:p w14:paraId="666C4E73" w14:textId="77777777" w:rsidR="00E6428B" w:rsidRPr="0054679C" w:rsidRDefault="00E6428B">
      <w:pPr>
        <w:spacing w:line="360" w:lineRule="atLeast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666C4E74" w14:textId="77777777" w:rsidR="00E6428B" w:rsidRPr="0054679C" w:rsidRDefault="00C0574F">
      <w:pPr>
        <w:spacing w:line="360" w:lineRule="atLeast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t>Table S1. Comparison table of advantages and disadvantages of IHC, FISH and MS-SRM</w:t>
      </w:r>
    </w:p>
    <w:tbl>
      <w:tblPr>
        <w:tblW w:w="8084" w:type="dxa"/>
        <w:tblBorders>
          <w:top w:val="single" w:sz="8" w:space="0" w:color="auto"/>
          <w:left w:val="single" w:sz="8" w:space="0" w:color="FFFFFF"/>
          <w:bottom w:val="single" w:sz="8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3221"/>
        <w:gridCol w:w="1845"/>
        <w:gridCol w:w="1846"/>
      </w:tblGrid>
      <w:tr w:rsidR="00C0574F" w:rsidRPr="0054679C" w14:paraId="666C4E79" w14:textId="77777777">
        <w:trPr>
          <w:trHeight w:val="826"/>
        </w:trPr>
        <w:tc>
          <w:tcPr>
            <w:tcW w:w="11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5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detection method</w:t>
            </w:r>
          </w:p>
        </w:tc>
        <w:tc>
          <w:tcPr>
            <w:tcW w:w="32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6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detection principle</w:t>
            </w:r>
          </w:p>
        </w:tc>
        <w:tc>
          <w:tcPr>
            <w:tcW w:w="18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7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advantage</w:t>
            </w:r>
          </w:p>
        </w:tc>
        <w:tc>
          <w:tcPr>
            <w:tcW w:w="18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8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disadvantage</w:t>
            </w:r>
          </w:p>
        </w:tc>
      </w:tr>
      <w:tr w:rsidR="00C0574F" w:rsidRPr="0054679C" w14:paraId="666C4E7F" w14:textId="77777777">
        <w:trPr>
          <w:trHeight w:val="2107"/>
        </w:trPr>
        <w:tc>
          <w:tcPr>
            <w:tcW w:w="1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A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IHC</w:t>
            </w:r>
          </w:p>
        </w:tc>
        <w:tc>
          <w:tcPr>
            <w:tcW w:w="3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B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based on the principle of antigen-antibody binding, through chemical reaction, using antibody chromogen to develop color, detect antigen in tissue cells</w:t>
            </w:r>
          </w:p>
        </w:tc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C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traditional method,</w:t>
            </w:r>
          </w:p>
          <w:p w14:paraId="666C4E7D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low cost</w:t>
            </w:r>
          </w:p>
        </w:tc>
        <w:tc>
          <w:tcPr>
            <w:tcW w:w="1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7E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semi-quantitative, with large differences in subjective judgments</w:t>
            </w:r>
          </w:p>
        </w:tc>
      </w:tr>
      <w:tr w:rsidR="00C0574F" w:rsidRPr="0054679C" w14:paraId="666C4E87" w14:textId="77777777">
        <w:trPr>
          <w:trHeight w:val="2107"/>
        </w:trPr>
        <w:tc>
          <w:tcPr>
            <w:tcW w:w="1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0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FISH</w:t>
            </w:r>
          </w:p>
        </w:tc>
        <w:tc>
          <w:tcPr>
            <w:tcW w:w="3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1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use fluorescently labeled nucleic acids of known sequence as probes to hybridize with nucleic acids in cells or tissue sections to achieve precise positioning of nucleic acid sequences</w:t>
            </w:r>
          </w:p>
        </w:tc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2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gold standard,</w:t>
            </w:r>
          </w:p>
          <w:p w14:paraId="666C4E83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high sensitivity,</w:t>
            </w:r>
          </w:p>
          <w:p w14:paraId="666C4E84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good specificity,</w:t>
            </w:r>
          </w:p>
        </w:tc>
        <w:tc>
          <w:tcPr>
            <w:tcW w:w="1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5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complicated steps and the high cost,</w:t>
            </w:r>
          </w:p>
          <w:p w14:paraId="666C4E86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qualitative detection, not quantitative</w:t>
            </w:r>
          </w:p>
        </w:tc>
      </w:tr>
      <w:tr w:rsidR="00E6428B" w:rsidRPr="0054679C" w14:paraId="666C4E8F" w14:textId="77777777">
        <w:trPr>
          <w:trHeight w:val="2197"/>
        </w:trPr>
        <w:tc>
          <w:tcPr>
            <w:tcW w:w="1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8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MS-SRM</w:t>
            </w:r>
          </w:p>
        </w:tc>
        <w:tc>
          <w:tcPr>
            <w:tcW w:w="3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9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isotope-labeled internal standard peptide for objective quantification</w:t>
            </w:r>
          </w:p>
        </w:tc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A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high sensitivity,</w:t>
            </w:r>
          </w:p>
          <w:p w14:paraId="666C4E8B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good specificity,</w:t>
            </w:r>
          </w:p>
          <w:p w14:paraId="666C4E8C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high throughput,</w:t>
            </w:r>
          </w:p>
          <w:p w14:paraId="666C4E8D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absolute quantification</w:t>
            </w:r>
          </w:p>
        </w:tc>
        <w:tc>
          <w:tcPr>
            <w:tcW w:w="1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4E8E" w14:textId="77777777" w:rsidR="00E6428B" w:rsidRPr="0054679C" w:rsidRDefault="00C0574F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high technical requirement</w:t>
            </w:r>
          </w:p>
        </w:tc>
      </w:tr>
    </w:tbl>
    <w:p w14:paraId="666C4E90" w14:textId="77777777" w:rsidR="00E6428B" w:rsidRPr="0054679C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66C4E91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4E92" w14:textId="77777777" w:rsidR="00E6428B" w:rsidRPr="0054679C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66C4E93" w14:textId="77777777" w:rsidR="00E6428B" w:rsidRPr="0054679C" w:rsidRDefault="00C0574F">
      <w:pPr>
        <w:jc w:val="left"/>
        <w:rPr>
          <w:rStyle w:val="tgt0"/>
          <w:rFonts w:ascii="Times New Roman" w:eastAsia="Microsoft YaHei" w:hAnsi="Times New Roman" w:cs="Times New Roman"/>
          <w:color w:val="000000" w:themeColor="text1"/>
          <w:sz w:val="22"/>
          <w:shd w:val="clear" w:color="auto" w:fill="FCFDFE"/>
        </w:rPr>
      </w:pPr>
      <w:r w:rsidRPr="0054679C">
        <w:rPr>
          <w:rStyle w:val="tgt0"/>
          <w:rFonts w:ascii="Times New Roman" w:eastAsia="Microsoft YaHei" w:hAnsi="Times New Roman" w:cs="Times New Roman"/>
          <w:color w:val="000000" w:themeColor="text1"/>
          <w:sz w:val="22"/>
          <w:shd w:val="clear" w:color="auto" w:fill="FCFDFE"/>
        </w:rPr>
        <w:t>Table S2. Clinicopathological features of 118 gastric adenocarcinoma specimens</w:t>
      </w:r>
    </w:p>
    <w:tbl>
      <w:tblPr>
        <w:tblW w:w="8227" w:type="dxa"/>
        <w:tblLook w:val="04A0" w:firstRow="1" w:lastRow="0" w:firstColumn="1" w:lastColumn="0" w:noHBand="0" w:noVBand="1"/>
      </w:tblPr>
      <w:tblGrid>
        <w:gridCol w:w="2181"/>
        <w:gridCol w:w="4888"/>
        <w:gridCol w:w="1158"/>
      </w:tblGrid>
      <w:tr w:rsidR="00C0574F" w:rsidRPr="0054679C" w14:paraId="666C4E97" w14:textId="77777777">
        <w:trPr>
          <w:trHeight w:val="422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E9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feature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E9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class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E9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count</w:t>
            </w:r>
          </w:p>
        </w:tc>
      </w:tr>
      <w:tr w:rsidR="00C0574F" w:rsidRPr="0054679C" w14:paraId="666C4E9B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98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age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9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&lt;63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9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54</w:t>
            </w:r>
          </w:p>
        </w:tc>
      </w:tr>
      <w:tr w:rsidR="00C0574F" w:rsidRPr="0054679C" w14:paraId="666C4E9F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9C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9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&gt;=63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9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64</w:t>
            </w:r>
          </w:p>
        </w:tc>
      </w:tr>
      <w:tr w:rsidR="00C0574F" w:rsidRPr="0054679C" w14:paraId="666C4EA3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0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gender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male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87</w:t>
            </w:r>
          </w:p>
        </w:tc>
      </w:tr>
      <w:tr w:rsidR="00C0574F" w:rsidRPr="0054679C" w14:paraId="666C4EA7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A4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female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</w:tr>
      <w:tr w:rsidR="00C0574F" w:rsidRPr="0054679C" w14:paraId="666C4EAB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8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part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4EA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fundus-cardia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15</w:t>
            </w:r>
          </w:p>
        </w:tc>
      </w:tr>
      <w:tr w:rsidR="00C0574F" w:rsidRPr="0054679C" w14:paraId="666C4EAF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AC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body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A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</w:tr>
      <w:tr w:rsidR="00C0574F" w:rsidRPr="0054679C" w14:paraId="666C4EB3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B0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antrum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84</w:t>
            </w:r>
          </w:p>
        </w:tc>
      </w:tr>
      <w:tr w:rsidR="00C0574F" w:rsidRPr="0054679C" w14:paraId="666C4EB7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WHO classification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4EB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moderately-well differentiated adenocarcinoma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86</w:t>
            </w:r>
          </w:p>
        </w:tc>
      </w:tr>
      <w:tr w:rsidR="00C0574F" w:rsidRPr="0054679C" w14:paraId="666C4EBB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B8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4EB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poorly differentiated adenocarcinoma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</w:tr>
      <w:tr w:rsidR="00C0574F" w:rsidRPr="0054679C" w14:paraId="666C4EBF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C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Lauren classification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4EB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intestinal and mixed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B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90</w:t>
            </w:r>
          </w:p>
        </w:tc>
      </w:tr>
      <w:tr w:rsidR="00C0574F" w:rsidRPr="0054679C" w14:paraId="666C4EC3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C0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diffuse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28</w:t>
            </w:r>
          </w:p>
        </w:tc>
      </w:tr>
      <w:tr w:rsidR="00C0574F" w:rsidRPr="0054679C" w14:paraId="666C4EC7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IHC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 or 1+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</w:tr>
      <w:tr w:rsidR="00C0574F" w:rsidRPr="0054679C" w14:paraId="666C4ECB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C8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2+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45</w:t>
            </w:r>
          </w:p>
        </w:tc>
      </w:tr>
      <w:tr w:rsidR="00C0574F" w:rsidRPr="0054679C" w14:paraId="666C4ECF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CC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3+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C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53</w:t>
            </w:r>
          </w:p>
        </w:tc>
      </w:tr>
      <w:tr w:rsidR="00C0574F" w:rsidRPr="0054679C" w14:paraId="666C4ED3" w14:textId="77777777">
        <w:trPr>
          <w:trHeight w:val="422"/>
        </w:trPr>
        <w:tc>
          <w:tcPr>
            <w:tcW w:w="21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6C4ED0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FISH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D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negative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D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45</w:t>
            </w:r>
          </w:p>
        </w:tc>
      </w:tr>
      <w:tr w:rsidR="00E6428B" w:rsidRPr="0054679C" w14:paraId="666C4ED7" w14:textId="77777777">
        <w:trPr>
          <w:trHeight w:val="422"/>
        </w:trPr>
        <w:tc>
          <w:tcPr>
            <w:tcW w:w="2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6C4ED4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ED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ED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73</w:t>
            </w:r>
          </w:p>
        </w:tc>
      </w:tr>
    </w:tbl>
    <w:p w14:paraId="666C4ED8" w14:textId="77777777" w:rsidR="00E6428B" w:rsidRPr="0054679C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66C4ED9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4EDA" w14:textId="77777777" w:rsidR="00E6428B" w:rsidRPr="0054679C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66C4EDB" w14:textId="77777777" w:rsidR="00E6428B" w:rsidRPr="0054679C" w:rsidRDefault="00C0574F">
      <w:pPr>
        <w:pStyle w:val="ListParagraph"/>
        <w:spacing w:line="360" w:lineRule="auto"/>
        <w:ind w:left="0" w:right="45" w:firstLine="0"/>
        <w:jc w:val="left"/>
        <w:rPr>
          <w:rFonts w:eastAsia="Microsoft YaHei"/>
          <w:color w:val="000000" w:themeColor="text1"/>
        </w:rPr>
      </w:pPr>
      <w:r w:rsidRPr="0054679C">
        <w:rPr>
          <w:rFonts w:eastAsia="Microsoft YaHei"/>
          <w:color w:val="000000" w:themeColor="text1"/>
        </w:rPr>
        <w:t>Table S</w:t>
      </w:r>
      <w:r w:rsidRPr="0054679C">
        <w:rPr>
          <w:rFonts w:eastAsia="Microsoft YaHei"/>
          <w:color w:val="000000" w:themeColor="text1"/>
          <w:lang w:eastAsia="zh-CN"/>
        </w:rPr>
        <w:t xml:space="preserve">3. </w:t>
      </w:r>
      <w:r w:rsidRPr="0054679C">
        <w:rPr>
          <w:rFonts w:eastAsia="Microsoft YaHei"/>
          <w:color w:val="000000" w:themeColor="text1"/>
        </w:rPr>
        <w:t xml:space="preserve">Reproducible experimental results </w:t>
      </w:r>
      <w:r w:rsidRPr="0054679C">
        <w:rPr>
          <w:rFonts w:eastAsia="Microsoft YaHei"/>
          <w:color w:val="000000" w:themeColor="text1"/>
          <w:lang w:eastAsia="zh-CN"/>
        </w:rPr>
        <w:t>of three different types of cancers at different time points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422"/>
        <w:gridCol w:w="2703"/>
        <w:gridCol w:w="3272"/>
      </w:tblGrid>
      <w:tr w:rsidR="00C0574F" w:rsidRPr="0054679C" w14:paraId="666C4EDF" w14:textId="77777777">
        <w:trPr>
          <w:trHeight w:val="812"/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C4EDC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sample serial number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C4EDD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cancer type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6C4EDE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[HER2] content (</w:t>
            </w: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amol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/µg)</w:t>
            </w:r>
          </w:p>
        </w:tc>
      </w:tr>
      <w:tr w:rsidR="00C0574F" w:rsidRPr="0054679C" w14:paraId="666C4EE4" w14:textId="77777777">
        <w:trPr>
          <w:trHeight w:val="660"/>
          <w:jc w:val="center"/>
        </w:trPr>
        <w:tc>
          <w:tcPr>
            <w:tcW w:w="170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6C4EE0" w14:textId="77777777" w:rsidR="00E6428B" w:rsidRPr="0054679C" w:rsidRDefault="00E6428B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6C4EE1" w14:textId="77777777" w:rsidR="00E6428B" w:rsidRPr="0054679C" w:rsidRDefault="00E6428B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6C4EE2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freshly prepared tumor tissue sections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6C4EE3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preserved for 12 months</w:t>
            </w:r>
          </w:p>
        </w:tc>
      </w:tr>
      <w:tr w:rsidR="00C0574F" w:rsidRPr="0054679C" w14:paraId="666C4EE9" w14:textId="77777777">
        <w:trPr>
          <w:trHeight w:val="565"/>
          <w:jc w:val="center"/>
        </w:trPr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5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BD0401C1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C4EE6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colon cancer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7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440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8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384</w:t>
            </w:r>
          </w:p>
        </w:tc>
      </w:tr>
      <w:tr w:rsidR="00C0574F" w:rsidRPr="0054679C" w14:paraId="666C4EEE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A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BD0401C3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EB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colon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C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D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</w:tr>
      <w:tr w:rsidR="00C0574F" w:rsidRPr="0054679C" w14:paraId="666C4EF3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EF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BF1103C2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F0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breast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1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427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2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482</w:t>
            </w:r>
          </w:p>
        </w:tc>
      </w:tr>
      <w:tr w:rsidR="00C0574F" w:rsidRPr="0054679C" w14:paraId="666C4EF8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4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BF1103C3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F5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breast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6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634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7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679</w:t>
            </w:r>
          </w:p>
        </w:tc>
      </w:tr>
      <w:tr w:rsidR="00C0574F" w:rsidRPr="0054679C" w14:paraId="666C4EFD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9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BR1006C1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FA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lung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B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C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</w:tr>
      <w:tr w:rsidR="00C0574F" w:rsidRPr="0054679C" w14:paraId="666C4F02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EFE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BR1006C3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EFF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lung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0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1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ND</w:t>
            </w:r>
          </w:p>
        </w:tc>
      </w:tr>
      <w:tr w:rsidR="00C0574F" w:rsidRPr="0054679C" w14:paraId="666C4F07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3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REF0026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F04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lung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5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13119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6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13956</w:t>
            </w:r>
          </w:p>
        </w:tc>
      </w:tr>
      <w:tr w:rsidR="00C0574F" w:rsidRPr="0054679C" w14:paraId="666C4F0C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8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REF0069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4F09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breast cancer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A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344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0B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479</w:t>
            </w:r>
          </w:p>
        </w:tc>
      </w:tr>
      <w:tr w:rsidR="00C0574F" w:rsidRPr="0054679C" w14:paraId="666C4F11" w14:textId="77777777">
        <w:trPr>
          <w:trHeight w:val="565"/>
          <w:jc w:val="center"/>
        </w:trPr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4F0D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REF0008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6C4F0E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breast cancer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4F0F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4F10" w14:textId="77777777" w:rsidR="00E6428B" w:rsidRPr="0054679C" w:rsidRDefault="00C0574F">
            <w:pPr>
              <w:adjustRightIn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sz w:val="22"/>
              </w:rPr>
              <w:t>264</w:t>
            </w:r>
          </w:p>
        </w:tc>
      </w:tr>
    </w:tbl>
    <w:p w14:paraId="666C4F12" w14:textId="77777777" w:rsidR="00E6428B" w:rsidRPr="0054679C" w:rsidRDefault="00C0574F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t>Note: ND means that the detection value of mass spectrometry is less than LOQ</w:t>
      </w:r>
    </w:p>
    <w:p w14:paraId="666C4F13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4F14" w14:textId="77777777" w:rsidR="00E6428B" w:rsidRPr="0054679C" w:rsidRDefault="00C0574F">
      <w:pPr>
        <w:widowControl/>
        <w:shd w:val="clear" w:color="auto" w:fill="FCFDFE"/>
        <w:spacing w:line="36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lastRenderedPageBreak/>
        <w:t>Table S4. Statistical table of baseline data of research objects</w:t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3189"/>
        <w:gridCol w:w="1383"/>
        <w:gridCol w:w="1449"/>
        <w:gridCol w:w="2037"/>
        <w:gridCol w:w="1005"/>
      </w:tblGrid>
      <w:tr w:rsidR="00C0574F" w:rsidRPr="0054679C" w14:paraId="666C4F1C" w14:textId="77777777">
        <w:trPr>
          <w:trHeight w:val="431"/>
        </w:trPr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1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1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FISH</w:t>
            </w:r>
          </w:p>
          <w:p w14:paraId="666C4F1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positive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18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FISH</w:t>
            </w:r>
          </w:p>
          <w:p w14:paraId="666C4F1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negative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1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Statistical Inference Test Statistics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1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p-value</w:t>
            </w:r>
          </w:p>
        </w:tc>
      </w:tr>
      <w:tr w:rsidR="00C0574F" w:rsidRPr="0054679C" w14:paraId="666C4F22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1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Grouping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1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1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0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1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28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3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IHC, median (IQR)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 (2,3)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 (1,2)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7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</w:tr>
      <w:tr w:rsidR="00C0574F" w:rsidRPr="0054679C" w14:paraId="666C4F2F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HER2 CEP 17, median (IQR)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7.7 (4.4,12.7)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1.2 </w:t>
            </w:r>
          </w:p>
          <w:p w14:paraId="666C4F2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(1.1,1.5)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2E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</w:tr>
      <w:tr w:rsidR="00C0574F" w:rsidRPr="0054679C" w14:paraId="666C4F36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HER2 SRM, median (IQR)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1031.2 (352,3121.2)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</w:t>
            </w:r>
          </w:p>
          <w:p w14:paraId="666C4F33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(0,0)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5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</w:tr>
      <w:tr w:rsidR="00C0574F" w:rsidRPr="0054679C" w14:paraId="666C4F3C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Gender, 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8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9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(1 df) = 0.62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B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0.433</w:t>
            </w:r>
          </w:p>
        </w:tc>
      </w:tr>
      <w:tr w:rsidR="00C0574F" w:rsidRPr="0054679C" w14:paraId="666C4F42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D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male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52 (71.2)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3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35 (77.8)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0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1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48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3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female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21 (28.8)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 (22.2)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6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7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4E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Age, median (IQR)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61.9 (11.1)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64.7 (9.1)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t-test (116 df) = 1.4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D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0.166</w:t>
            </w:r>
          </w:p>
        </w:tc>
      </w:tr>
      <w:tr w:rsidR="00C0574F" w:rsidRPr="0054679C" w14:paraId="666C4F54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4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Lauren classification, 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0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1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(2 df) = 1.99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3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0.37</w:t>
            </w:r>
          </w:p>
        </w:tc>
      </w:tr>
      <w:tr w:rsidR="00C0574F" w:rsidRPr="0054679C" w14:paraId="666C4F5A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5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intestinal type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42 (57.5)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20 (44.4)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8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9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60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B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Hybrid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16 (21.9)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12 (26.7)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E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5F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66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1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Diffuse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15 (20.5)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3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13 (28.9)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4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5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6C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Lymph node metastasis, 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8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9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(1 df) = 4.44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B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0.035</w:t>
            </w:r>
          </w:p>
        </w:tc>
      </w:tr>
      <w:tr w:rsidR="00C0574F" w:rsidRPr="0054679C" w14:paraId="666C4F72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D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 (19.2)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6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17 (38.6)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0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1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78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3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yes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42 (80.8)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27 (61.4)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6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7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7E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Degree of differentiation, 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A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B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(2 df) = 4.19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D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0.123</w:t>
            </w:r>
          </w:p>
        </w:tc>
      </w:tr>
      <w:tr w:rsidR="00C0574F" w:rsidRPr="0054679C" w14:paraId="666C4F84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7F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Low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16 (21.9)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16 (35.6)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2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3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8A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5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high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 (8.2)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 (13.3)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8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9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90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B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middle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51 (69.9)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23 (51.1)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E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8F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96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TNM staging, median (IQR)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 (2,3)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3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 (2,3)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5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0.361</w:t>
            </w:r>
          </w:p>
        </w:tc>
      </w:tr>
      <w:tr w:rsidR="00C0574F" w:rsidRPr="0054679C" w14:paraId="666C4F9C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Tumor site, 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8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9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(2 df) = 2.58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B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0.275</w:t>
            </w:r>
          </w:p>
        </w:tc>
      </w:tr>
      <w:tr w:rsidR="00C0574F" w:rsidRPr="0054679C" w14:paraId="666C4FA2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D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Fundus-cardia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 (15.1)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9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 (8.9)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0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1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A8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3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gastric antrum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53 (72.6)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31 (68.9)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6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A7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AE" w14:textId="77777777">
        <w:trPr>
          <w:trHeight w:val="431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A9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body of stomach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A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9 (12.3)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A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 (22.2)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A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AD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666C4FAF" w14:textId="77777777" w:rsidR="00E6428B" w:rsidRPr="0054679C" w:rsidRDefault="00C0574F">
      <w:pPr>
        <w:widowControl/>
        <w:spacing w:line="360" w:lineRule="auto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t>Note: For TNM staging and lymph node metastasis, a total of 96 cases underwent surgery samples, and the remaining 22 cases were biopsy samples (without TNM staging and lymph node metastasis statistics).</w:t>
      </w:r>
    </w:p>
    <w:p w14:paraId="666C4FB0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4FB1" w14:textId="77777777" w:rsidR="00E6428B" w:rsidRPr="0054679C" w:rsidRDefault="00C0574F">
      <w:pPr>
        <w:widowControl/>
        <w:shd w:val="clear" w:color="auto" w:fill="FCFDFE"/>
        <w:spacing w:line="360" w:lineRule="atLeast"/>
        <w:jc w:val="left"/>
        <w:rPr>
          <w:rStyle w:val="tgt0"/>
          <w:rFonts w:ascii="Times New Roman" w:eastAsia="Microsoft YaHei" w:hAnsi="Times New Roman" w:cs="Times New Roman"/>
          <w:color w:val="000000" w:themeColor="text1"/>
          <w:kern w:val="0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lastRenderedPageBreak/>
        <w:t>Table S5. Statistical table of baseline data of exploration set and verification set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3143"/>
        <w:gridCol w:w="1285"/>
        <w:gridCol w:w="1571"/>
        <w:gridCol w:w="1999"/>
        <w:gridCol w:w="1002"/>
      </w:tblGrid>
      <w:tr w:rsidR="00C0574F" w:rsidRPr="0054679C" w14:paraId="666C4FB7" w14:textId="77777777">
        <w:trPr>
          <w:trHeight w:val="359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B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B3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Explore set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B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Validation set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B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Statistical Inference Test Statistics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4FB6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p-value</w:t>
            </w:r>
          </w:p>
        </w:tc>
      </w:tr>
      <w:tr w:rsidR="00C0574F" w:rsidRPr="0054679C" w14:paraId="666C4FBD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8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Grouping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B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C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C3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IHC, median (IQR)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B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 (2,3)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 (2,3)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2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0.757</w:t>
            </w:r>
          </w:p>
        </w:tc>
      </w:tr>
      <w:tr w:rsidR="00C0574F" w:rsidRPr="0054679C" w14:paraId="666C4FC9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FISH,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5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6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(1 df) = 0.04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8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0.85</w:t>
            </w:r>
          </w:p>
        </w:tc>
      </w:tr>
      <w:tr w:rsidR="00C0574F" w:rsidRPr="0054679C" w14:paraId="666C4FCF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A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Neg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23 (39)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22 (37.3)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D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CE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D5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0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Pos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36 (61)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37 (62.7)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4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DB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HER2 CEP17, median (IQR)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 (1.3,7.4)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8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2.7 (1.5,9.7)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A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0.6</w:t>
            </w:r>
          </w:p>
        </w:tc>
      </w:tr>
      <w:tr w:rsidR="00C0574F" w:rsidRPr="0054679C" w14:paraId="666C4FE1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HER2 SRM, median (IQR)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448.2 (0,1490.9)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349.1 (0,1382.7)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D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0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0.775</w:t>
            </w:r>
          </w:p>
        </w:tc>
      </w:tr>
      <w:tr w:rsidR="00C0574F" w:rsidRPr="0054679C" w14:paraId="666C4FE7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Gender,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4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(1 df) = 0.04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6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0.834</w:t>
            </w:r>
          </w:p>
        </w:tc>
      </w:tr>
      <w:tr w:rsidR="00C0574F" w:rsidRPr="0054679C" w14:paraId="666C4FED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8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male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43 (72.9)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44 (74.6)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B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C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F3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E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female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E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16 (27.1)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15 (25.4)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1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2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4FF9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age, median (IQR)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63 (56,69)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65 (59,71)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8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0.175</w:t>
            </w:r>
          </w:p>
        </w:tc>
      </w:tr>
      <w:tr w:rsidR="00C0574F" w:rsidRPr="0054679C" w14:paraId="666C4FFF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Lauren classification,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B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C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Chisq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. (2 df) = 3.64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4FFE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0.162</w:t>
            </w:r>
          </w:p>
        </w:tc>
      </w:tr>
      <w:tr w:rsidR="00C0574F" w:rsidRPr="0054679C" w14:paraId="666C5005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0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intestinal type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30 (50.8)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32 (54.2)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4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0B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6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Hybrid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 (18.6)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8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17 (28.8)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9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A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11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C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Diffuse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18 (30.5)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 (16.9)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0F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0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17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Lymph node metastasis,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4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(1 df) = 0.91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6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0.339</w:t>
            </w:r>
          </w:p>
        </w:tc>
      </w:tr>
      <w:tr w:rsidR="00C0574F" w:rsidRPr="0054679C" w14:paraId="666C501D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8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10 (23.3)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17 (32.1)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B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C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23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E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yes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1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33 (76.7)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36 (67.9)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1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2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29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4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Degree of differentiation,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5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6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</w:t>
            </w:r>
            <w:proofErr w:type="gram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sq .</w:t>
            </w:r>
            <w:proofErr w:type="gram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(2 df) = 5.4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8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0.067</w:t>
            </w:r>
          </w:p>
        </w:tc>
      </w:tr>
      <w:tr w:rsidR="00C0574F" w:rsidRPr="0054679C" w14:paraId="666C502F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A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Low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B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21 (35.6)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 (18.6)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D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2E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35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0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high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1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7 (11.9)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5 (8.5)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4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3B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6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middle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31 (52.5)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8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43 (72.9)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9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A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41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C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TNM staging, median (IQR)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D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 (2,3)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E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 (2,3)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3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Ranksum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 test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0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0.208</w:t>
            </w:r>
          </w:p>
        </w:tc>
      </w:tr>
      <w:tr w:rsidR="00C0574F" w:rsidRPr="0054679C" w14:paraId="666C5047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2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Tumor site, N (%)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3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4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Chi-sq. (2 df) = 0.59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6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0.745</w:t>
            </w:r>
          </w:p>
        </w:tc>
      </w:tr>
      <w:tr w:rsidR="00C0574F" w:rsidRPr="0054679C" w14:paraId="666C504D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8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Fundus-cardia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9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8 (13.6)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A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7 (11.9)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B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C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53" w14:textId="77777777">
        <w:trPr>
          <w:trHeight w:val="35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E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gastric antrum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4F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43 (72.9)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50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41 (69.5)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51" w14:textId="77777777" w:rsidR="00E6428B" w:rsidRPr="0054679C" w:rsidRDefault="00E6428B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52" w14:textId="77777777" w:rsidR="00E6428B" w:rsidRPr="0054679C" w:rsidRDefault="00E6428B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059" w14:textId="77777777">
        <w:trPr>
          <w:trHeight w:val="181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4" w14:textId="77777777" w:rsidR="00E6428B" w:rsidRPr="0054679C" w:rsidRDefault="00C0574F">
            <w:pPr>
              <w:widowControl/>
              <w:ind w:firstLineChars="200" w:firstLine="440"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body of stomach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5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8 (13.6)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6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 (18.6)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7" w14:textId="77777777" w:rsidR="00E6428B" w:rsidRPr="0054679C" w:rsidRDefault="00C0574F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8" w14:textId="77777777" w:rsidR="00E6428B" w:rsidRPr="0054679C" w:rsidRDefault="00C0574F">
            <w:pPr>
              <w:widowControl/>
              <w:jc w:val="right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666C505A" w14:textId="77777777" w:rsidR="00E6428B" w:rsidRPr="0054679C" w:rsidRDefault="00C0574F">
      <w:pPr>
        <w:widowControl/>
        <w:spacing w:line="360" w:lineRule="auto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t>Note: For TNM staging and lymph node metastasis, a total of 96 cases underwent surgery samples, and the remaining 22 cases were biopsy samples (without TNM staging and lymph node metastasis statistics).</w:t>
      </w:r>
    </w:p>
    <w:p w14:paraId="666C505B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505C" w14:textId="77777777" w:rsidR="00E6428B" w:rsidRPr="0054679C" w:rsidRDefault="00C0574F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lastRenderedPageBreak/>
        <w:t>Table S6. Basic clinical conditions and tumor characteristics of 22 patients with gastric adenocarcinoma biopsy samples</w:t>
      </w:r>
    </w:p>
    <w:tbl>
      <w:tblPr>
        <w:tblW w:w="8355" w:type="dxa"/>
        <w:tblLook w:val="04A0" w:firstRow="1" w:lastRow="0" w:firstColumn="1" w:lastColumn="0" w:noHBand="0" w:noVBand="1"/>
      </w:tblPr>
      <w:tblGrid>
        <w:gridCol w:w="2240"/>
        <w:gridCol w:w="5019"/>
        <w:gridCol w:w="1096"/>
      </w:tblGrid>
      <w:tr w:rsidR="00C0574F" w:rsidRPr="0054679C" w14:paraId="666C5060" w14:textId="77777777">
        <w:trPr>
          <w:trHeight w:val="444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feature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class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5F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count</w:t>
            </w:r>
          </w:p>
        </w:tc>
      </w:tr>
      <w:tr w:rsidR="00C0574F" w:rsidRPr="0054679C" w14:paraId="666C5064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age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&lt;60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3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C0574F" w:rsidRPr="0054679C" w14:paraId="666C5068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65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&gt;=60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7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C0574F" w:rsidRPr="0054679C" w14:paraId="666C506C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gender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male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B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</w:tr>
      <w:tr w:rsidR="00C0574F" w:rsidRPr="0054679C" w14:paraId="666C5070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6D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female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6F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</w:tr>
      <w:tr w:rsidR="00C0574F" w:rsidRPr="0054679C" w14:paraId="666C5074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part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body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3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</w:tr>
      <w:tr w:rsidR="00C0574F" w:rsidRPr="0054679C" w14:paraId="666C5078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75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antrum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7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</w:tr>
      <w:tr w:rsidR="00C0574F" w:rsidRPr="0054679C" w14:paraId="666C507C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WHO classification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7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moderately-well differentiated adenocarcinoma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B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</w:tr>
      <w:tr w:rsidR="00C0574F" w:rsidRPr="0054679C" w14:paraId="666C5080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7D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7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poorly differentiated adenocarcinoma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7F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</w:tr>
      <w:tr w:rsidR="00C0574F" w:rsidRPr="0054679C" w14:paraId="666C5084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Lauren classification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8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intestinal and mixed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3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</w:tr>
      <w:tr w:rsidR="00C0574F" w:rsidRPr="0054679C" w14:paraId="666C5088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85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diffuse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7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</w:tr>
      <w:tr w:rsidR="00C0574F" w:rsidRPr="0054679C" w14:paraId="666C508C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IHC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2+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B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</w:tr>
      <w:tr w:rsidR="00C0574F" w:rsidRPr="0054679C" w14:paraId="666C5090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8D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3+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8F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C0574F" w:rsidRPr="0054679C" w14:paraId="666C5094" w14:textId="77777777">
        <w:trPr>
          <w:trHeight w:val="444"/>
        </w:trPr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6C509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FISH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9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negative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93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E6428B" w:rsidRPr="0054679C" w14:paraId="666C5098" w14:textId="77777777">
        <w:trPr>
          <w:trHeight w:val="444"/>
        </w:trPr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6C5095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9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97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</w:tr>
    </w:tbl>
    <w:p w14:paraId="666C5099" w14:textId="77777777" w:rsidR="00E6428B" w:rsidRPr="0054679C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521C6DB1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059D268A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2FFBFDCA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55EBB332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7BFF834F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5E84D1B7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2AAA54CF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693CE3C7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41CFF1E4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786E22FC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40810789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0A8B9534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7A051FE6" w14:textId="77777777" w:rsidR="000E1508" w:rsidRDefault="000E1508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</w:p>
    <w:p w14:paraId="666C509A" w14:textId="27E79328" w:rsidR="00E6428B" w:rsidRPr="0054679C" w:rsidRDefault="00C0574F">
      <w:pPr>
        <w:spacing w:line="360" w:lineRule="auto"/>
        <w:jc w:val="left"/>
        <w:rPr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Fonts w:ascii="Times New Roman" w:eastAsia="Microsoft YaHei" w:hAnsi="Times New Roman" w:cs="Times New Roman"/>
          <w:color w:val="000000" w:themeColor="text1"/>
          <w:sz w:val="22"/>
        </w:rPr>
        <w:lastRenderedPageBreak/>
        <w:t>Table S7. Statistics of HER2-IHC, FISH and SRM results in 22 cases of gastric adenocarcinoma biopsy samples</w:t>
      </w:r>
    </w:p>
    <w:tbl>
      <w:tblPr>
        <w:tblW w:w="8224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7"/>
        <w:gridCol w:w="1401"/>
        <w:gridCol w:w="2491"/>
        <w:gridCol w:w="1685"/>
      </w:tblGrid>
      <w:tr w:rsidR="00C0574F" w:rsidRPr="0054679C" w14:paraId="666C50A0" w14:textId="77777777">
        <w:trPr>
          <w:trHeight w:val="697"/>
        </w:trPr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9B" w14:textId="77777777" w:rsidR="00E6428B" w:rsidRPr="0054679C" w:rsidRDefault="00C0574F">
            <w:pPr>
              <w:widowControl/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group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9C" w14:textId="77777777" w:rsidR="00E6428B" w:rsidRPr="0054679C" w:rsidRDefault="00C0574F">
            <w:pPr>
              <w:widowControl/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SRM &lt; 300 </w:t>
            </w: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amol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/µg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9D" w14:textId="77777777" w:rsidR="00E6428B" w:rsidRPr="0054679C" w:rsidRDefault="00C0574F">
            <w:pPr>
              <w:widowControl/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300-700 </w:t>
            </w:r>
          </w:p>
          <w:p w14:paraId="666C509E" w14:textId="77777777" w:rsidR="00E6428B" w:rsidRPr="0054679C" w:rsidRDefault="00C0574F">
            <w:pPr>
              <w:widowControl/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amol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/µg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9F" w14:textId="77777777" w:rsidR="00E6428B" w:rsidRPr="0054679C" w:rsidRDefault="00C0574F">
            <w:pPr>
              <w:widowControl/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 xml:space="preserve">SRM &gt; 700 </w:t>
            </w:r>
            <w:proofErr w:type="spellStart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amol</w:t>
            </w:r>
            <w:proofErr w:type="spellEnd"/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/µg</w:t>
            </w:r>
          </w:p>
        </w:tc>
      </w:tr>
      <w:tr w:rsidR="00C0574F" w:rsidRPr="0054679C" w14:paraId="666C50A5" w14:textId="77777777">
        <w:trPr>
          <w:trHeight w:val="697"/>
        </w:trPr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1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IHC2+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2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3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4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</w:t>
            </w:r>
          </w:p>
        </w:tc>
      </w:tr>
      <w:tr w:rsidR="00C0574F" w:rsidRPr="0054679C" w14:paraId="666C50AA" w14:textId="77777777">
        <w:trPr>
          <w:trHeight w:val="697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6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IHC3+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7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8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9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C0574F" w:rsidRPr="0054679C" w14:paraId="666C50AF" w14:textId="77777777">
        <w:trPr>
          <w:trHeight w:val="697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B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FISH (-)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C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D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AE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0</w:t>
            </w:r>
          </w:p>
        </w:tc>
      </w:tr>
      <w:tr w:rsidR="00E6428B" w:rsidRPr="0054679C" w14:paraId="666C50B4" w14:textId="77777777">
        <w:trPr>
          <w:trHeight w:val="697"/>
        </w:trPr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B0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FISH (+)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B1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B2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6C50B3" w14:textId="77777777" w:rsidR="00E6428B" w:rsidRPr="0054679C" w:rsidRDefault="00C0574F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Microsoft YaHei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</w:tbl>
    <w:p w14:paraId="666C50B5" w14:textId="77777777" w:rsidR="00E6428B" w:rsidRPr="0054679C" w:rsidRDefault="00E6428B">
      <w:pPr>
        <w:ind w:firstLineChars="200" w:firstLine="440"/>
        <w:rPr>
          <w:rFonts w:ascii="Times New Roman" w:eastAsia="Microsoft YaHei" w:hAnsi="Times New Roman" w:cs="Times New Roman"/>
          <w:b/>
          <w:bCs/>
          <w:color w:val="000000" w:themeColor="text1"/>
          <w:sz w:val="22"/>
        </w:rPr>
      </w:pPr>
      <w:bookmarkStart w:id="0" w:name="_Hlk109651011"/>
    </w:p>
    <w:bookmarkEnd w:id="0"/>
    <w:p w14:paraId="666C50B6" w14:textId="77777777" w:rsidR="00E6428B" w:rsidRPr="0054679C" w:rsidRDefault="00C0574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4679C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66C50B7" w14:textId="77777777" w:rsidR="00E6428B" w:rsidRPr="0054679C" w:rsidRDefault="00C0574F">
      <w:pPr>
        <w:rPr>
          <w:rStyle w:val="tgt0"/>
          <w:rFonts w:ascii="Times New Roman" w:eastAsia="Microsoft YaHei" w:hAnsi="Times New Roman" w:cs="Times New Roman"/>
          <w:color w:val="000000" w:themeColor="text1"/>
          <w:sz w:val="22"/>
        </w:rPr>
      </w:pPr>
      <w:r w:rsidRPr="0054679C">
        <w:rPr>
          <w:rStyle w:val="tgt0"/>
          <w:rFonts w:ascii="Times New Roman" w:eastAsia="Microsoft YaHei" w:hAnsi="Times New Roman" w:cs="Times New Roman"/>
          <w:color w:val="000000" w:themeColor="text1"/>
          <w:sz w:val="22"/>
        </w:rPr>
        <w:lastRenderedPageBreak/>
        <w:t>Table S8. Clinicopathological features of 27 gastric adenocarcinoma mixed type (Lauren type) samples</w:t>
      </w:r>
    </w:p>
    <w:tbl>
      <w:tblPr>
        <w:tblW w:w="8262" w:type="dxa"/>
        <w:tblLook w:val="04A0" w:firstRow="1" w:lastRow="0" w:firstColumn="1" w:lastColumn="0" w:noHBand="0" w:noVBand="1"/>
      </w:tblPr>
      <w:tblGrid>
        <w:gridCol w:w="2606"/>
        <w:gridCol w:w="4327"/>
        <w:gridCol w:w="1329"/>
      </w:tblGrid>
      <w:tr w:rsidR="00C0574F" w:rsidRPr="0054679C" w14:paraId="666C50BB" w14:textId="77777777">
        <w:trPr>
          <w:trHeight w:val="414"/>
        </w:trPr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B8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feature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B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class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B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count</w:t>
            </w:r>
          </w:p>
        </w:tc>
      </w:tr>
      <w:tr w:rsidR="00C0574F" w:rsidRPr="0054679C" w14:paraId="666C50BF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BC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age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B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&lt;63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B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C0574F" w:rsidRPr="0054679C" w14:paraId="666C50C3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C0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&gt;=63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</w:tr>
      <w:tr w:rsidR="00C0574F" w:rsidRPr="0054679C" w14:paraId="666C50C7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gender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male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18</w:t>
            </w:r>
          </w:p>
        </w:tc>
      </w:tr>
      <w:tr w:rsidR="00C0574F" w:rsidRPr="0054679C" w14:paraId="666C50CB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C8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female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</w:tr>
      <w:tr w:rsidR="00C0574F" w:rsidRPr="0054679C" w14:paraId="666C50CF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C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part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body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C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</w:tr>
      <w:tr w:rsidR="00C0574F" w:rsidRPr="0054679C" w14:paraId="666C50D3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D0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gastric antrum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</w:tr>
      <w:tr w:rsidR="00C0574F" w:rsidRPr="0054679C" w14:paraId="666C50D7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WHO classification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tubular adenocarcinoma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C0574F" w:rsidRPr="0054679C" w14:paraId="666C50DB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D8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D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hepatic adenocarcinoma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C0574F" w:rsidRPr="0054679C" w14:paraId="666C50DF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DC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D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poorly differentiated adenocarcinoma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D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</w:tr>
      <w:tr w:rsidR="00C0574F" w:rsidRPr="0054679C" w14:paraId="666C50E3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0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lymphatic metastasis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50E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yes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22</w:t>
            </w:r>
          </w:p>
        </w:tc>
      </w:tr>
      <w:tr w:rsidR="00C0574F" w:rsidRPr="0054679C" w14:paraId="666C50E7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E4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C0574F" w:rsidRPr="0054679C" w14:paraId="666C50EB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8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IHC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0 or 1+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C0574F" w:rsidRPr="0054679C" w14:paraId="666C50EF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EC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D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2+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EE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</w:tr>
      <w:tr w:rsidR="00C0574F" w:rsidRPr="0054679C" w14:paraId="666C50F3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0F0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F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3+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F2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</w:tr>
      <w:tr w:rsidR="00C0574F" w:rsidRPr="0054679C" w14:paraId="666C50F7" w14:textId="77777777">
        <w:trPr>
          <w:trHeight w:val="414"/>
        </w:trPr>
        <w:tc>
          <w:tcPr>
            <w:tcW w:w="26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6C50F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FISH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F5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negative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50F6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</w:tr>
      <w:tr w:rsidR="00E6428B" w:rsidRPr="0054679C" w14:paraId="666C50FB" w14:textId="77777777">
        <w:trPr>
          <w:trHeight w:val="414"/>
        </w:trPr>
        <w:tc>
          <w:tcPr>
            <w:tcW w:w="26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6C50F8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F9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positive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50FA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15</w:t>
            </w:r>
          </w:p>
        </w:tc>
      </w:tr>
    </w:tbl>
    <w:p w14:paraId="666C50FC" w14:textId="77777777" w:rsidR="00E6428B" w:rsidRPr="0054679C" w:rsidRDefault="00E6428B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66C50FD" w14:textId="31A5A780" w:rsidR="00E6428B" w:rsidRDefault="00E6428B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3B17B789" w14:textId="17E8DB0A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5B27C10F" w14:textId="1F263FA8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964D664" w14:textId="4C81834F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F974465" w14:textId="0927903D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4DD53AD1" w14:textId="083E48C8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587AE6DD" w14:textId="7DF78DB0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D039E3D" w14:textId="2EDA4308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064A5E94" w14:textId="6E1B10FB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F675663" w14:textId="5A69C857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27378A2C" w14:textId="18BC884A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3C52B3E" w14:textId="0E18B162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459B77E" w14:textId="60E15422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3F6583C1" w14:textId="347C5011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2018648F" w14:textId="62D68742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5B0FC97D" w14:textId="07B1AA70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45E43EFD" w14:textId="60514181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284AEAA6" w14:textId="5D18B4A6" w:rsidR="000E1508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7D7360C" w14:textId="77777777" w:rsidR="000E1508" w:rsidRPr="0054679C" w:rsidRDefault="000E150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66C50FE" w14:textId="77777777" w:rsidR="00E6428B" w:rsidRPr="0054679C" w:rsidRDefault="00C0574F">
      <w:pPr>
        <w:jc w:val="left"/>
        <w:rPr>
          <w:rFonts w:ascii="Times New Roman" w:eastAsiaTheme="minorHAnsi" w:hAnsi="Times New Roman" w:cs="Times New Roman"/>
          <w:color w:val="000000" w:themeColor="text1"/>
          <w:sz w:val="22"/>
        </w:rPr>
      </w:pPr>
      <w:r w:rsidRPr="0054679C">
        <w:rPr>
          <w:rFonts w:ascii="Times New Roman" w:eastAsiaTheme="minorHAnsi" w:hAnsi="Times New Roman" w:cs="Times New Roman"/>
          <w:color w:val="000000" w:themeColor="text1"/>
          <w:sz w:val="22"/>
        </w:rPr>
        <w:lastRenderedPageBreak/>
        <w:t>Table S9. HER2-SRM interpretation has enterotype phenotype characteristics pathologically confusion matrix</w:t>
      </w:r>
    </w:p>
    <w:tbl>
      <w:tblPr>
        <w:tblW w:w="8398" w:type="dxa"/>
        <w:jc w:val="center"/>
        <w:tblLook w:val="04A0" w:firstRow="1" w:lastRow="0" w:firstColumn="1" w:lastColumn="0" w:noHBand="0" w:noVBand="1"/>
      </w:tblPr>
      <w:tblGrid>
        <w:gridCol w:w="1488"/>
        <w:gridCol w:w="2925"/>
        <w:gridCol w:w="1565"/>
        <w:gridCol w:w="1423"/>
        <w:gridCol w:w="997"/>
      </w:tblGrid>
      <w:tr w:rsidR="00C0574F" w:rsidRPr="0054679C" w14:paraId="666C5102" w14:textId="77777777">
        <w:trPr>
          <w:trHeight w:val="514"/>
          <w:jc w:val="center"/>
        </w:trPr>
        <w:tc>
          <w:tcPr>
            <w:tcW w:w="44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0FF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confusion matrix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66C5100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HER2-SRM interpretation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01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total</w:t>
            </w:r>
          </w:p>
        </w:tc>
      </w:tr>
      <w:tr w:rsidR="00C0574F" w:rsidRPr="0054679C" w14:paraId="666C5107" w14:textId="77777777">
        <w:trPr>
          <w:trHeight w:val="514"/>
          <w:jc w:val="center"/>
        </w:trPr>
        <w:tc>
          <w:tcPr>
            <w:tcW w:w="4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6C5103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04" w14:textId="77777777" w:rsidR="00E6428B" w:rsidRPr="0054679C" w:rsidRDefault="00C0574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benefit (may)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05" w14:textId="77777777" w:rsidR="00E6428B" w:rsidRPr="0054679C" w:rsidRDefault="00C0574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benefit (not)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66C5106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0574F" w:rsidRPr="0054679C" w14:paraId="666C510D" w14:textId="77777777">
        <w:trPr>
          <w:trHeight w:val="514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08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pathological interpretation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66C5109" w14:textId="77777777" w:rsidR="00E6428B" w:rsidRPr="0054679C" w:rsidRDefault="00C0574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enterotype phenotype (yes)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66C510A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6C510B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66C510C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C0574F" w:rsidRPr="0054679C" w14:paraId="666C5113" w14:textId="77777777">
        <w:trPr>
          <w:trHeight w:val="514"/>
          <w:jc w:val="center"/>
        </w:trPr>
        <w:tc>
          <w:tcPr>
            <w:tcW w:w="1488" w:type="dxa"/>
            <w:vMerge/>
            <w:vAlign w:val="center"/>
          </w:tcPr>
          <w:p w14:paraId="666C510E" w14:textId="77777777" w:rsidR="00E6428B" w:rsidRPr="0054679C" w:rsidRDefault="00E6428B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92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66C510F" w14:textId="77777777" w:rsidR="00E6428B" w:rsidRPr="0054679C" w:rsidRDefault="00C0574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enterotype phenotype (none)</w:t>
            </w: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66C5110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666C5111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9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66C5112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</w:tr>
      <w:tr w:rsidR="00E6428B" w:rsidRPr="00C0574F" w14:paraId="666C5118" w14:textId="77777777">
        <w:trPr>
          <w:trHeight w:val="514"/>
          <w:jc w:val="center"/>
        </w:trPr>
        <w:tc>
          <w:tcPr>
            <w:tcW w:w="44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14" w14:textId="77777777" w:rsidR="00E6428B" w:rsidRPr="0054679C" w:rsidRDefault="00C057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total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15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16" w14:textId="77777777" w:rsidR="00E6428B" w:rsidRPr="0054679C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5117" w14:textId="77777777" w:rsidR="00E6428B" w:rsidRPr="00C0574F" w:rsidRDefault="00C0574F">
            <w:pPr>
              <w:widowControl/>
              <w:jc w:val="righ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</w:pPr>
            <w:r w:rsidRPr="0054679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</w:tr>
    </w:tbl>
    <w:p w14:paraId="666C5119" w14:textId="77777777" w:rsidR="00E6428B" w:rsidRPr="00C0574F" w:rsidRDefault="00E6428B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66C511A" w14:textId="77777777" w:rsidR="00E6428B" w:rsidRPr="00C0574F" w:rsidRDefault="00E6428B">
      <w:pPr>
        <w:snapToGrid w:val="0"/>
        <w:spacing w:beforeLines="100" w:before="312" w:afterLines="50" w:after="156"/>
        <w:rPr>
          <w:rFonts w:ascii="Times New Roman" w:eastAsia="Microsoft YaHei" w:hAnsi="Times New Roman" w:cs="Times New Roman"/>
          <w:b/>
          <w:bCs/>
          <w:color w:val="000000" w:themeColor="text1"/>
          <w:sz w:val="22"/>
        </w:rPr>
      </w:pPr>
    </w:p>
    <w:sectPr w:rsidR="00E6428B" w:rsidRPr="00C0574F" w:rsidSect="000E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0F3" w14:textId="77777777" w:rsidR="006206B9" w:rsidRDefault="006206B9" w:rsidP="002A01D8">
      <w:r>
        <w:separator/>
      </w:r>
    </w:p>
  </w:endnote>
  <w:endnote w:type="continuationSeparator" w:id="0">
    <w:p w14:paraId="01FF28DC" w14:textId="77777777" w:rsidR="006206B9" w:rsidRDefault="006206B9" w:rsidP="002A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55e5ac77">
    <w:altName w:val="Cambria"/>
    <w:charset w:val="00"/>
    <w:family w:val="roman"/>
    <w:pitch w:val="default"/>
  </w:font>
  <w:font w:name="AdvOT6c49bf5b.B">
    <w:altName w:val="Cambria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03B4" w14:textId="77777777" w:rsidR="006206B9" w:rsidRDefault="006206B9" w:rsidP="002A01D8">
      <w:r>
        <w:separator/>
      </w:r>
    </w:p>
  </w:footnote>
  <w:footnote w:type="continuationSeparator" w:id="0">
    <w:p w14:paraId="3460963F" w14:textId="77777777" w:rsidR="006206B9" w:rsidRDefault="006206B9" w:rsidP="002A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iNzYxNmIwZmM4MWZkYjkzNTk2NTFkZTQ3ZWFiNGQifQ=="/>
  </w:docVars>
  <w:rsids>
    <w:rsidRoot w:val="00AE18B4"/>
    <w:rsid w:val="00000A34"/>
    <w:rsid w:val="00001423"/>
    <w:rsid w:val="000035F0"/>
    <w:rsid w:val="000050F3"/>
    <w:rsid w:val="000072A2"/>
    <w:rsid w:val="00010384"/>
    <w:rsid w:val="000110CF"/>
    <w:rsid w:val="00011B4B"/>
    <w:rsid w:val="0001267E"/>
    <w:rsid w:val="00012827"/>
    <w:rsid w:val="00012830"/>
    <w:rsid w:val="00014EE8"/>
    <w:rsid w:val="00020284"/>
    <w:rsid w:val="000215B6"/>
    <w:rsid w:val="00022CCA"/>
    <w:rsid w:val="00023176"/>
    <w:rsid w:val="000238A5"/>
    <w:rsid w:val="00024336"/>
    <w:rsid w:val="000259FE"/>
    <w:rsid w:val="0002703C"/>
    <w:rsid w:val="00027741"/>
    <w:rsid w:val="00030215"/>
    <w:rsid w:val="000321A9"/>
    <w:rsid w:val="00032343"/>
    <w:rsid w:val="00032472"/>
    <w:rsid w:val="00033A4C"/>
    <w:rsid w:val="00033FCD"/>
    <w:rsid w:val="0003571E"/>
    <w:rsid w:val="00035820"/>
    <w:rsid w:val="00035FD3"/>
    <w:rsid w:val="00037197"/>
    <w:rsid w:val="0003737E"/>
    <w:rsid w:val="00037F31"/>
    <w:rsid w:val="0004279A"/>
    <w:rsid w:val="00042C70"/>
    <w:rsid w:val="000431A5"/>
    <w:rsid w:val="00043F32"/>
    <w:rsid w:val="00044488"/>
    <w:rsid w:val="00045AE2"/>
    <w:rsid w:val="00047849"/>
    <w:rsid w:val="00051B9D"/>
    <w:rsid w:val="00052AD5"/>
    <w:rsid w:val="00053AA7"/>
    <w:rsid w:val="00055467"/>
    <w:rsid w:val="00055A50"/>
    <w:rsid w:val="00061D72"/>
    <w:rsid w:val="00062129"/>
    <w:rsid w:val="0006403C"/>
    <w:rsid w:val="000669F2"/>
    <w:rsid w:val="00067A22"/>
    <w:rsid w:val="00067BB3"/>
    <w:rsid w:val="00072A8D"/>
    <w:rsid w:val="0007338D"/>
    <w:rsid w:val="000734BA"/>
    <w:rsid w:val="00073A55"/>
    <w:rsid w:val="000742DB"/>
    <w:rsid w:val="00074A04"/>
    <w:rsid w:val="000815D9"/>
    <w:rsid w:val="0008233C"/>
    <w:rsid w:val="000846E3"/>
    <w:rsid w:val="00084A17"/>
    <w:rsid w:val="00084C30"/>
    <w:rsid w:val="00084F3A"/>
    <w:rsid w:val="00085152"/>
    <w:rsid w:val="000868B9"/>
    <w:rsid w:val="0009047D"/>
    <w:rsid w:val="00091021"/>
    <w:rsid w:val="00091A74"/>
    <w:rsid w:val="000927D3"/>
    <w:rsid w:val="00093E6E"/>
    <w:rsid w:val="000943EB"/>
    <w:rsid w:val="000947E9"/>
    <w:rsid w:val="000A13DC"/>
    <w:rsid w:val="000A1AAC"/>
    <w:rsid w:val="000A21D3"/>
    <w:rsid w:val="000A42C2"/>
    <w:rsid w:val="000A541A"/>
    <w:rsid w:val="000A6EF2"/>
    <w:rsid w:val="000B0AC4"/>
    <w:rsid w:val="000B1559"/>
    <w:rsid w:val="000B36A3"/>
    <w:rsid w:val="000B3BDF"/>
    <w:rsid w:val="000B5904"/>
    <w:rsid w:val="000B5AB5"/>
    <w:rsid w:val="000B67E4"/>
    <w:rsid w:val="000B72D4"/>
    <w:rsid w:val="000B74FD"/>
    <w:rsid w:val="000B7A79"/>
    <w:rsid w:val="000C22FF"/>
    <w:rsid w:val="000C3F43"/>
    <w:rsid w:val="000C46A6"/>
    <w:rsid w:val="000C4772"/>
    <w:rsid w:val="000C5530"/>
    <w:rsid w:val="000C5CB7"/>
    <w:rsid w:val="000C698C"/>
    <w:rsid w:val="000C6B29"/>
    <w:rsid w:val="000C7BE0"/>
    <w:rsid w:val="000D072E"/>
    <w:rsid w:val="000D117B"/>
    <w:rsid w:val="000D14A7"/>
    <w:rsid w:val="000D1B93"/>
    <w:rsid w:val="000D1FF5"/>
    <w:rsid w:val="000D2785"/>
    <w:rsid w:val="000D2828"/>
    <w:rsid w:val="000D28BA"/>
    <w:rsid w:val="000D2925"/>
    <w:rsid w:val="000D5D61"/>
    <w:rsid w:val="000D6A01"/>
    <w:rsid w:val="000D6DE3"/>
    <w:rsid w:val="000D79A7"/>
    <w:rsid w:val="000E1508"/>
    <w:rsid w:val="000F18F2"/>
    <w:rsid w:val="000F56AC"/>
    <w:rsid w:val="00100469"/>
    <w:rsid w:val="0010171D"/>
    <w:rsid w:val="001026AA"/>
    <w:rsid w:val="00102A73"/>
    <w:rsid w:val="00104E7A"/>
    <w:rsid w:val="00106F4B"/>
    <w:rsid w:val="001104DD"/>
    <w:rsid w:val="001105FD"/>
    <w:rsid w:val="001113EE"/>
    <w:rsid w:val="0011151D"/>
    <w:rsid w:val="0011213B"/>
    <w:rsid w:val="001135F5"/>
    <w:rsid w:val="00113D5B"/>
    <w:rsid w:val="00113FD5"/>
    <w:rsid w:val="001148E5"/>
    <w:rsid w:val="00114E2F"/>
    <w:rsid w:val="00115C0B"/>
    <w:rsid w:val="0011625B"/>
    <w:rsid w:val="00120065"/>
    <w:rsid w:val="0012389C"/>
    <w:rsid w:val="00123B86"/>
    <w:rsid w:val="00123E21"/>
    <w:rsid w:val="00125D33"/>
    <w:rsid w:val="001309A1"/>
    <w:rsid w:val="001309B5"/>
    <w:rsid w:val="00132797"/>
    <w:rsid w:val="00132DF4"/>
    <w:rsid w:val="00134045"/>
    <w:rsid w:val="00135C39"/>
    <w:rsid w:val="00135F02"/>
    <w:rsid w:val="001372E2"/>
    <w:rsid w:val="00140F88"/>
    <w:rsid w:val="001416D4"/>
    <w:rsid w:val="001422BB"/>
    <w:rsid w:val="00142BD6"/>
    <w:rsid w:val="0014352C"/>
    <w:rsid w:val="00143D6B"/>
    <w:rsid w:val="0014432F"/>
    <w:rsid w:val="001447BD"/>
    <w:rsid w:val="00145633"/>
    <w:rsid w:val="00147D9D"/>
    <w:rsid w:val="00150707"/>
    <w:rsid w:val="00151A40"/>
    <w:rsid w:val="001522D4"/>
    <w:rsid w:val="00152BCA"/>
    <w:rsid w:val="00152CB2"/>
    <w:rsid w:val="00155603"/>
    <w:rsid w:val="00156209"/>
    <w:rsid w:val="0015627C"/>
    <w:rsid w:val="00156EBE"/>
    <w:rsid w:val="00160958"/>
    <w:rsid w:val="00160F7F"/>
    <w:rsid w:val="0016248E"/>
    <w:rsid w:val="001627F9"/>
    <w:rsid w:val="00166AE5"/>
    <w:rsid w:val="00166B60"/>
    <w:rsid w:val="00166FE0"/>
    <w:rsid w:val="001702F3"/>
    <w:rsid w:val="00170375"/>
    <w:rsid w:val="00172440"/>
    <w:rsid w:val="001724EE"/>
    <w:rsid w:val="0017584D"/>
    <w:rsid w:val="00175CFC"/>
    <w:rsid w:val="001842DC"/>
    <w:rsid w:val="001850A1"/>
    <w:rsid w:val="00186071"/>
    <w:rsid w:val="0018661A"/>
    <w:rsid w:val="00186F07"/>
    <w:rsid w:val="001938BF"/>
    <w:rsid w:val="00194CB0"/>
    <w:rsid w:val="00195BE8"/>
    <w:rsid w:val="001A1120"/>
    <w:rsid w:val="001A1C94"/>
    <w:rsid w:val="001A2619"/>
    <w:rsid w:val="001A2EFD"/>
    <w:rsid w:val="001A3051"/>
    <w:rsid w:val="001A6D77"/>
    <w:rsid w:val="001A7B44"/>
    <w:rsid w:val="001A7EE7"/>
    <w:rsid w:val="001B3698"/>
    <w:rsid w:val="001B5CEA"/>
    <w:rsid w:val="001B6D45"/>
    <w:rsid w:val="001C0BF0"/>
    <w:rsid w:val="001C134C"/>
    <w:rsid w:val="001C1590"/>
    <w:rsid w:val="001C2EAB"/>
    <w:rsid w:val="001C45E6"/>
    <w:rsid w:val="001C4F4E"/>
    <w:rsid w:val="001C6AD8"/>
    <w:rsid w:val="001D1CA7"/>
    <w:rsid w:val="001D313F"/>
    <w:rsid w:val="001D5267"/>
    <w:rsid w:val="001D6D69"/>
    <w:rsid w:val="001E0E59"/>
    <w:rsid w:val="001E1371"/>
    <w:rsid w:val="001E265D"/>
    <w:rsid w:val="001E2D73"/>
    <w:rsid w:val="001E4A0D"/>
    <w:rsid w:val="001E50E1"/>
    <w:rsid w:val="001F1004"/>
    <w:rsid w:val="001F102D"/>
    <w:rsid w:val="001F1D72"/>
    <w:rsid w:val="001F2F93"/>
    <w:rsid w:val="001F3A42"/>
    <w:rsid w:val="001F69A0"/>
    <w:rsid w:val="001F7F10"/>
    <w:rsid w:val="0020123A"/>
    <w:rsid w:val="002013DC"/>
    <w:rsid w:val="00202ADF"/>
    <w:rsid w:val="00202D3D"/>
    <w:rsid w:val="00203195"/>
    <w:rsid w:val="002069BA"/>
    <w:rsid w:val="00207C09"/>
    <w:rsid w:val="002123E9"/>
    <w:rsid w:val="00212ADB"/>
    <w:rsid w:val="00212C5E"/>
    <w:rsid w:val="00214C3D"/>
    <w:rsid w:val="00214F6F"/>
    <w:rsid w:val="002174C8"/>
    <w:rsid w:val="002177AB"/>
    <w:rsid w:val="00217838"/>
    <w:rsid w:val="0022016F"/>
    <w:rsid w:val="0022311E"/>
    <w:rsid w:val="00225C6A"/>
    <w:rsid w:val="002264D5"/>
    <w:rsid w:val="002266E3"/>
    <w:rsid w:val="00227AD6"/>
    <w:rsid w:val="00227E1A"/>
    <w:rsid w:val="00231854"/>
    <w:rsid w:val="00231ADC"/>
    <w:rsid w:val="00232D61"/>
    <w:rsid w:val="0023592A"/>
    <w:rsid w:val="00236661"/>
    <w:rsid w:val="00237DCD"/>
    <w:rsid w:val="00237E4E"/>
    <w:rsid w:val="0024103F"/>
    <w:rsid w:val="00241E15"/>
    <w:rsid w:val="002423B9"/>
    <w:rsid w:val="0024288F"/>
    <w:rsid w:val="002458FC"/>
    <w:rsid w:val="00245E11"/>
    <w:rsid w:val="00246435"/>
    <w:rsid w:val="0024722A"/>
    <w:rsid w:val="0025042D"/>
    <w:rsid w:val="0025212A"/>
    <w:rsid w:val="0025360F"/>
    <w:rsid w:val="002605B0"/>
    <w:rsid w:val="00260A42"/>
    <w:rsid w:val="00261623"/>
    <w:rsid w:val="00261CA4"/>
    <w:rsid w:val="00266F1F"/>
    <w:rsid w:val="0026767B"/>
    <w:rsid w:val="002676BF"/>
    <w:rsid w:val="002717F3"/>
    <w:rsid w:val="00271952"/>
    <w:rsid w:val="00273654"/>
    <w:rsid w:val="00274B2C"/>
    <w:rsid w:val="00275F54"/>
    <w:rsid w:val="002777DB"/>
    <w:rsid w:val="00280130"/>
    <w:rsid w:val="002806E1"/>
    <w:rsid w:val="00281866"/>
    <w:rsid w:val="00282A4F"/>
    <w:rsid w:val="00284486"/>
    <w:rsid w:val="00285488"/>
    <w:rsid w:val="00287109"/>
    <w:rsid w:val="00287123"/>
    <w:rsid w:val="00291794"/>
    <w:rsid w:val="00291D57"/>
    <w:rsid w:val="00292CED"/>
    <w:rsid w:val="00293008"/>
    <w:rsid w:val="00293496"/>
    <w:rsid w:val="002A01D8"/>
    <w:rsid w:val="002A035A"/>
    <w:rsid w:val="002A0866"/>
    <w:rsid w:val="002A1545"/>
    <w:rsid w:val="002A1DE9"/>
    <w:rsid w:val="002A2313"/>
    <w:rsid w:val="002A322B"/>
    <w:rsid w:val="002A4E55"/>
    <w:rsid w:val="002A5057"/>
    <w:rsid w:val="002A7D09"/>
    <w:rsid w:val="002B18A2"/>
    <w:rsid w:val="002B292F"/>
    <w:rsid w:val="002B663D"/>
    <w:rsid w:val="002B6BAB"/>
    <w:rsid w:val="002B710A"/>
    <w:rsid w:val="002C24BA"/>
    <w:rsid w:val="002C3158"/>
    <w:rsid w:val="002C3183"/>
    <w:rsid w:val="002C35C9"/>
    <w:rsid w:val="002C3A02"/>
    <w:rsid w:val="002C674F"/>
    <w:rsid w:val="002C6F9B"/>
    <w:rsid w:val="002C78AB"/>
    <w:rsid w:val="002C7985"/>
    <w:rsid w:val="002D0450"/>
    <w:rsid w:val="002D0658"/>
    <w:rsid w:val="002D28CC"/>
    <w:rsid w:val="002D374C"/>
    <w:rsid w:val="002D3BB0"/>
    <w:rsid w:val="002D57B0"/>
    <w:rsid w:val="002E1F33"/>
    <w:rsid w:val="002E2491"/>
    <w:rsid w:val="002E2D94"/>
    <w:rsid w:val="002E30B1"/>
    <w:rsid w:val="002E3BBB"/>
    <w:rsid w:val="002E70C2"/>
    <w:rsid w:val="002F0619"/>
    <w:rsid w:val="002F2157"/>
    <w:rsid w:val="002F34CD"/>
    <w:rsid w:val="002F3A0A"/>
    <w:rsid w:val="002F45FF"/>
    <w:rsid w:val="002F4D2B"/>
    <w:rsid w:val="002F5C68"/>
    <w:rsid w:val="002F72A0"/>
    <w:rsid w:val="00300E23"/>
    <w:rsid w:val="00300F2B"/>
    <w:rsid w:val="003018A7"/>
    <w:rsid w:val="00301F70"/>
    <w:rsid w:val="00305052"/>
    <w:rsid w:val="00305ECB"/>
    <w:rsid w:val="00306B0F"/>
    <w:rsid w:val="003077C3"/>
    <w:rsid w:val="00307D7D"/>
    <w:rsid w:val="00310B67"/>
    <w:rsid w:val="00311091"/>
    <w:rsid w:val="003124A7"/>
    <w:rsid w:val="00312D22"/>
    <w:rsid w:val="00312FF7"/>
    <w:rsid w:val="00313CC2"/>
    <w:rsid w:val="00314ACE"/>
    <w:rsid w:val="003164FC"/>
    <w:rsid w:val="0031756D"/>
    <w:rsid w:val="00320750"/>
    <w:rsid w:val="003207BC"/>
    <w:rsid w:val="003208A3"/>
    <w:rsid w:val="00322216"/>
    <w:rsid w:val="003239BD"/>
    <w:rsid w:val="00324195"/>
    <w:rsid w:val="003242AE"/>
    <w:rsid w:val="00326899"/>
    <w:rsid w:val="003314C0"/>
    <w:rsid w:val="003346FE"/>
    <w:rsid w:val="0033472D"/>
    <w:rsid w:val="003405D2"/>
    <w:rsid w:val="00343C89"/>
    <w:rsid w:val="00343EC4"/>
    <w:rsid w:val="00350870"/>
    <w:rsid w:val="00355CB7"/>
    <w:rsid w:val="00357396"/>
    <w:rsid w:val="00360105"/>
    <w:rsid w:val="00360425"/>
    <w:rsid w:val="00360F15"/>
    <w:rsid w:val="00360F3E"/>
    <w:rsid w:val="00363A01"/>
    <w:rsid w:val="00365790"/>
    <w:rsid w:val="003661A7"/>
    <w:rsid w:val="003664E9"/>
    <w:rsid w:val="00367265"/>
    <w:rsid w:val="00367D0D"/>
    <w:rsid w:val="0037166B"/>
    <w:rsid w:val="003718ED"/>
    <w:rsid w:val="0037265C"/>
    <w:rsid w:val="00372785"/>
    <w:rsid w:val="00373DF6"/>
    <w:rsid w:val="003745F3"/>
    <w:rsid w:val="00374C84"/>
    <w:rsid w:val="00375F53"/>
    <w:rsid w:val="003769E5"/>
    <w:rsid w:val="003772D3"/>
    <w:rsid w:val="00377688"/>
    <w:rsid w:val="00377FFA"/>
    <w:rsid w:val="00382160"/>
    <w:rsid w:val="00382225"/>
    <w:rsid w:val="00384319"/>
    <w:rsid w:val="0038690F"/>
    <w:rsid w:val="003870A9"/>
    <w:rsid w:val="0038744F"/>
    <w:rsid w:val="00387979"/>
    <w:rsid w:val="00387F49"/>
    <w:rsid w:val="003912DE"/>
    <w:rsid w:val="003923B3"/>
    <w:rsid w:val="00393A11"/>
    <w:rsid w:val="00393EBE"/>
    <w:rsid w:val="003955C2"/>
    <w:rsid w:val="00396E7D"/>
    <w:rsid w:val="003A0183"/>
    <w:rsid w:val="003A0FCE"/>
    <w:rsid w:val="003A1B51"/>
    <w:rsid w:val="003A2E28"/>
    <w:rsid w:val="003A6177"/>
    <w:rsid w:val="003A6789"/>
    <w:rsid w:val="003B0B2E"/>
    <w:rsid w:val="003B1A65"/>
    <w:rsid w:val="003B22BE"/>
    <w:rsid w:val="003B29FF"/>
    <w:rsid w:val="003B2E4D"/>
    <w:rsid w:val="003B4BF8"/>
    <w:rsid w:val="003B59FF"/>
    <w:rsid w:val="003B7879"/>
    <w:rsid w:val="003C1CE8"/>
    <w:rsid w:val="003C1E5C"/>
    <w:rsid w:val="003C4008"/>
    <w:rsid w:val="003D014D"/>
    <w:rsid w:val="003D25FC"/>
    <w:rsid w:val="003D4D7B"/>
    <w:rsid w:val="003D70B8"/>
    <w:rsid w:val="003E00D2"/>
    <w:rsid w:val="003E2F77"/>
    <w:rsid w:val="003E41F8"/>
    <w:rsid w:val="003E4CE3"/>
    <w:rsid w:val="003E66A0"/>
    <w:rsid w:val="003E6BE2"/>
    <w:rsid w:val="003E6D86"/>
    <w:rsid w:val="003E71C8"/>
    <w:rsid w:val="003E75D9"/>
    <w:rsid w:val="003E7EE6"/>
    <w:rsid w:val="003F199B"/>
    <w:rsid w:val="003F2DD1"/>
    <w:rsid w:val="003F31E2"/>
    <w:rsid w:val="003F34A3"/>
    <w:rsid w:val="003F5EF3"/>
    <w:rsid w:val="003F6214"/>
    <w:rsid w:val="003F6AAA"/>
    <w:rsid w:val="00400087"/>
    <w:rsid w:val="004001E0"/>
    <w:rsid w:val="00400436"/>
    <w:rsid w:val="00400502"/>
    <w:rsid w:val="004008BA"/>
    <w:rsid w:val="00401A86"/>
    <w:rsid w:val="00403338"/>
    <w:rsid w:val="00403859"/>
    <w:rsid w:val="0040385F"/>
    <w:rsid w:val="00403907"/>
    <w:rsid w:val="00403D86"/>
    <w:rsid w:val="00406683"/>
    <w:rsid w:val="00407661"/>
    <w:rsid w:val="00411619"/>
    <w:rsid w:val="0041287D"/>
    <w:rsid w:val="00412BC9"/>
    <w:rsid w:val="0041344E"/>
    <w:rsid w:val="00414ABC"/>
    <w:rsid w:val="004202D8"/>
    <w:rsid w:val="00420A4F"/>
    <w:rsid w:val="00420D20"/>
    <w:rsid w:val="00421159"/>
    <w:rsid w:val="00422B6F"/>
    <w:rsid w:val="004266B9"/>
    <w:rsid w:val="00427405"/>
    <w:rsid w:val="004303D6"/>
    <w:rsid w:val="004316ED"/>
    <w:rsid w:val="00431CF2"/>
    <w:rsid w:val="004321DD"/>
    <w:rsid w:val="00433341"/>
    <w:rsid w:val="00435553"/>
    <w:rsid w:val="004374FF"/>
    <w:rsid w:val="00437658"/>
    <w:rsid w:val="0044031B"/>
    <w:rsid w:val="0044423C"/>
    <w:rsid w:val="00446FE2"/>
    <w:rsid w:val="004475B7"/>
    <w:rsid w:val="0045199F"/>
    <w:rsid w:val="00452428"/>
    <w:rsid w:val="004541C1"/>
    <w:rsid w:val="00454397"/>
    <w:rsid w:val="004547FF"/>
    <w:rsid w:val="00454AE3"/>
    <w:rsid w:val="00455FE3"/>
    <w:rsid w:val="004572C8"/>
    <w:rsid w:val="00457BBB"/>
    <w:rsid w:val="00460C05"/>
    <w:rsid w:val="004612DF"/>
    <w:rsid w:val="00461A4C"/>
    <w:rsid w:val="00461C80"/>
    <w:rsid w:val="00465B25"/>
    <w:rsid w:val="00465B93"/>
    <w:rsid w:val="00466329"/>
    <w:rsid w:val="00466673"/>
    <w:rsid w:val="0046796B"/>
    <w:rsid w:val="00471D1C"/>
    <w:rsid w:val="004721E1"/>
    <w:rsid w:val="0047469F"/>
    <w:rsid w:val="00475DBC"/>
    <w:rsid w:val="00477241"/>
    <w:rsid w:val="00477297"/>
    <w:rsid w:val="004809FF"/>
    <w:rsid w:val="00480F68"/>
    <w:rsid w:val="00483357"/>
    <w:rsid w:val="00484567"/>
    <w:rsid w:val="00486555"/>
    <w:rsid w:val="0048773E"/>
    <w:rsid w:val="00490CF0"/>
    <w:rsid w:val="00492DF6"/>
    <w:rsid w:val="00495142"/>
    <w:rsid w:val="00496A05"/>
    <w:rsid w:val="00497594"/>
    <w:rsid w:val="004A0469"/>
    <w:rsid w:val="004A250F"/>
    <w:rsid w:val="004A64B7"/>
    <w:rsid w:val="004A76C0"/>
    <w:rsid w:val="004A7B98"/>
    <w:rsid w:val="004A7D1C"/>
    <w:rsid w:val="004A7EE8"/>
    <w:rsid w:val="004B1E36"/>
    <w:rsid w:val="004B2AA1"/>
    <w:rsid w:val="004B2FE4"/>
    <w:rsid w:val="004B5126"/>
    <w:rsid w:val="004B56C5"/>
    <w:rsid w:val="004B78BF"/>
    <w:rsid w:val="004C0AD4"/>
    <w:rsid w:val="004C265E"/>
    <w:rsid w:val="004C2837"/>
    <w:rsid w:val="004C2FE1"/>
    <w:rsid w:val="004C3CBE"/>
    <w:rsid w:val="004C5AAA"/>
    <w:rsid w:val="004C6D94"/>
    <w:rsid w:val="004C7169"/>
    <w:rsid w:val="004C79C7"/>
    <w:rsid w:val="004D31FB"/>
    <w:rsid w:val="004D4E57"/>
    <w:rsid w:val="004D5353"/>
    <w:rsid w:val="004D5734"/>
    <w:rsid w:val="004D797C"/>
    <w:rsid w:val="004E15A0"/>
    <w:rsid w:val="004E1CF4"/>
    <w:rsid w:val="004E2D7E"/>
    <w:rsid w:val="004E4D69"/>
    <w:rsid w:val="004E5D2F"/>
    <w:rsid w:val="004E60DB"/>
    <w:rsid w:val="004E6102"/>
    <w:rsid w:val="004E66D2"/>
    <w:rsid w:val="004E68E0"/>
    <w:rsid w:val="004F182E"/>
    <w:rsid w:val="004F30EA"/>
    <w:rsid w:val="004F3959"/>
    <w:rsid w:val="004F3E18"/>
    <w:rsid w:val="004F42CF"/>
    <w:rsid w:val="004F5F3F"/>
    <w:rsid w:val="004F6977"/>
    <w:rsid w:val="004F7CCE"/>
    <w:rsid w:val="005007E2"/>
    <w:rsid w:val="00501BD9"/>
    <w:rsid w:val="00501BEA"/>
    <w:rsid w:val="00502506"/>
    <w:rsid w:val="00502530"/>
    <w:rsid w:val="00502705"/>
    <w:rsid w:val="00502BE7"/>
    <w:rsid w:val="00504465"/>
    <w:rsid w:val="00505D26"/>
    <w:rsid w:val="00510C80"/>
    <w:rsid w:val="00512178"/>
    <w:rsid w:val="00513822"/>
    <w:rsid w:val="005139C3"/>
    <w:rsid w:val="00515154"/>
    <w:rsid w:val="005152E3"/>
    <w:rsid w:val="00515780"/>
    <w:rsid w:val="00516DFC"/>
    <w:rsid w:val="00517B6C"/>
    <w:rsid w:val="0052044C"/>
    <w:rsid w:val="00521251"/>
    <w:rsid w:val="00521ADF"/>
    <w:rsid w:val="005259C4"/>
    <w:rsid w:val="00525C81"/>
    <w:rsid w:val="005262B0"/>
    <w:rsid w:val="00526806"/>
    <w:rsid w:val="005269A4"/>
    <w:rsid w:val="00533292"/>
    <w:rsid w:val="00533F23"/>
    <w:rsid w:val="005353C8"/>
    <w:rsid w:val="005375FC"/>
    <w:rsid w:val="00537D64"/>
    <w:rsid w:val="005401EF"/>
    <w:rsid w:val="005404A5"/>
    <w:rsid w:val="00540F37"/>
    <w:rsid w:val="00541BC1"/>
    <w:rsid w:val="0054306E"/>
    <w:rsid w:val="005432EE"/>
    <w:rsid w:val="005458B8"/>
    <w:rsid w:val="0054594B"/>
    <w:rsid w:val="00545978"/>
    <w:rsid w:val="00546362"/>
    <w:rsid w:val="0054679C"/>
    <w:rsid w:val="0055036B"/>
    <w:rsid w:val="00550FBD"/>
    <w:rsid w:val="00551BE2"/>
    <w:rsid w:val="0055260F"/>
    <w:rsid w:val="0055299C"/>
    <w:rsid w:val="00555798"/>
    <w:rsid w:val="00555A26"/>
    <w:rsid w:val="00556410"/>
    <w:rsid w:val="00556BF3"/>
    <w:rsid w:val="00556C55"/>
    <w:rsid w:val="00560225"/>
    <w:rsid w:val="0056293B"/>
    <w:rsid w:val="0056311D"/>
    <w:rsid w:val="00563389"/>
    <w:rsid w:val="00563F15"/>
    <w:rsid w:val="00565E9D"/>
    <w:rsid w:val="005665D6"/>
    <w:rsid w:val="005673BF"/>
    <w:rsid w:val="0056752C"/>
    <w:rsid w:val="0057017F"/>
    <w:rsid w:val="005718F7"/>
    <w:rsid w:val="00575178"/>
    <w:rsid w:val="00576112"/>
    <w:rsid w:val="00576460"/>
    <w:rsid w:val="00582802"/>
    <w:rsid w:val="00584405"/>
    <w:rsid w:val="00585923"/>
    <w:rsid w:val="00586F1F"/>
    <w:rsid w:val="00587937"/>
    <w:rsid w:val="00587D24"/>
    <w:rsid w:val="00592E7D"/>
    <w:rsid w:val="00593775"/>
    <w:rsid w:val="005954F6"/>
    <w:rsid w:val="00595C09"/>
    <w:rsid w:val="00596468"/>
    <w:rsid w:val="00597239"/>
    <w:rsid w:val="005972AA"/>
    <w:rsid w:val="00597868"/>
    <w:rsid w:val="005A01D1"/>
    <w:rsid w:val="005A15FD"/>
    <w:rsid w:val="005A2557"/>
    <w:rsid w:val="005A2E63"/>
    <w:rsid w:val="005A38C5"/>
    <w:rsid w:val="005B2204"/>
    <w:rsid w:val="005B3DFA"/>
    <w:rsid w:val="005B44DC"/>
    <w:rsid w:val="005B5499"/>
    <w:rsid w:val="005B5B05"/>
    <w:rsid w:val="005B667F"/>
    <w:rsid w:val="005B730A"/>
    <w:rsid w:val="005B7330"/>
    <w:rsid w:val="005C0E15"/>
    <w:rsid w:val="005C28E0"/>
    <w:rsid w:val="005C3B2F"/>
    <w:rsid w:val="005C550B"/>
    <w:rsid w:val="005C5E81"/>
    <w:rsid w:val="005C613A"/>
    <w:rsid w:val="005C63D9"/>
    <w:rsid w:val="005C6CCF"/>
    <w:rsid w:val="005C7AE9"/>
    <w:rsid w:val="005D0986"/>
    <w:rsid w:val="005D0A07"/>
    <w:rsid w:val="005D0E13"/>
    <w:rsid w:val="005D0FAD"/>
    <w:rsid w:val="005D5F7A"/>
    <w:rsid w:val="005D6754"/>
    <w:rsid w:val="005D749F"/>
    <w:rsid w:val="005D779F"/>
    <w:rsid w:val="005E0393"/>
    <w:rsid w:val="005E0B14"/>
    <w:rsid w:val="005E275D"/>
    <w:rsid w:val="005E47AD"/>
    <w:rsid w:val="005E4A36"/>
    <w:rsid w:val="005E7E53"/>
    <w:rsid w:val="005F1C19"/>
    <w:rsid w:val="005F1D93"/>
    <w:rsid w:val="005F23E8"/>
    <w:rsid w:val="005F3248"/>
    <w:rsid w:val="005F3251"/>
    <w:rsid w:val="005F46C6"/>
    <w:rsid w:val="005F6062"/>
    <w:rsid w:val="005F6C73"/>
    <w:rsid w:val="005F7A3C"/>
    <w:rsid w:val="005F7D9E"/>
    <w:rsid w:val="005F7E76"/>
    <w:rsid w:val="005F7ED6"/>
    <w:rsid w:val="0060095A"/>
    <w:rsid w:val="00601C0B"/>
    <w:rsid w:val="0060324D"/>
    <w:rsid w:val="0060527C"/>
    <w:rsid w:val="006056F5"/>
    <w:rsid w:val="006060CC"/>
    <w:rsid w:val="00610F6B"/>
    <w:rsid w:val="00612755"/>
    <w:rsid w:val="006146E9"/>
    <w:rsid w:val="00617021"/>
    <w:rsid w:val="00617B26"/>
    <w:rsid w:val="006206B9"/>
    <w:rsid w:val="006221B0"/>
    <w:rsid w:val="006227BF"/>
    <w:rsid w:val="0062320C"/>
    <w:rsid w:val="00623E46"/>
    <w:rsid w:val="00625719"/>
    <w:rsid w:val="006257D2"/>
    <w:rsid w:val="006265FA"/>
    <w:rsid w:val="00626BB5"/>
    <w:rsid w:val="00627800"/>
    <w:rsid w:val="0063213D"/>
    <w:rsid w:val="0063343A"/>
    <w:rsid w:val="00633890"/>
    <w:rsid w:val="00634205"/>
    <w:rsid w:val="006402C1"/>
    <w:rsid w:val="00641C9F"/>
    <w:rsid w:val="0064257C"/>
    <w:rsid w:val="00642688"/>
    <w:rsid w:val="00642B2A"/>
    <w:rsid w:val="00646574"/>
    <w:rsid w:val="006478CF"/>
    <w:rsid w:val="00647931"/>
    <w:rsid w:val="00647B5A"/>
    <w:rsid w:val="00647BD3"/>
    <w:rsid w:val="00647DE7"/>
    <w:rsid w:val="006523D0"/>
    <w:rsid w:val="006527A1"/>
    <w:rsid w:val="006534AE"/>
    <w:rsid w:val="00654C3C"/>
    <w:rsid w:val="006601CE"/>
    <w:rsid w:val="00660E97"/>
    <w:rsid w:val="0066110B"/>
    <w:rsid w:val="00661CBA"/>
    <w:rsid w:val="006624BF"/>
    <w:rsid w:val="00662668"/>
    <w:rsid w:val="0066523C"/>
    <w:rsid w:val="0066558E"/>
    <w:rsid w:val="00665688"/>
    <w:rsid w:val="00666817"/>
    <w:rsid w:val="006672C7"/>
    <w:rsid w:val="00667346"/>
    <w:rsid w:val="006673A5"/>
    <w:rsid w:val="00667BE9"/>
    <w:rsid w:val="0067043E"/>
    <w:rsid w:val="00671986"/>
    <w:rsid w:val="00673851"/>
    <w:rsid w:val="00674EA1"/>
    <w:rsid w:val="006757AC"/>
    <w:rsid w:val="00675B18"/>
    <w:rsid w:val="00676FFD"/>
    <w:rsid w:val="00677019"/>
    <w:rsid w:val="00677C05"/>
    <w:rsid w:val="00686394"/>
    <w:rsid w:val="00690071"/>
    <w:rsid w:val="006928DB"/>
    <w:rsid w:val="0069373A"/>
    <w:rsid w:val="006942AB"/>
    <w:rsid w:val="00695F6B"/>
    <w:rsid w:val="006974CE"/>
    <w:rsid w:val="006A1543"/>
    <w:rsid w:val="006A2506"/>
    <w:rsid w:val="006A5EE2"/>
    <w:rsid w:val="006A65A5"/>
    <w:rsid w:val="006A6DAF"/>
    <w:rsid w:val="006A770F"/>
    <w:rsid w:val="006A7D65"/>
    <w:rsid w:val="006B06DB"/>
    <w:rsid w:val="006B08E8"/>
    <w:rsid w:val="006B226E"/>
    <w:rsid w:val="006B2B89"/>
    <w:rsid w:val="006B3685"/>
    <w:rsid w:val="006B3B41"/>
    <w:rsid w:val="006B4F85"/>
    <w:rsid w:val="006B50F6"/>
    <w:rsid w:val="006B5764"/>
    <w:rsid w:val="006B5890"/>
    <w:rsid w:val="006B6811"/>
    <w:rsid w:val="006C08BC"/>
    <w:rsid w:val="006C3062"/>
    <w:rsid w:val="006C3B13"/>
    <w:rsid w:val="006C565F"/>
    <w:rsid w:val="006C608A"/>
    <w:rsid w:val="006C66A5"/>
    <w:rsid w:val="006C6814"/>
    <w:rsid w:val="006C7B0D"/>
    <w:rsid w:val="006D153F"/>
    <w:rsid w:val="006D1BD5"/>
    <w:rsid w:val="006D220E"/>
    <w:rsid w:val="006D240F"/>
    <w:rsid w:val="006D3844"/>
    <w:rsid w:val="006D55A1"/>
    <w:rsid w:val="006D686C"/>
    <w:rsid w:val="006D7750"/>
    <w:rsid w:val="006D7A6B"/>
    <w:rsid w:val="006D7E49"/>
    <w:rsid w:val="006E0056"/>
    <w:rsid w:val="006E0145"/>
    <w:rsid w:val="006E0702"/>
    <w:rsid w:val="006E1E20"/>
    <w:rsid w:val="006E2183"/>
    <w:rsid w:val="006E23B6"/>
    <w:rsid w:val="006E290D"/>
    <w:rsid w:val="006E322A"/>
    <w:rsid w:val="006E32A4"/>
    <w:rsid w:val="006E3347"/>
    <w:rsid w:val="006E3FB1"/>
    <w:rsid w:val="006E40DC"/>
    <w:rsid w:val="006E41CC"/>
    <w:rsid w:val="006E460B"/>
    <w:rsid w:val="006E50AE"/>
    <w:rsid w:val="006E6A69"/>
    <w:rsid w:val="006F1D14"/>
    <w:rsid w:val="006F25DF"/>
    <w:rsid w:val="006F2CC9"/>
    <w:rsid w:val="006F302B"/>
    <w:rsid w:val="006F3C34"/>
    <w:rsid w:val="006F504D"/>
    <w:rsid w:val="006F51C3"/>
    <w:rsid w:val="006F7933"/>
    <w:rsid w:val="00702614"/>
    <w:rsid w:val="00702983"/>
    <w:rsid w:val="0070456F"/>
    <w:rsid w:val="00704ADF"/>
    <w:rsid w:val="00705E03"/>
    <w:rsid w:val="0070740F"/>
    <w:rsid w:val="00707BD9"/>
    <w:rsid w:val="00710F52"/>
    <w:rsid w:val="00711C3D"/>
    <w:rsid w:val="00712540"/>
    <w:rsid w:val="007163C9"/>
    <w:rsid w:val="00716EE7"/>
    <w:rsid w:val="00716EE8"/>
    <w:rsid w:val="00717A09"/>
    <w:rsid w:val="007203EB"/>
    <w:rsid w:val="00720C32"/>
    <w:rsid w:val="00721678"/>
    <w:rsid w:val="007228D9"/>
    <w:rsid w:val="007232C2"/>
    <w:rsid w:val="00724115"/>
    <w:rsid w:val="00724A4B"/>
    <w:rsid w:val="00725798"/>
    <w:rsid w:val="0072769B"/>
    <w:rsid w:val="007326CD"/>
    <w:rsid w:val="00733210"/>
    <w:rsid w:val="00736689"/>
    <w:rsid w:val="00737357"/>
    <w:rsid w:val="007416FA"/>
    <w:rsid w:val="00743645"/>
    <w:rsid w:val="00744D86"/>
    <w:rsid w:val="00745140"/>
    <w:rsid w:val="00745F4B"/>
    <w:rsid w:val="007478BF"/>
    <w:rsid w:val="0074792B"/>
    <w:rsid w:val="00747AA2"/>
    <w:rsid w:val="00747E5F"/>
    <w:rsid w:val="007502DB"/>
    <w:rsid w:val="00750917"/>
    <w:rsid w:val="00750C59"/>
    <w:rsid w:val="00750DBA"/>
    <w:rsid w:val="00751FF9"/>
    <w:rsid w:val="0075217C"/>
    <w:rsid w:val="007527BB"/>
    <w:rsid w:val="007529F5"/>
    <w:rsid w:val="0075385C"/>
    <w:rsid w:val="00753D65"/>
    <w:rsid w:val="00753DD9"/>
    <w:rsid w:val="00754D80"/>
    <w:rsid w:val="00755134"/>
    <w:rsid w:val="00755BEE"/>
    <w:rsid w:val="00755DAB"/>
    <w:rsid w:val="00756F3C"/>
    <w:rsid w:val="00756F44"/>
    <w:rsid w:val="00757FBE"/>
    <w:rsid w:val="00760827"/>
    <w:rsid w:val="00760845"/>
    <w:rsid w:val="0076088E"/>
    <w:rsid w:val="00760B36"/>
    <w:rsid w:val="00762425"/>
    <w:rsid w:val="00762E09"/>
    <w:rsid w:val="00763DD3"/>
    <w:rsid w:val="00763F45"/>
    <w:rsid w:val="007659CE"/>
    <w:rsid w:val="0077029D"/>
    <w:rsid w:val="00770CA0"/>
    <w:rsid w:val="00771749"/>
    <w:rsid w:val="00775852"/>
    <w:rsid w:val="00775F9E"/>
    <w:rsid w:val="007760FF"/>
    <w:rsid w:val="00777236"/>
    <w:rsid w:val="007806C5"/>
    <w:rsid w:val="0078268F"/>
    <w:rsid w:val="0078477F"/>
    <w:rsid w:val="0078675D"/>
    <w:rsid w:val="007875F1"/>
    <w:rsid w:val="00787667"/>
    <w:rsid w:val="00791B32"/>
    <w:rsid w:val="0079211F"/>
    <w:rsid w:val="00792B0E"/>
    <w:rsid w:val="00793D47"/>
    <w:rsid w:val="00793DF2"/>
    <w:rsid w:val="00793E43"/>
    <w:rsid w:val="0079423F"/>
    <w:rsid w:val="00794A04"/>
    <w:rsid w:val="0079514A"/>
    <w:rsid w:val="00795E78"/>
    <w:rsid w:val="007A04DA"/>
    <w:rsid w:val="007A13C2"/>
    <w:rsid w:val="007A142E"/>
    <w:rsid w:val="007A385C"/>
    <w:rsid w:val="007A68DF"/>
    <w:rsid w:val="007A71EA"/>
    <w:rsid w:val="007A7693"/>
    <w:rsid w:val="007A7FFC"/>
    <w:rsid w:val="007B03E8"/>
    <w:rsid w:val="007B1A25"/>
    <w:rsid w:val="007B2A17"/>
    <w:rsid w:val="007B2DD4"/>
    <w:rsid w:val="007B403A"/>
    <w:rsid w:val="007B50D0"/>
    <w:rsid w:val="007B6490"/>
    <w:rsid w:val="007C31FA"/>
    <w:rsid w:val="007C5A65"/>
    <w:rsid w:val="007C5F69"/>
    <w:rsid w:val="007C60B2"/>
    <w:rsid w:val="007C6A52"/>
    <w:rsid w:val="007C75DC"/>
    <w:rsid w:val="007D318A"/>
    <w:rsid w:val="007D4012"/>
    <w:rsid w:val="007D486B"/>
    <w:rsid w:val="007D6307"/>
    <w:rsid w:val="007E11C3"/>
    <w:rsid w:val="007E12E1"/>
    <w:rsid w:val="007E3005"/>
    <w:rsid w:val="007E5F23"/>
    <w:rsid w:val="007F0759"/>
    <w:rsid w:val="007F088A"/>
    <w:rsid w:val="007F12F1"/>
    <w:rsid w:val="007F1FBB"/>
    <w:rsid w:val="007F31CA"/>
    <w:rsid w:val="007F3988"/>
    <w:rsid w:val="007F5C54"/>
    <w:rsid w:val="007F605A"/>
    <w:rsid w:val="007F755C"/>
    <w:rsid w:val="008016A4"/>
    <w:rsid w:val="0080218B"/>
    <w:rsid w:val="00802F7A"/>
    <w:rsid w:val="008050B4"/>
    <w:rsid w:val="008051D0"/>
    <w:rsid w:val="00805424"/>
    <w:rsid w:val="00805657"/>
    <w:rsid w:val="00805A2A"/>
    <w:rsid w:val="00805E9A"/>
    <w:rsid w:val="00810791"/>
    <w:rsid w:val="00811B1B"/>
    <w:rsid w:val="00812CA5"/>
    <w:rsid w:val="00812ED4"/>
    <w:rsid w:val="00815241"/>
    <w:rsid w:val="0081566B"/>
    <w:rsid w:val="00816E30"/>
    <w:rsid w:val="00820283"/>
    <w:rsid w:val="00820E0F"/>
    <w:rsid w:val="00820FA7"/>
    <w:rsid w:val="00821023"/>
    <w:rsid w:val="00821B72"/>
    <w:rsid w:val="00822780"/>
    <w:rsid w:val="008234B5"/>
    <w:rsid w:val="00823BCD"/>
    <w:rsid w:val="00823BE3"/>
    <w:rsid w:val="008258BC"/>
    <w:rsid w:val="00825FB3"/>
    <w:rsid w:val="008263D8"/>
    <w:rsid w:val="00830129"/>
    <w:rsid w:val="008320EE"/>
    <w:rsid w:val="008321AE"/>
    <w:rsid w:val="00833418"/>
    <w:rsid w:val="00833F5B"/>
    <w:rsid w:val="00837191"/>
    <w:rsid w:val="00837F30"/>
    <w:rsid w:val="00840949"/>
    <w:rsid w:val="0084156C"/>
    <w:rsid w:val="0084247A"/>
    <w:rsid w:val="008448BC"/>
    <w:rsid w:val="00845C6F"/>
    <w:rsid w:val="00847E62"/>
    <w:rsid w:val="008500CA"/>
    <w:rsid w:val="00852197"/>
    <w:rsid w:val="008521EE"/>
    <w:rsid w:val="008535AB"/>
    <w:rsid w:val="00853DF2"/>
    <w:rsid w:val="00854D3E"/>
    <w:rsid w:val="008554B5"/>
    <w:rsid w:val="00856FF5"/>
    <w:rsid w:val="00862212"/>
    <w:rsid w:val="0086353C"/>
    <w:rsid w:val="008643E9"/>
    <w:rsid w:val="0086471D"/>
    <w:rsid w:val="0086567A"/>
    <w:rsid w:val="00865929"/>
    <w:rsid w:val="0087078F"/>
    <w:rsid w:val="008709B6"/>
    <w:rsid w:val="00870E78"/>
    <w:rsid w:val="008734CB"/>
    <w:rsid w:val="0087371D"/>
    <w:rsid w:val="00874D65"/>
    <w:rsid w:val="00875030"/>
    <w:rsid w:val="0087708E"/>
    <w:rsid w:val="00877DBA"/>
    <w:rsid w:val="00881C09"/>
    <w:rsid w:val="00881FE0"/>
    <w:rsid w:val="008841A9"/>
    <w:rsid w:val="00884E89"/>
    <w:rsid w:val="008856B7"/>
    <w:rsid w:val="00885C01"/>
    <w:rsid w:val="00886D6B"/>
    <w:rsid w:val="00890CE2"/>
    <w:rsid w:val="008917ED"/>
    <w:rsid w:val="00893884"/>
    <w:rsid w:val="00893CC0"/>
    <w:rsid w:val="00894AA8"/>
    <w:rsid w:val="008952FB"/>
    <w:rsid w:val="008958FE"/>
    <w:rsid w:val="00895CA9"/>
    <w:rsid w:val="00897975"/>
    <w:rsid w:val="00897ED5"/>
    <w:rsid w:val="008A04EC"/>
    <w:rsid w:val="008A2B57"/>
    <w:rsid w:val="008A4CB4"/>
    <w:rsid w:val="008A6295"/>
    <w:rsid w:val="008A64A5"/>
    <w:rsid w:val="008B10EB"/>
    <w:rsid w:val="008B1421"/>
    <w:rsid w:val="008B21E8"/>
    <w:rsid w:val="008B2C1A"/>
    <w:rsid w:val="008B4209"/>
    <w:rsid w:val="008B44EB"/>
    <w:rsid w:val="008B47EF"/>
    <w:rsid w:val="008B5383"/>
    <w:rsid w:val="008B71A0"/>
    <w:rsid w:val="008B77F5"/>
    <w:rsid w:val="008C003D"/>
    <w:rsid w:val="008C032D"/>
    <w:rsid w:val="008C0A4B"/>
    <w:rsid w:val="008C2929"/>
    <w:rsid w:val="008C2E0E"/>
    <w:rsid w:val="008C4255"/>
    <w:rsid w:val="008D0C55"/>
    <w:rsid w:val="008D1FDD"/>
    <w:rsid w:val="008D224D"/>
    <w:rsid w:val="008D3CAE"/>
    <w:rsid w:val="008D421F"/>
    <w:rsid w:val="008D5041"/>
    <w:rsid w:val="008D6073"/>
    <w:rsid w:val="008D6D42"/>
    <w:rsid w:val="008E0547"/>
    <w:rsid w:val="008E0DEA"/>
    <w:rsid w:val="008E10DD"/>
    <w:rsid w:val="008E2342"/>
    <w:rsid w:val="008E2BDD"/>
    <w:rsid w:val="008E5607"/>
    <w:rsid w:val="008E5A5C"/>
    <w:rsid w:val="008E6A28"/>
    <w:rsid w:val="008E6FBF"/>
    <w:rsid w:val="008F04D2"/>
    <w:rsid w:val="008F07AA"/>
    <w:rsid w:val="008F124D"/>
    <w:rsid w:val="008F1561"/>
    <w:rsid w:val="008F265F"/>
    <w:rsid w:val="008F2D16"/>
    <w:rsid w:val="008F2DBF"/>
    <w:rsid w:val="008F309C"/>
    <w:rsid w:val="008F38F9"/>
    <w:rsid w:val="008F593E"/>
    <w:rsid w:val="008F724E"/>
    <w:rsid w:val="009012CC"/>
    <w:rsid w:val="00904C47"/>
    <w:rsid w:val="00905464"/>
    <w:rsid w:val="00906C21"/>
    <w:rsid w:val="00911995"/>
    <w:rsid w:val="00912914"/>
    <w:rsid w:val="009137EF"/>
    <w:rsid w:val="00913C46"/>
    <w:rsid w:val="00913CF7"/>
    <w:rsid w:val="0091464C"/>
    <w:rsid w:val="009157EE"/>
    <w:rsid w:val="009169E5"/>
    <w:rsid w:val="00917812"/>
    <w:rsid w:val="009178E9"/>
    <w:rsid w:val="009202DA"/>
    <w:rsid w:val="0092068C"/>
    <w:rsid w:val="00920955"/>
    <w:rsid w:val="00922124"/>
    <w:rsid w:val="009241FF"/>
    <w:rsid w:val="00925411"/>
    <w:rsid w:val="00925BE3"/>
    <w:rsid w:val="00926154"/>
    <w:rsid w:val="0092640E"/>
    <w:rsid w:val="00926E69"/>
    <w:rsid w:val="00927BD3"/>
    <w:rsid w:val="009317DE"/>
    <w:rsid w:val="00931A6A"/>
    <w:rsid w:val="00934572"/>
    <w:rsid w:val="00934A9C"/>
    <w:rsid w:val="00935602"/>
    <w:rsid w:val="009359F5"/>
    <w:rsid w:val="009402DB"/>
    <w:rsid w:val="00942396"/>
    <w:rsid w:val="00942B64"/>
    <w:rsid w:val="0094558E"/>
    <w:rsid w:val="009466D4"/>
    <w:rsid w:val="00946941"/>
    <w:rsid w:val="00950A97"/>
    <w:rsid w:val="00950ADD"/>
    <w:rsid w:val="00950F68"/>
    <w:rsid w:val="0095450A"/>
    <w:rsid w:val="00954542"/>
    <w:rsid w:val="009545AA"/>
    <w:rsid w:val="00955F0C"/>
    <w:rsid w:val="00956CCE"/>
    <w:rsid w:val="0095762C"/>
    <w:rsid w:val="0096020B"/>
    <w:rsid w:val="00965517"/>
    <w:rsid w:val="009701B5"/>
    <w:rsid w:val="009707EB"/>
    <w:rsid w:val="00971C1B"/>
    <w:rsid w:val="00973573"/>
    <w:rsid w:val="00973B00"/>
    <w:rsid w:val="009743E2"/>
    <w:rsid w:val="009756F7"/>
    <w:rsid w:val="00975DEF"/>
    <w:rsid w:val="0097644F"/>
    <w:rsid w:val="00976B62"/>
    <w:rsid w:val="00976FBF"/>
    <w:rsid w:val="00980056"/>
    <w:rsid w:val="00981514"/>
    <w:rsid w:val="00982EB5"/>
    <w:rsid w:val="00986FBC"/>
    <w:rsid w:val="009873CE"/>
    <w:rsid w:val="00990267"/>
    <w:rsid w:val="00991690"/>
    <w:rsid w:val="0099176C"/>
    <w:rsid w:val="00993085"/>
    <w:rsid w:val="00994A5E"/>
    <w:rsid w:val="00995D93"/>
    <w:rsid w:val="00995E6C"/>
    <w:rsid w:val="00996037"/>
    <w:rsid w:val="00996063"/>
    <w:rsid w:val="0099638C"/>
    <w:rsid w:val="00996866"/>
    <w:rsid w:val="009A0A08"/>
    <w:rsid w:val="009A0B50"/>
    <w:rsid w:val="009A1EBB"/>
    <w:rsid w:val="009A2498"/>
    <w:rsid w:val="009A2F72"/>
    <w:rsid w:val="009A3091"/>
    <w:rsid w:val="009A37AF"/>
    <w:rsid w:val="009A682F"/>
    <w:rsid w:val="009A7D6B"/>
    <w:rsid w:val="009B0AC3"/>
    <w:rsid w:val="009B194B"/>
    <w:rsid w:val="009B468A"/>
    <w:rsid w:val="009C0C9C"/>
    <w:rsid w:val="009C0EB7"/>
    <w:rsid w:val="009C14FA"/>
    <w:rsid w:val="009C2297"/>
    <w:rsid w:val="009C3638"/>
    <w:rsid w:val="009C3649"/>
    <w:rsid w:val="009C447F"/>
    <w:rsid w:val="009C452F"/>
    <w:rsid w:val="009C4EAF"/>
    <w:rsid w:val="009C61E6"/>
    <w:rsid w:val="009C778E"/>
    <w:rsid w:val="009D03FA"/>
    <w:rsid w:val="009D229A"/>
    <w:rsid w:val="009D2CC0"/>
    <w:rsid w:val="009D456E"/>
    <w:rsid w:val="009D4B1A"/>
    <w:rsid w:val="009D4C9C"/>
    <w:rsid w:val="009D4D8E"/>
    <w:rsid w:val="009D6AC1"/>
    <w:rsid w:val="009D7484"/>
    <w:rsid w:val="009D7BF9"/>
    <w:rsid w:val="009E004B"/>
    <w:rsid w:val="009E0ADA"/>
    <w:rsid w:val="009E0F9D"/>
    <w:rsid w:val="009E1314"/>
    <w:rsid w:val="009E1D67"/>
    <w:rsid w:val="009E242C"/>
    <w:rsid w:val="009E3015"/>
    <w:rsid w:val="009E3F54"/>
    <w:rsid w:val="009E406E"/>
    <w:rsid w:val="009E5DDA"/>
    <w:rsid w:val="009E6B25"/>
    <w:rsid w:val="009E7017"/>
    <w:rsid w:val="009E72B1"/>
    <w:rsid w:val="009E771A"/>
    <w:rsid w:val="009F01B5"/>
    <w:rsid w:val="009F05C3"/>
    <w:rsid w:val="009F17A9"/>
    <w:rsid w:val="009F3474"/>
    <w:rsid w:val="009F4BA2"/>
    <w:rsid w:val="009F6447"/>
    <w:rsid w:val="009F7608"/>
    <w:rsid w:val="009F77E4"/>
    <w:rsid w:val="009F7A95"/>
    <w:rsid w:val="00A00998"/>
    <w:rsid w:val="00A02A93"/>
    <w:rsid w:val="00A0375B"/>
    <w:rsid w:val="00A06189"/>
    <w:rsid w:val="00A106E3"/>
    <w:rsid w:val="00A12570"/>
    <w:rsid w:val="00A1301D"/>
    <w:rsid w:val="00A1330F"/>
    <w:rsid w:val="00A13982"/>
    <w:rsid w:val="00A14C29"/>
    <w:rsid w:val="00A15805"/>
    <w:rsid w:val="00A15BF3"/>
    <w:rsid w:val="00A160C3"/>
    <w:rsid w:val="00A17896"/>
    <w:rsid w:val="00A21288"/>
    <w:rsid w:val="00A22CC6"/>
    <w:rsid w:val="00A22DFE"/>
    <w:rsid w:val="00A247F3"/>
    <w:rsid w:val="00A26DED"/>
    <w:rsid w:val="00A27402"/>
    <w:rsid w:val="00A302E3"/>
    <w:rsid w:val="00A32743"/>
    <w:rsid w:val="00A335FF"/>
    <w:rsid w:val="00A348CC"/>
    <w:rsid w:val="00A349CD"/>
    <w:rsid w:val="00A36046"/>
    <w:rsid w:val="00A40C86"/>
    <w:rsid w:val="00A41949"/>
    <w:rsid w:val="00A42F67"/>
    <w:rsid w:val="00A4497E"/>
    <w:rsid w:val="00A44ACC"/>
    <w:rsid w:val="00A478E0"/>
    <w:rsid w:val="00A503A4"/>
    <w:rsid w:val="00A50A0F"/>
    <w:rsid w:val="00A53BC5"/>
    <w:rsid w:val="00A55C67"/>
    <w:rsid w:val="00A57741"/>
    <w:rsid w:val="00A57B6D"/>
    <w:rsid w:val="00A6247A"/>
    <w:rsid w:val="00A63D5A"/>
    <w:rsid w:val="00A64A7B"/>
    <w:rsid w:val="00A65D5F"/>
    <w:rsid w:val="00A677FC"/>
    <w:rsid w:val="00A7299E"/>
    <w:rsid w:val="00A76431"/>
    <w:rsid w:val="00A76DD6"/>
    <w:rsid w:val="00A76FA1"/>
    <w:rsid w:val="00A77DD4"/>
    <w:rsid w:val="00A80359"/>
    <w:rsid w:val="00A81AAD"/>
    <w:rsid w:val="00A83C3A"/>
    <w:rsid w:val="00A84211"/>
    <w:rsid w:val="00A8422A"/>
    <w:rsid w:val="00A86C6B"/>
    <w:rsid w:val="00A87671"/>
    <w:rsid w:val="00A94D6A"/>
    <w:rsid w:val="00A96022"/>
    <w:rsid w:val="00A975F0"/>
    <w:rsid w:val="00AA04B5"/>
    <w:rsid w:val="00AA0C68"/>
    <w:rsid w:val="00AA1B43"/>
    <w:rsid w:val="00AA22E9"/>
    <w:rsid w:val="00AA31C3"/>
    <w:rsid w:val="00AA368A"/>
    <w:rsid w:val="00AA4796"/>
    <w:rsid w:val="00AB068A"/>
    <w:rsid w:val="00AB095C"/>
    <w:rsid w:val="00AB256E"/>
    <w:rsid w:val="00AB4853"/>
    <w:rsid w:val="00AB4B0B"/>
    <w:rsid w:val="00AB57EF"/>
    <w:rsid w:val="00AC10C4"/>
    <w:rsid w:val="00AC2215"/>
    <w:rsid w:val="00AC3615"/>
    <w:rsid w:val="00AC4D00"/>
    <w:rsid w:val="00AC5651"/>
    <w:rsid w:val="00AD0002"/>
    <w:rsid w:val="00AD3F0F"/>
    <w:rsid w:val="00AD4AA9"/>
    <w:rsid w:val="00AD519D"/>
    <w:rsid w:val="00AD656F"/>
    <w:rsid w:val="00AD66FE"/>
    <w:rsid w:val="00AD6736"/>
    <w:rsid w:val="00AD6ABC"/>
    <w:rsid w:val="00AD7899"/>
    <w:rsid w:val="00AE11C5"/>
    <w:rsid w:val="00AE17D7"/>
    <w:rsid w:val="00AE18B4"/>
    <w:rsid w:val="00AE30F1"/>
    <w:rsid w:val="00AE3AF4"/>
    <w:rsid w:val="00AE4B43"/>
    <w:rsid w:val="00AF09FB"/>
    <w:rsid w:val="00AF0BA8"/>
    <w:rsid w:val="00AF1257"/>
    <w:rsid w:val="00AF2627"/>
    <w:rsid w:val="00AF2CC9"/>
    <w:rsid w:val="00AF361B"/>
    <w:rsid w:val="00AF3AE5"/>
    <w:rsid w:val="00AF5538"/>
    <w:rsid w:val="00AF661E"/>
    <w:rsid w:val="00AF6C56"/>
    <w:rsid w:val="00AF7221"/>
    <w:rsid w:val="00AF7A76"/>
    <w:rsid w:val="00B003A5"/>
    <w:rsid w:val="00B00787"/>
    <w:rsid w:val="00B007AD"/>
    <w:rsid w:val="00B02B2F"/>
    <w:rsid w:val="00B03D62"/>
    <w:rsid w:val="00B0480E"/>
    <w:rsid w:val="00B05374"/>
    <w:rsid w:val="00B055EB"/>
    <w:rsid w:val="00B0623F"/>
    <w:rsid w:val="00B06436"/>
    <w:rsid w:val="00B067F2"/>
    <w:rsid w:val="00B078E9"/>
    <w:rsid w:val="00B1130C"/>
    <w:rsid w:val="00B114FA"/>
    <w:rsid w:val="00B13970"/>
    <w:rsid w:val="00B142A4"/>
    <w:rsid w:val="00B167F1"/>
    <w:rsid w:val="00B16F62"/>
    <w:rsid w:val="00B2103B"/>
    <w:rsid w:val="00B26983"/>
    <w:rsid w:val="00B26ECC"/>
    <w:rsid w:val="00B26EFF"/>
    <w:rsid w:val="00B27C8F"/>
    <w:rsid w:val="00B309D8"/>
    <w:rsid w:val="00B30AA2"/>
    <w:rsid w:val="00B30B72"/>
    <w:rsid w:val="00B30FDB"/>
    <w:rsid w:val="00B3110A"/>
    <w:rsid w:val="00B32884"/>
    <w:rsid w:val="00B330C6"/>
    <w:rsid w:val="00B34644"/>
    <w:rsid w:val="00B34904"/>
    <w:rsid w:val="00B3510A"/>
    <w:rsid w:val="00B359C7"/>
    <w:rsid w:val="00B35B25"/>
    <w:rsid w:val="00B35CCB"/>
    <w:rsid w:val="00B35EEE"/>
    <w:rsid w:val="00B374A3"/>
    <w:rsid w:val="00B419F9"/>
    <w:rsid w:val="00B433E0"/>
    <w:rsid w:val="00B438AF"/>
    <w:rsid w:val="00B44C09"/>
    <w:rsid w:val="00B44D71"/>
    <w:rsid w:val="00B45D73"/>
    <w:rsid w:val="00B45E19"/>
    <w:rsid w:val="00B45EA6"/>
    <w:rsid w:val="00B4721B"/>
    <w:rsid w:val="00B47AB7"/>
    <w:rsid w:val="00B47FDA"/>
    <w:rsid w:val="00B500CE"/>
    <w:rsid w:val="00B51048"/>
    <w:rsid w:val="00B51A4B"/>
    <w:rsid w:val="00B522E1"/>
    <w:rsid w:val="00B5359C"/>
    <w:rsid w:val="00B53AD9"/>
    <w:rsid w:val="00B5430D"/>
    <w:rsid w:val="00B55014"/>
    <w:rsid w:val="00B5539D"/>
    <w:rsid w:val="00B6112E"/>
    <w:rsid w:val="00B61291"/>
    <w:rsid w:val="00B620BF"/>
    <w:rsid w:val="00B62AC6"/>
    <w:rsid w:val="00B64D7F"/>
    <w:rsid w:val="00B66701"/>
    <w:rsid w:val="00B70C92"/>
    <w:rsid w:val="00B7168F"/>
    <w:rsid w:val="00B71A27"/>
    <w:rsid w:val="00B7246D"/>
    <w:rsid w:val="00B738DB"/>
    <w:rsid w:val="00B7476D"/>
    <w:rsid w:val="00B74C7C"/>
    <w:rsid w:val="00B77808"/>
    <w:rsid w:val="00B81339"/>
    <w:rsid w:val="00B81D24"/>
    <w:rsid w:val="00B82D0A"/>
    <w:rsid w:val="00B83682"/>
    <w:rsid w:val="00B84D9A"/>
    <w:rsid w:val="00B856FA"/>
    <w:rsid w:val="00B85EE8"/>
    <w:rsid w:val="00B90C31"/>
    <w:rsid w:val="00B91391"/>
    <w:rsid w:val="00B9433D"/>
    <w:rsid w:val="00B9497C"/>
    <w:rsid w:val="00B94C6D"/>
    <w:rsid w:val="00B958F5"/>
    <w:rsid w:val="00B97638"/>
    <w:rsid w:val="00B97D54"/>
    <w:rsid w:val="00BA41CB"/>
    <w:rsid w:val="00BA42C3"/>
    <w:rsid w:val="00BA45C5"/>
    <w:rsid w:val="00BA702B"/>
    <w:rsid w:val="00BA7E00"/>
    <w:rsid w:val="00BB180C"/>
    <w:rsid w:val="00BB21F0"/>
    <w:rsid w:val="00BB2368"/>
    <w:rsid w:val="00BB25AC"/>
    <w:rsid w:val="00BB2FEA"/>
    <w:rsid w:val="00BB3EE0"/>
    <w:rsid w:val="00BB495F"/>
    <w:rsid w:val="00BC0573"/>
    <w:rsid w:val="00BC140F"/>
    <w:rsid w:val="00BC2E5B"/>
    <w:rsid w:val="00BC32C9"/>
    <w:rsid w:val="00BC3DCA"/>
    <w:rsid w:val="00BC464F"/>
    <w:rsid w:val="00BC4FCF"/>
    <w:rsid w:val="00BC6B49"/>
    <w:rsid w:val="00BC6B4C"/>
    <w:rsid w:val="00BC7EE4"/>
    <w:rsid w:val="00BD0257"/>
    <w:rsid w:val="00BD1544"/>
    <w:rsid w:val="00BD1739"/>
    <w:rsid w:val="00BD1981"/>
    <w:rsid w:val="00BD6A7E"/>
    <w:rsid w:val="00BD6B28"/>
    <w:rsid w:val="00BD7D42"/>
    <w:rsid w:val="00BE025B"/>
    <w:rsid w:val="00BE28DE"/>
    <w:rsid w:val="00BE372D"/>
    <w:rsid w:val="00BE3A38"/>
    <w:rsid w:val="00BE61C6"/>
    <w:rsid w:val="00BF00B1"/>
    <w:rsid w:val="00BF0E1B"/>
    <w:rsid w:val="00BF1B05"/>
    <w:rsid w:val="00BF3A1D"/>
    <w:rsid w:val="00BF3D4C"/>
    <w:rsid w:val="00BF56EE"/>
    <w:rsid w:val="00BF724A"/>
    <w:rsid w:val="00C007A7"/>
    <w:rsid w:val="00C00E9B"/>
    <w:rsid w:val="00C01941"/>
    <w:rsid w:val="00C02243"/>
    <w:rsid w:val="00C025D1"/>
    <w:rsid w:val="00C02DBA"/>
    <w:rsid w:val="00C02F9B"/>
    <w:rsid w:val="00C03021"/>
    <w:rsid w:val="00C038C6"/>
    <w:rsid w:val="00C03FF7"/>
    <w:rsid w:val="00C0574F"/>
    <w:rsid w:val="00C05E65"/>
    <w:rsid w:val="00C06EF1"/>
    <w:rsid w:val="00C1291C"/>
    <w:rsid w:val="00C20167"/>
    <w:rsid w:val="00C2180F"/>
    <w:rsid w:val="00C21EC6"/>
    <w:rsid w:val="00C228D4"/>
    <w:rsid w:val="00C2321D"/>
    <w:rsid w:val="00C23756"/>
    <w:rsid w:val="00C23909"/>
    <w:rsid w:val="00C23F91"/>
    <w:rsid w:val="00C2438E"/>
    <w:rsid w:val="00C250FE"/>
    <w:rsid w:val="00C26BA2"/>
    <w:rsid w:val="00C302D4"/>
    <w:rsid w:val="00C31315"/>
    <w:rsid w:val="00C32B29"/>
    <w:rsid w:val="00C343F8"/>
    <w:rsid w:val="00C34B09"/>
    <w:rsid w:val="00C35254"/>
    <w:rsid w:val="00C371EC"/>
    <w:rsid w:val="00C37A93"/>
    <w:rsid w:val="00C37C30"/>
    <w:rsid w:val="00C37D6A"/>
    <w:rsid w:val="00C40EA0"/>
    <w:rsid w:val="00C41A00"/>
    <w:rsid w:val="00C41BFF"/>
    <w:rsid w:val="00C42171"/>
    <w:rsid w:val="00C43F05"/>
    <w:rsid w:val="00C46408"/>
    <w:rsid w:val="00C474E5"/>
    <w:rsid w:val="00C50CB5"/>
    <w:rsid w:val="00C50DBC"/>
    <w:rsid w:val="00C51104"/>
    <w:rsid w:val="00C51198"/>
    <w:rsid w:val="00C5127E"/>
    <w:rsid w:val="00C51288"/>
    <w:rsid w:val="00C51F17"/>
    <w:rsid w:val="00C52766"/>
    <w:rsid w:val="00C52B86"/>
    <w:rsid w:val="00C52E8C"/>
    <w:rsid w:val="00C53614"/>
    <w:rsid w:val="00C536ED"/>
    <w:rsid w:val="00C53F45"/>
    <w:rsid w:val="00C54AF9"/>
    <w:rsid w:val="00C54D73"/>
    <w:rsid w:val="00C56C99"/>
    <w:rsid w:val="00C57203"/>
    <w:rsid w:val="00C63590"/>
    <w:rsid w:val="00C649A5"/>
    <w:rsid w:val="00C65707"/>
    <w:rsid w:val="00C66941"/>
    <w:rsid w:val="00C678C3"/>
    <w:rsid w:val="00C67A14"/>
    <w:rsid w:val="00C71611"/>
    <w:rsid w:val="00C72D42"/>
    <w:rsid w:val="00C72FD2"/>
    <w:rsid w:val="00C731C7"/>
    <w:rsid w:val="00C73CF3"/>
    <w:rsid w:val="00C76608"/>
    <w:rsid w:val="00C76EDE"/>
    <w:rsid w:val="00C77372"/>
    <w:rsid w:val="00C816ED"/>
    <w:rsid w:val="00C82F95"/>
    <w:rsid w:val="00C832D1"/>
    <w:rsid w:val="00C836FA"/>
    <w:rsid w:val="00C84C66"/>
    <w:rsid w:val="00C8781B"/>
    <w:rsid w:val="00C9092A"/>
    <w:rsid w:val="00C9126E"/>
    <w:rsid w:val="00C9150C"/>
    <w:rsid w:val="00C925EF"/>
    <w:rsid w:val="00C92961"/>
    <w:rsid w:val="00C96160"/>
    <w:rsid w:val="00C966DD"/>
    <w:rsid w:val="00C97456"/>
    <w:rsid w:val="00C975DB"/>
    <w:rsid w:val="00CA07F6"/>
    <w:rsid w:val="00CA3515"/>
    <w:rsid w:val="00CA4628"/>
    <w:rsid w:val="00CA4D90"/>
    <w:rsid w:val="00CA56FC"/>
    <w:rsid w:val="00CA598F"/>
    <w:rsid w:val="00CA69A3"/>
    <w:rsid w:val="00CA6E68"/>
    <w:rsid w:val="00CA7951"/>
    <w:rsid w:val="00CA7F92"/>
    <w:rsid w:val="00CB052A"/>
    <w:rsid w:val="00CB1261"/>
    <w:rsid w:val="00CB1B11"/>
    <w:rsid w:val="00CB2177"/>
    <w:rsid w:val="00CB5FB3"/>
    <w:rsid w:val="00CB6600"/>
    <w:rsid w:val="00CB7285"/>
    <w:rsid w:val="00CC3226"/>
    <w:rsid w:val="00CC4D80"/>
    <w:rsid w:val="00CC582B"/>
    <w:rsid w:val="00CC6EF8"/>
    <w:rsid w:val="00CC7AB4"/>
    <w:rsid w:val="00CD0629"/>
    <w:rsid w:val="00CD082C"/>
    <w:rsid w:val="00CD2370"/>
    <w:rsid w:val="00CD2ACD"/>
    <w:rsid w:val="00CD4702"/>
    <w:rsid w:val="00CD5821"/>
    <w:rsid w:val="00CE0A3F"/>
    <w:rsid w:val="00CE1530"/>
    <w:rsid w:val="00CE19F1"/>
    <w:rsid w:val="00CE1C0E"/>
    <w:rsid w:val="00CE23DE"/>
    <w:rsid w:val="00CE6F97"/>
    <w:rsid w:val="00CF2EAC"/>
    <w:rsid w:val="00CF38AC"/>
    <w:rsid w:val="00CF4A20"/>
    <w:rsid w:val="00CF63F3"/>
    <w:rsid w:val="00CF7268"/>
    <w:rsid w:val="00CF7C52"/>
    <w:rsid w:val="00D00333"/>
    <w:rsid w:val="00D0059A"/>
    <w:rsid w:val="00D00CF7"/>
    <w:rsid w:val="00D0125C"/>
    <w:rsid w:val="00D061C2"/>
    <w:rsid w:val="00D065AE"/>
    <w:rsid w:val="00D06B56"/>
    <w:rsid w:val="00D073E1"/>
    <w:rsid w:val="00D11F0A"/>
    <w:rsid w:val="00D11FD0"/>
    <w:rsid w:val="00D1334D"/>
    <w:rsid w:val="00D13803"/>
    <w:rsid w:val="00D14139"/>
    <w:rsid w:val="00D143B8"/>
    <w:rsid w:val="00D154CD"/>
    <w:rsid w:val="00D157E4"/>
    <w:rsid w:val="00D16111"/>
    <w:rsid w:val="00D168A4"/>
    <w:rsid w:val="00D17A71"/>
    <w:rsid w:val="00D23D8B"/>
    <w:rsid w:val="00D24351"/>
    <w:rsid w:val="00D27025"/>
    <w:rsid w:val="00D30ADD"/>
    <w:rsid w:val="00D36242"/>
    <w:rsid w:val="00D37F26"/>
    <w:rsid w:val="00D40760"/>
    <w:rsid w:val="00D418FA"/>
    <w:rsid w:val="00D42326"/>
    <w:rsid w:val="00D42D81"/>
    <w:rsid w:val="00D4588E"/>
    <w:rsid w:val="00D463F8"/>
    <w:rsid w:val="00D47883"/>
    <w:rsid w:val="00D51F5E"/>
    <w:rsid w:val="00D53372"/>
    <w:rsid w:val="00D54C66"/>
    <w:rsid w:val="00D550F7"/>
    <w:rsid w:val="00D6065B"/>
    <w:rsid w:val="00D60F4A"/>
    <w:rsid w:val="00D623EE"/>
    <w:rsid w:val="00D641F6"/>
    <w:rsid w:val="00D64DED"/>
    <w:rsid w:val="00D67D85"/>
    <w:rsid w:val="00D70B18"/>
    <w:rsid w:val="00D747F8"/>
    <w:rsid w:val="00D751D7"/>
    <w:rsid w:val="00D756D1"/>
    <w:rsid w:val="00D75D8B"/>
    <w:rsid w:val="00D80EF0"/>
    <w:rsid w:val="00D81B45"/>
    <w:rsid w:val="00D8201B"/>
    <w:rsid w:val="00D82F60"/>
    <w:rsid w:val="00D83B32"/>
    <w:rsid w:val="00D83CCC"/>
    <w:rsid w:val="00D86445"/>
    <w:rsid w:val="00D90198"/>
    <w:rsid w:val="00D9055A"/>
    <w:rsid w:val="00D92F85"/>
    <w:rsid w:val="00D9505C"/>
    <w:rsid w:val="00DA1CC6"/>
    <w:rsid w:val="00DA20FA"/>
    <w:rsid w:val="00DA23E4"/>
    <w:rsid w:val="00DA2FD0"/>
    <w:rsid w:val="00DA6C81"/>
    <w:rsid w:val="00DB032B"/>
    <w:rsid w:val="00DB0624"/>
    <w:rsid w:val="00DB1C89"/>
    <w:rsid w:val="00DB2948"/>
    <w:rsid w:val="00DB3D4A"/>
    <w:rsid w:val="00DB4913"/>
    <w:rsid w:val="00DB4D9A"/>
    <w:rsid w:val="00DB557D"/>
    <w:rsid w:val="00DB69F4"/>
    <w:rsid w:val="00DB6E3C"/>
    <w:rsid w:val="00DB6FC8"/>
    <w:rsid w:val="00DC0A2B"/>
    <w:rsid w:val="00DC3A26"/>
    <w:rsid w:val="00DC3D97"/>
    <w:rsid w:val="00DC507B"/>
    <w:rsid w:val="00DC5AB8"/>
    <w:rsid w:val="00DC7998"/>
    <w:rsid w:val="00DD1259"/>
    <w:rsid w:val="00DD17B2"/>
    <w:rsid w:val="00DD2E43"/>
    <w:rsid w:val="00DD72A9"/>
    <w:rsid w:val="00DE13AC"/>
    <w:rsid w:val="00DE35A8"/>
    <w:rsid w:val="00DE3DEC"/>
    <w:rsid w:val="00DE4222"/>
    <w:rsid w:val="00DF0725"/>
    <w:rsid w:val="00DF1781"/>
    <w:rsid w:val="00DF2381"/>
    <w:rsid w:val="00DF2E4E"/>
    <w:rsid w:val="00DF4CDE"/>
    <w:rsid w:val="00DF5130"/>
    <w:rsid w:val="00DF524F"/>
    <w:rsid w:val="00DF7736"/>
    <w:rsid w:val="00E02694"/>
    <w:rsid w:val="00E029BA"/>
    <w:rsid w:val="00E03056"/>
    <w:rsid w:val="00E04EB8"/>
    <w:rsid w:val="00E055C6"/>
    <w:rsid w:val="00E062D6"/>
    <w:rsid w:val="00E074BE"/>
    <w:rsid w:val="00E07887"/>
    <w:rsid w:val="00E1002F"/>
    <w:rsid w:val="00E1152D"/>
    <w:rsid w:val="00E12C4B"/>
    <w:rsid w:val="00E17801"/>
    <w:rsid w:val="00E20536"/>
    <w:rsid w:val="00E212CF"/>
    <w:rsid w:val="00E223DD"/>
    <w:rsid w:val="00E23A50"/>
    <w:rsid w:val="00E25C2C"/>
    <w:rsid w:val="00E25D8A"/>
    <w:rsid w:val="00E261C7"/>
    <w:rsid w:val="00E261E8"/>
    <w:rsid w:val="00E30D0E"/>
    <w:rsid w:val="00E31903"/>
    <w:rsid w:val="00E32DDD"/>
    <w:rsid w:val="00E353DC"/>
    <w:rsid w:val="00E40393"/>
    <w:rsid w:val="00E41FB1"/>
    <w:rsid w:val="00E42484"/>
    <w:rsid w:val="00E4316E"/>
    <w:rsid w:val="00E4587E"/>
    <w:rsid w:val="00E458CF"/>
    <w:rsid w:val="00E469BF"/>
    <w:rsid w:val="00E50759"/>
    <w:rsid w:val="00E5216F"/>
    <w:rsid w:val="00E54494"/>
    <w:rsid w:val="00E547AC"/>
    <w:rsid w:val="00E54D05"/>
    <w:rsid w:val="00E55AFC"/>
    <w:rsid w:val="00E57E80"/>
    <w:rsid w:val="00E60DE2"/>
    <w:rsid w:val="00E6293A"/>
    <w:rsid w:val="00E62C7A"/>
    <w:rsid w:val="00E6428B"/>
    <w:rsid w:val="00E67A41"/>
    <w:rsid w:val="00E708FA"/>
    <w:rsid w:val="00E70B3A"/>
    <w:rsid w:val="00E721E2"/>
    <w:rsid w:val="00E738EC"/>
    <w:rsid w:val="00E73C04"/>
    <w:rsid w:val="00E74513"/>
    <w:rsid w:val="00E75372"/>
    <w:rsid w:val="00E75CBF"/>
    <w:rsid w:val="00E76948"/>
    <w:rsid w:val="00E770C4"/>
    <w:rsid w:val="00E7751D"/>
    <w:rsid w:val="00E8044D"/>
    <w:rsid w:val="00E80890"/>
    <w:rsid w:val="00E80A09"/>
    <w:rsid w:val="00E80A22"/>
    <w:rsid w:val="00E80A2A"/>
    <w:rsid w:val="00E80ED8"/>
    <w:rsid w:val="00E81908"/>
    <w:rsid w:val="00E82744"/>
    <w:rsid w:val="00E83B8A"/>
    <w:rsid w:val="00E87402"/>
    <w:rsid w:val="00E8774E"/>
    <w:rsid w:val="00E87CD1"/>
    <w:rsid w:val="00E917C8"/>
    <w:rsid w:val="00E91C1F"/>
    <w:rsid w:val="00E91DE9"/>
    <w:rsid w:val="00E92615"/>
    <w:rsid w:val="00E92ABB"/>
    <w:rsid w:val="00E942A0"/>
    <w:rsid w:val="00E9450B"/>
    <w:rsid w:val="00E94AB0"/>
    <w:rsid w:val="00E95307"/>
    <w:rsid w:val="00E969D3"/>
    <w:rsid w:val="00EA00CA"/>
    <w:rsid w:val="00EA0392"/>
    <w:rsid w:val="00EA0B2D"/>
    <w:rsid w:val="00EA3761"/>
    <w:rsid w:val="00EA3CFC"/>
    <w:rsid w:val="00EA5B00"/>
    <w:rsid w:val="00EA6779"/>
    <w:rsid w:val="00EB02C3"/>
    <w:rsid w:val="00EB069E"/>
    <w:rsid w:val="00EB0A91"/>
    <w:rsid w:val="00EB0B70"/>
    <w:rsid w:val="00EB2993"/>
    <w:rsid w:val="00EB383B"/>
    <w:rsid w:val="00EB4929"/>
    <w:rsid w:val="00EB496D"/>
    <w:rsid w:val="00EB4B9C"/>
    <w:rsid w:val="00EB51B7"/>
    <w:rsid w:val="00EB762D"/>
    <w:rsid w:val="00EC242D"/>
    <w:rsid w:val="00EC45A6"/>
    <w:rsid w:val="00EC488A"/>
    <w:rsid w:val="00EC5C2A"/>
    <w:rsid w:val="00EC6987"/>
    <w:rsid w:val="00EC6BCE"/>
    <w:rsid w:val="00EC6CDA"/>
    <w:rsid w:val="00EC7DCF"/>
    <w:rsid w:val="00ED0C8F"/>
    <w:rsid w:val="00ED20EB"/>
    <w:rsid w:val="00ED21D3"/>
    <w:rsid w:val="00ED27F4"/>
    <w:rsid w:val="00ED3680"/>
    <w:rsid w:val="00ED6698"/>
    <w:rsid w:val="00ED726A"/>
    <w:rsid w:val="00EE1D66"/>
    <w:rsid w:val="00EE22B6"/>
    <w:rsid w:val="00EE267A"/>
    <w:rsid w:val="00EE294B"/>
    <w:rsid w:val="00EE3A76"/>
    <w:rsid w:val="00EE4026"/>
    <w:rsid w:val="00EE4629"/>
    <w:rsid w:val="00EE46C0"/>
    <w:rsid w:val="00EE627F"/>
    <w:rsid w:val="00EF07DD"/>
    <w:rsid w:val="00EF0D00"/>
    <w:rsid w:val="00EF56C7"/>
    <w:rsid w:val="00EF607F"/>
    <w:rsid w:val="00EF7B90"/>
    <w:rsid w:val="00F0076E"/>
    <w:rsid w:val="00F011B4"/>
    <w:rsid w:val="00F01D75"/>
    <w:rsid w:val="00F03889"/>
    <w:rsid w:val="00F048D6"/>
    <w:rsid w:val="00F04BDB"/>
    <w:rsid w:val="00F04E71"/>
    <w:rsid w:val="00F053A6"/>
    <w:rsid w:val="00F05470"/>
    <w:rsid w:val="00F05B6D"/>
    <w:rsid w:val="00F11617"/>
    <w:rsid w:val="00F13E6C"/>
    <w:rsid w:val="00F140C8"/>
    <w:rsid w:val="00F144A5"/>
    <w:rsid w:val="00F14B20"/>
    <w:rsid w:val="00F14F19"/>
    <w:rsid w:val="00F154D5"/>
    <w:rsid w:val="00F17F90"/>
    <w:rsid w:val="00F200FF"/>
    <w:rsid w:val="00F21742"/>
    <w:rsid w:val="00F21AB9"/>
    <w:rsid w:val="00F223E0"/>
    <w:rsid w:val="00F224B8"/>
    <w:rsid w:val="00F2283C"/>
    <w:rsid w:val="00F22B9F"/>
    <w:rsid w:val="00F2302F"/>
    <w:rsid w:val="00F2356A"/>
    <w:rsid w:val="00F257AB"/>
    <w:rsid w:val="00F2662F"/>
    <w:rsid w:val="00F2761D"/>
    <w:rsid w:val="00F319A6"/>
    <w:rsid w:val="00F319F6"/>
    <w:rsid w:val="00F322B6"/>
    <w:rsid w:val="00F335B9"/>
    <w:rsid w:val="00F401B8"/>
    <w:rsid w:val="00F437B9"/>
    <w:rsid w:val="00F44229"/>
    <w:rsid w:val="00F451FC"/>
    <w:rsid w:val="00F46AC1"/>
    <w:rsid w:val="00F50EDC"/>
    <w:rsid w:val="00F51E5C"/>
    <w:rsid w:val="00F51FC2"/>
    <w:rsid w:val="00F526C7"/>
    <w:rsid w:val="00F52760"/>
    <w:rsid w:val="00F52ED1"/>
    <w:rsid w:val="00F52FCA"/>
    <w:rsid w:val="00F53081"/>
    <w:rsid w:val="00F5499D"/>
    <w:rsid w:val="00F559E6"/>
    <w:rsid w:val="00F561FE"/>
    <w:rsid w:val="00F56607"/>
    <w:rsid w:val="00F57F9B"/>
    <w:rsid w:val="00F60F41"/>
    <w:rsid w:val="00F61D8E"/>
    <w:rsid w:val="00F61F40"/>
    <w:rsid w:val="00F640C6"/>
    <w:rsid w:val="00F64D4E"/>
    <w:rsid w:val="00F67006"/>
    <w:rsid w:val="00F675D8"/>
    <w:rsid w:val="00F67F9F"/>
    <w:rsid w:val="00F71856"/>
    <w:rsid w:val="00F72188"/>
    <w:rsid w:val="00F72A1B"/>
    <w:rsid w:val="00F74E0C"/>
    <w:rsid w:val="00F75901"/>
    <w:rsid w:val="00F75972"/>
    <w:rsid w:val="00F80EBE"/>
    <w:rsid w:val="00F82787"/>
    <w:rsid w:val="00F82D95"/>
    <w:rsid w:val="00F833FF"/>
    <w:rsid w:val="00F8467B"/>
    <w:rsid w:val="00F847E4"/>
    <w:rsid w:val="00F84E18"/>
    <w:rsid w:val="00F860FC"/>
    <w:rsid w:val="00F86638"/>
    <w:rsid w:val="00F871E2"/>
    <w:rsid w:val="00F90CDC"/>
    <w:rsid w:val="00F921D1"/>
    <w:rsid w:val="00F92A62"/>
    <w:rsid w:val="00F9368F"/>
    <w:rsid w:val="00F95401"/>
    <w:rsid w:val="00F9699F"/>
    <w:rsid w:val="00F977E8"/>
    <w:rsid w:val="00FA14BA"/>
    <w:rsid w:val="00FA17A2"/>
    <w:rsid w:val="00FA2175"/>
    <w:rsid w:val="00FA2466"/>
    <w:rsid w:val="00FA30EF"/>
    <w:rsid w:val="00FA4EFE"/>
    <w:rsid w:val="00FA55EB"/>
    <w:rsid w:val="00FA62D6"/>
    <w:rsid w:val="00FA64BB"/>
    <w:rsid w:val="00FA6D15"/>
    <w:rsid w:val="00FB18EA"/>
    <w:rsid w:val="00FB2B6E"/>
    <w:rsid w:val="00FB42BC"/>
    <w:rsid w:val="00FC225F"/>
    <w:rsid w:val="00FC2FB3"/>
    <w:rsid w:val="00FC60D9"/>
    <w:rsid w:val="00FC6317"/>
    <w:rsid w:val="00FC773A"/>
    <w:rsid w:val="00FD17EC"/>
    <w:rsid w:val="00FD1993"/>
    <w:rsid w:val="00FD1999"/>
    <w:rsid w:val="00FD369E"/>
    <w:rsid w:val="00FD3C22"/>
    <w:rsid w:val="00FD4357"/>
    <w:rsid w:val="00FD581D"/>
    <w:rsid w:val="00FD6361"/>
    <w:rsid w:val="00FE0213"/>
    <w:rsid w:val="00FE0672"/>
    <w:rsid w:val="00FE0673"/>
    <w:rsid w:val="00FE111C"/>
    <w:rsid w:val="00FE1E98"/>
    <w:rsid w:val="00FE2186"/>
    <w:rsid w:val="00FE24E5"/>
    <w:rsid w:val="00FE5DC4"/>
    <w:rsid w:val="00FE5E46"/>
    <w:rsid w:val="00FE6FB9"/>
    <w:rsid w:val="00FE7254"/>
    <w:rsid w:val="00FF0162"/>
    <w:rsid w:val="00FF4458"/>
    <w:rsid w:val="00FF4BC5"/>
    <w:rsid w:val="00FF4C8F"/>
    <w:rsid w:val="00FF667E"/>
    <w:rsid w:val="00FF6952"/>
    <w:rsid w:val="00FF7299"/>
    <w:rsid w:val="0753050D"/>
    <w:rsid w:val="262F7020"/>
    <w:rsid w:val="2E1F26C8"/>
    <w:rsid w:val="2EDD678B"/>
    <w:rsid w:val="32EB1269"/>
    <w:rsid w:val="374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6C4D89"/>
  <w15:docId w15:val="{11494686-3862-43CA-BB6A-100338EB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widowControl/>
      <w:suppressLineNumbers/>
      <w:spacing w:before="240" w:after="360"/>
      <w:jc w:val="center"/>
    </w:pPr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autoSpaceDE w:val="0"/>
      <w:autoSpaceDN w:val="0"/>
      <w:ind w:left="358" w:right="46" w:hanging="252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transsent">
    <w:name w:val="transsent"/>
    <w:basedOn w:val="DefaultParagraphFont"/>
    <w:qFormat/>
  </w:style>
  <w:style w:type="paragraph" w:customStyle="1" w:styleId="tgt">
    <w:name w:val="_tgt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one-p">
    <w:name w:val="one-p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AdvOT55e5ac77" w:hAnsi="AdvOT55e5ac77" w:hint="default"/>
      <w:color w:val="000000"/>
      <w:sz w:val="14"/>
      <w:szCs w:val="14"/>
    </w:rPr>
  </w:style>
  <w:style w:type="character" w:customStyle="1" w:styleId="fontstyle21">
    <w:name w:val="fontstyle21"/>
    <w:basedOn w:val="DefaultParagraphFont"/>
    <w:qFormat/>
    <w:rPr>
      <w:rFonts w:ascii="AdvOT6c49bf5b.B" w:hAnsi="AdvOT6c49bf5b.B" w:hint="default"/>
      <w:color w:val="242021"/>
      <w:sz w:val="14"/>
      <w:szCs w:val="14"/>
    </w:rPr>
  </w:style>
  <w:style w:type="character" w:customStyle="1" w:styleId="tgt0">
    <w:name w:val="tg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table" w:customStyle="1" w:styleId="41">
    <w:name w:val="无格式表格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">
    <w:name w:val="书目1"/>
    <w:basedOn w:val="Normal"/>
    <w:next w:val="Normal"/>
    <w:uiPriority w:val="37"/>
    <w:unhideWhenUsed/>
    <w:qFormat/>
    <w:pPr>
      <w:tabs>
        <w:tab w:val="left" w:pos="264"/>
      </w:tabs>
      <w:spacing w:after="240"/>
      <w:ind w:left="264" w:hanging="264"/>
    </w:pPr>
  </w:style>
  <w:style w:type="paragraph" w:customStyle="1" w:styleId="2">
    <w:name w:val="书目2"/>
    <w:basedOn w:val="Normal"/>
    <w:next w:val="Normal"/>
    <w:uiPriority w:val="37"/>
    <w:semiHidden/>
    <w:unhideWhenUsed/>
    <w:qFormat/>
  </w:style>
  <w:style w:type="paragraph" w:customStyle="1" w:styleId="AuthorList">
    <w:name w:val="Author List"/>
    <w:basedOn w:val="Subtitle"/>
    <w:next w:val="Normal"/>
    <w:uiPriority w:val="1"/>
    <w:qFormat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 w:cs="Times New Roman"/>
      <w:bCs w:val="0"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Theme="minorHAnsi" w:hAnsi="Times New Roman" w:cs="Times New Roman"/>
      <w:b/>
      <w:sz w:val="32"/>
      <w:szCs w:val="32"/>
      <w:lang w:eastAsia="en-US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Revision">
    <w:name w:val="Revision"/>
    <w:hidden/>
    <w:uiPriority w:val="99"/>
    <w:semiHidden/>
    <w:rsid w:val="002B6B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FF5F8-8A9A-4111-B467-5B7CD1C2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13820</dc:creator>
  <cp:lastModifiedBy>Audrey Danquah</cp:lastModifiedBy>
  <cp:revision>4</cp:revision>
  <cp:lastPrinted>2023-02-25T15:43:00Z</cp:lastPrinted>
  <dcterms:created xsi:type="dcterms:W3CDTF">2023-04-12T05:32:00Z</dcterms:created>
  <dcterms:modified xsi:type="dcterms:W3CDTF">2023-04-13T16:50:00Z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632B8DA2A0684B9CA6D4F8A97736E723</vt:lpwstr>
  </property>
  <property fmtid="{D5CDD505-2E9C-101B-9397-08002B2CF9AE}" pid="4" name="ZOTERO_PREF_1">
    <vt:lpwstr>&lt;data data-version="3" zotero-version="6.0.13"&gt;&lt;session id="n067UCWw"/&gt;&lt;style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5" name="ZOTERO_PREF_2">
    <vt:lpwstr>maticJournalAbbreviations" value="true"/&gt;&lt;/prefs&gt;&lt;/data&gt;</vt:lpwstr>
  </property>
  <property fmtid="{D5CDD505-2E9C-101B-9397-08002B2CF9AE}" pid="6" name="GrammarlyDocumentId">
    <vt:lpwstr>6274a7bf7a48a56ea4ec9c1a6c143c026ab9b7ea63a2a93bcc32148dbf3bfea3</vt:lpwstr>
  </property>
</Properties>
</file>