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5746" w14:textId="77777777" w:rsidR="00341B15" w:rsidRDefault="00341B15" w:rsidP="00341B15">
      <w:pPr>
        <w:ind w:left="720" w:hanging="720"/>
        <w:rPr>
          <w:b/>
          <w:bCs/>
        </w:rPr>
      </w:pPr>
      <w:r>
        <w:rPr>
          <w:b/>
          <w:bCs/>
        </w:rPr>
        <w:t xml:space="preserve">Appendix </w:t>
      </w:r>
    </w:p>
    <w:p w14:paraId="55C9D5CC" w14:textId="77777777" w:rsidR="00341B15" w:rsidRPr="007E7EFC" w:rsidRDefault="00341B15" w:rsidP="00341B15">
      <w:r>
        <w:tab/>
        <w:t>The</w:t>
      </w:r>
      <w:r w:rsidRPr="007E7EFC">
        <w:t xml:space="preserve"> parameters used </w:t>
      </w:r>
      <w:r>
        <w:t>for synthetic</w:t>
      </w:r>
      <w:r w:rsidRPr="007E7EFC">
        <w:t xml:space="preserve"> data generation were </w:t>
      </w:r>
      <w:r>
        <w:t xml:space="preserve">standard, including </w:t>
      </w:r>
      <w:r w:rsidRPr="007E7EFC">
        <w:t>minimum levels (2), seed (1), and smoothing (spline).  </w:t>
      </w:r>
      <w:r>
        <w:t>T</w:t>
      </w:r>
      <w:r w:rsidRPr="007E7EFC">
        <w:t xml:space="preserve">he </w:t>
      </w:r>
      <w:r>
        <w:t xml:space="preserve">number of observations </w:t>
      </w:r>
      <w:r w:rsidRPr="007E7EFC">
        <w:t xml:space="preserve">was set to 10,000. </w:t>
      </w:r>
      <w:r>
        <w:t xml:space="preserve">The statistical tests in the table below shows </w:t>
      </w:r>
      <w:r w:rsidRPr="007E7EFC">
        <w:t>that the synthetic data closely match the observed data on means, variance</w:t>
      </w:r>
      <w:r>
        <w:t>s</w:t>
      </w:r>
      <w:r w:rsidRPr="007E7EFC">
        <w:t xml:space="preserve">, and correlations. </w:t>
      </w:r>
      <w:r>
        <w:t>For transparency, plots are also shown revealing some variation between synthetic and observed data</w:t>
      </w:r>
      <w:r w:rsidRPr="007E7EFC">
        <w:t xml:space="preserve">. However, given the small sample of the observed </w:t>
      </w:r>
      <w:r>
        <w:t xml:space="preserve">data </w:t>
      </w:r>
      <w:r w:rsidRPr="007E7EFC">
        <w:t xml:space="preserve">this </w:t>
      </w:r>
      <w:r>
        <w:t>is</w:t>
      </w:r>
      <w:r w:rsidRPr="007E7EFC">
        <w:t xml:space="preserve"> expected.</w:t>
      </w:r>
    </w:p>
    <w:p w14:paraId="3B1BC3E2" w14:textId="77777777" w:rsidR="00341B15" w:rsidRDefault="00341B15" w:rsidP="00341B15">
      <w:pPr>
        <w:ind w:left="720"/>
        <w:rPr>
          <w:i/>
          <w:iCs/>
        </w:rPr>
      </w:pPr>
    </w:p>
    <w:p w14:paraId="33368799" w14:textId="77777777" w:rsidR="00341B15" w:rsidRDefault="00341B15" w:rsidP="00341B15">
      <w:pPr>
        <w:ind w:left="720"/>
        <w:rPr>
          <w:i/>
          <w:iCs/>
        </w:rPr>
      </w:pPr>
    </w:p>
    <w:p w14:paraId="4DFCD1E5" w14:textId="77777777" w:rsidR="00341B15" w:rsidRDefault="00341B15" w:rsidP="00341B15">
      <w:pPr>
        <w:ind w:left="720"/>
        <w:rPr>
          <w:i/>
          <w:iCs/>
        </w:rPr>
      </w:pPr>
    </w:p>
    <w:p w14:paraId="770D2BCF" w14:textId="77777777" w:rsidR="00341B15" w:rsidRDefault="00341B15" w:rsidP="00341B15">
      <w:pPr>
        <w:ind w:left="720"/>
        <w:rPr>
          <w:i/>
          <w:iCs/>
        </w:rPr>
      </w:pPr>
    </w:p>
    <w:p w14:paraId="4F569A6F" w14:textId="77777777" w:rsidR="00341B15" w:rsidRDefault="00341B15" w:rsidP="00341B15">
      <w:pPr>
        <w:ind w:left="720"/>
        <w:rPr>
          <w:i/>
          <w:iCs/>
        </w:rPr>
      </w:pPr>
    </w:p>
    <w:p w14:paraId="486F8671" w14:textId="77777777" w:rsidR="00341B15" w:rsidRDefault="00341B15" w:rsidP="00341B15">
      <w:pPr>
        <w:spacing w:after="200"/>
        <w:rPr>
          <w:i/>
          <w:iCs/>
        </w:rPr>
      </w:pPr>
      <w:r>
        <w:rPr>
          <w:i/>
          <w:iCs/>
        </w:rPr>
        <w:br w:type="page"/>
      </w:r>
    </w:p>
    <w:p w14:paraId="79856906" w14:textId="77777777" w:rsidR="00341B15" w:rsidRDefault="00341B15" w:rsidP="00341B15">
      <w:pPr>
        <w:ind w:left="720"/>
        <w:rPr>
          <w:i/>
          <w:iCs/>
        </w:rPr>
      </w:pPr>
      <w:r>
        <w:rPr>
          <w:i/>
          <w:iCs/>
        </w:rPr>
        <w:lastRenderedPageBreak/>
        <w:t>Fi</w:t>
      </w:r>
      <w:r w:rsidRPr="001B1EAA">
        <w:rPr>
          <w:i/>
          <w:iCs/>
        </w:rPr>
        <w:t xml:space="preserve">gures </w:t>
      </w:r>
      <w:r>
        <w:rPr>
          <w:i/>
          <w:iCs/>
        </w:rPr>
        <w:t xml:space="preserve">A1-A3 </w:t>
      </w:r>
      <w:r w:rsidRPr="001B1EAA">
        <w:rPr>
          <w:i/>
          <w:iCs/>
        </w:rPr>
        <w:t xml:space="preserve">show the distribution of the data with the observed data in black and the synthetic data in red. </w:t>
      </w:r>
    </w:p>
    <w:p w14:paraId="0E1B126E" w14:textId="77777777" w:rsidR="00341B15" w:rsidRDefault="00341B15" w:rsidP="00341B15">
      <w:pPr>
        <w:ind w:left="720"/>
      </w:pPr>
      <w:r>
        <w:rPr>
          <w:noProof/>
        </w:rPr>
        <w:lastRenderedPageBreak/>
        <w:drawing>
          <wp:inline distT="0" distB="0" distL="0" distR="0" wp14:anchorId="66CC538E" wp14:editId="47AE4FEB">
            <wp:extent cx="4902591" cy="3031121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591" cy="303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3CC257" wp14:editId="06F84087">
            <wp:extent cx="4902200" cy="303087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417" cy="30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D02201" wp14:editId="57B56B96">
            <wp:extent cx="4909625" cy="30354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625" cy="30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EB431" w14:textId="77777777" w:rsidR="00341B15" w:rsidRDefault="00341B15" w:rsidP="00341B15"/>
    <w:p w14:paraId="46739869" w14:textId="77777777" w:rsidR="00341B15" w:rsidRDefault="00341B15" w:rsidP="00341B15"/>
    <w:p w14:paraId="5BAAE177" w14:textId="77777777" w:rsidR="00341B15" w:rsidRPr="00161703" w:rsidRDefault="00341B15" w:rsidP="00341B15">
      <w:pPr>
        <w:ind w:left="720"/>
        <w:rPr>
          <w:i/>
          <w:iCs/>
        </w:rPr>
      </w:pPr>
      <w:r w:rsidRPr="00161703">
        <w:rPr>
          <w:i/>
          <w:iCs/>
        </w:rPr>
        <w:t xml:space="preserve">Table A1: Comparison of summary statistics for the observed and synthetic datasets.  </w:t>
      </w:r>
      <w:r w:rsidRPr="00161703">
        <w:rPr>
          <w:i/>
          <w:iCs/>
        </w:rPr>
        <w:tab/>
        <w:t xml:space="preserve"> </w:t>
      </w:r>
    </w:p>
    <w:p w14:paraId="45986C98" w14:textId="77777777" w:rsidR="00341B15" w:rsidRDefault="00341B15" w:rsidP="00341B15"/>
    <w:p w14:paraId="038ADF4F" w14:textId="77777777" w:rsidR="00341B15" w:rsidRPr="00B13DAB" w:rsidRDefault="00341B15" w:rsidP="00341B15">
      <w:pPr>
        <w:ind w:left="720" w:hanging="720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3"/>
        <w:gridCol w:w="1175"/>
        <w:gridCol w:w="841"/>
        <w:gridCol w:w="846"/>
        <w:gridCol w:w="744"/>
        <w:gridCol w:w="698"/>
        <w:gridCol w:w="1312"/>
        <w:gridCol w:w="816"/>
        <w:gridCol w:w="975"/>
      </w:tblGrid>
      <w:tr w:rsidR="00341B15" w:rsidRPr="00FE7A5B" w14:paraId="3006E2B2" w14:textId="77777777" w:rsidTr="002C7943">
        <w:tc>
          <w:tcPr>
            <w:tcW w:w="1339" w:type="dxa"/>
            <w:tcBorders>
              <w:left w:val="nil"/>
              <w:bottom w:val="single" w:sz="4" w:space="0" w:color="auto"/>
              <w:right w:val="nil"/>
            </w:tcBorders>
          </w:tcPr>
          <w:p w14:paraId="01A5963F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</w:tcPr>
          <w:p w14:paraId="4881995F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nil"/>
              <w:bottom w:val="single" w:sz="4" w:space="0" w:color="auto"/>
              <w:right w:val="nil"/>
            </w:tcBorders>
          </w:tcPr>
          <w:p w14:paraId="2EE5AAF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N</w:t>
            </w: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nil"/>
            </w:tcBorders>
          </w:tcPr>
          <w:p w14:paraId="3BDD197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Mean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nil"/>
            </w:tcBorders>
          </w:tcPr>
          <w:p w14:paraId="2C27434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S.D.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nil"/>
            </w:tcBorders>
          </w:tcPr>
          <w:p w14:paraId="794D9C9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r_hit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nil"/>
            </w:tcBorders>
          </w:tcPr>
          <w:p w14:paraId="317E235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r_immersion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nil"/>
            </w:tcBorders>
          </w:tcPr>
          <w:p w14:paraId="4F1F185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r_peak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</w:tcPr>
          <w:p w14:paraId="76F4FFD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r_retreat</w:t>
            </w:r>
          </w:p>
        </w:tc>
      </w:tr>
      <w:tr w:rsidR="00341B15" w:rsidRPr="00FE7A5B" w14:paraId="45486D56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333A48D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Hit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F3C7F8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Observed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EF6254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400111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0.54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619BACF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C46656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3AC0D3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A82A0D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6106A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463667F9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6975915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741302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Synthetic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1AE02FF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59DDA3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0.54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3C88F7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034F09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9FED6A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07E946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10CA8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755ECD33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03F8783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Immersion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03E6E1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611C5A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2D8E0C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533F9D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604E59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4E8404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CF596D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A97E4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45ABF127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0F30215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5A3B07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Observed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3B611C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AD5213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4.13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1D68029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0.08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A390D6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9C36C54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91F926F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415D7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09BDA08B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704F4B4B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D086C3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Synthetic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72B55A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48227A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4.14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603759A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6763EE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158978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EB943C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69CBD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5B5CB186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AC4B921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Peak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7FF0F8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F02FD5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0BDCA0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BFD073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50AFFE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2074ED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D68661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2213C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45608496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0E13366D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21BB7C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Observed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4C6658B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D66FF6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4.13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361343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31BF58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2A5DDB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0382B8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EB77D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68590CB7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22CB4B68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C18913F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Synthetic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05890E2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5EFE5B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4.13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F4CCCF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05FE2C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98C4F0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6C08BBF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BDEDD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4F2ACAD6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B49C59C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Retreat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82ED88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8365BC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86B06B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CED107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D9C8BD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9AE0B1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4EBD2C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023EA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FE7A5B" w14:paraId="30CEE055" w14:textId="77777777" w:rsidTr="002C7943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7B44DE2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B1C9E4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Observed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33F11F6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44F685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1.47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3561F5D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A203F9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233AC6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36A395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25DE5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</w:tr>
      <w:tr w:rsidR="00341B15" w:rsidRPr="00FE7A5B" w14:paraId="220282D7" w14:textId="77777777" w:rsidTr="002C7943"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0F021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8CDE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Synthetic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B4F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3B6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1.47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A9A5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EE77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2E2D4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498A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072D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</w:tr>
    </w:tbl>
    <w:p w14:paraId="556238C3" w14:textId="77777777" w:rsidR="00341B15" w:rsidRPr="00161703" w:rsidRDefault="00341B15" w:rsidP="00341B15">
      <w:pPr>
        <w:ind w:left="720"/>
        <w:rPr>
          <w:i/>
          <w:iCs/>
        </w:rPr>
      </w:pPr>
      <w:r>
        <w:rPr>
          <w:sz w:val="20"/>
          <w:szCs w:val="20"/>
        </w:rPr>
        <w:tab/>
      </w:r>
      <w:r w:rsidRPr="00161703">
        <w:rPr>
          <w:i/>
          <w:iCs/>
        </w:rPr>
        <w:t xml:space="preserve"> </w:t>
      </w:r>
    </w:p>
    <w:p w14:paraId="342875B2" w14:textId="77777777" w:rsidR="00341B15" w:rsidRDefault="00341B15" w:rsidP="00341B15">
      <w:r>
        <w:tab/>
      </w:r>
      <w:r w:rsidRPr="00151D19">
        <w:t xml:space="preserve">No significant differences </w:t>
      </w:r>
      <w:r w:rsidRPr="00161703">
        <w:t>were found between the observed and synthetic data for means (t-tests), standard deviations (F-tests), or correlations (t-tests) as shown in Table A1</w:t>
      </w:r>
      <w:r w:rsidRPr="00151D19">
        <w:t>.</w:t>
      </w:r>
      <w:r>
        <w:t xml:space="preserve">   </w:t>
      </w:r>
      <w:r w:rsidRPr="00081118">
        <w:t>P-values for each test are shown in Table A2.</w:t>
      </w:r>
      <w:r>
        <w:t xml:space="preserve">  </w:t>
      </w:r>
    </w:p>
    <w:p w14:paraId="0F37F3E0" w14:textId="77777777" w:rsidR="00341B15" w:rsidRDefault="00341B15" w:rsidP="00341B15"/>
    <w:p w14:paraId="7093936A" w14:textId="77777777" w:rsidR="00341B15" w:rsidRDefault="00341B15" w:rsidP="00341B15"/>
    <w:p w14:paraId="688B4ECE" w14:textId="77777777" w:rsidR="00341B15" w:rsidRDefault="00341B15" w:rsidP="00341B15"/>
    <w:p w14:paraId="435B1412" w14:textId="77777777" w:rsidR="00341B15" w:rsidRDefault="00341B15" w:rsidP="00341B15"/>
    <w:p w14:paraId="181DCB36" w14:textId="77777777" w:rsidR="00341B15" w:rsidRDefault="00341B15" w:rsidP="00341B15"/>
    <w:tbl>
      <w:tblPr>
        <w:tblStyle w:val="TableGrid"/>
        <w:tblW w:w="7659" w:type="dxa"/>
        <w:tblInd w:w="720" w:type="dxa"/>
        <w:tblLook w:val="04A0" w:firstRow="1" w:lastRow="0" w:firstColumn="1" w:lastColumn="0" w:noHBand="0" w:noVBand="1"/>
      </w:tblPr>
      <w:tblGrid>
        <w:gridCol w:w="1151"/>
        <w:gridCol w:w="920"/>
        <w:gridCol w:w="761"/>
        <w:gridCol w:w="946"/>
        <w:gridCol w:w="778"/>
        <w:gridCol w:w="1312"/>
        <w:gridCol w:w="816"/>
        <w:gridCol w:w="975"/>
      </w:tblGrid>
      <w:tr w:rsidR="00341B15" w:rsidRPr="00161703" w14:paraId="10FE0065" w14:textId="77777777" w:rsidTr="002C7943"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4A0993D5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</w:tcPr>
          <w:p w14:paraId="6C793B9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</w:tcPr>
          <w:p w14:paraId="01EF778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Mean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</w:tcPr>
          <w:p w14:paraId="5AC8688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SD</w:t>
            </w:r>
          </w:p>
        </w:tc>
        <w:tc>
          <w:tcPr>
            <w:tcW w:w="807" w:type="dxa"/>
            <w:tcBorders>
              <w:left w:val="nil"/>
              <w:bottom w:val="single" w:sz="4" w:space="0" w:color="auto"/>
              <w:right w:val="nil"/>
            </w:tcBorders>
          </w:tcPr>
          <w:p w14:paraId="555DF22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r_hit</w:t>
            </w:r>
          </w:p>
        </w:tc>
        <w:tc>
          <w:tcPr>
            <w:tcW w:w="1073" w:type="dxa"/>
            <w:tcBorders>
              <w:left w:val="nil"/>
              <w:bottom w:val="single" w:sz="4" w:space="0" w:color="auto"/>
              <w:right w:val="nil"/>
            </w:tcBorders>
          </w:tcPr>
          <w:p w14:paraId="101EE7F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r_immersion</w:t>
            </w:r>
          </w:p>
        </w:tc>
        <w:tc>
          <w:tcPr>
            <w:tcW w:w="791" w:type="dxa"/>
            <w:tcBorders>
              <w:left w:val="nil"/>
              <w:bottom w:val="single" w:sz="4" w:space="0" w:color="auto"/>
              <w:right w:val="nil"/>
            </w:tcBorders>
          </w:tcPr>
          <w:p w14:paraId="0CB5612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r_peak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nil"/>
            </w:tcBorders>
          </w:tcPr>
          <w:p w14:paraId="255D8D2F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r_retreat</w:t>
            </w:r>
          </w:p>
        </w:tc>
      </w:tr>
      <w:tr w:rsidR="00341B15" w:rsidRPr="00161703" w14:paraId="2FFC9993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B61DEA1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Hit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A6D2AD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EED315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2C8B494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687CF4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3271155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CD0DB8C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3835265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</w:tr>
      <w:tr w:rsidR="00341B15" w:rsidRPr="00161703" w14:paraId="5D1CC7D6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89C6EAD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44EA74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Statistic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873629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 -.04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D9A565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1.05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4EED10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8D68ED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A3324B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4713C94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687D537C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42B34EF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9A86A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df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B2C4F44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DE9D02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23,9999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DE22F1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93592E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751399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321B9DB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22C034CE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AF8A120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F4A23B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p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A49DEB3" w14:textId="77777777" w:rsidR="00341B15" w:rsidRPr="00AB4D40" w:rsidRDefault="00341B15" w:rsidP="002C7943">
            <w:pPr>
              <w:jc w:val="center"/>
            </w:pPr>
            <w:r w:rsidRPr="00AB4D40">
              <w:rPr>
                <w:sz w:val="20"/>
                <w:szCs w:val="20"/>
              </w:rPr>
              <w:t>.969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EF17F7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.804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1B3338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2CC5FF1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589663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323E2C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5DEB002E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2B67902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Immersion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4D281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440765C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6AD7528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1863F2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6320F9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98CEBD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E3FBAB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509E320A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B72CEA9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6EFD1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Statistic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2F0311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 -0.04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39777F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 1.04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4E17B2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293E1A9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E8E54F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455E603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4484362E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FF28079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5378FC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df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F94904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16ECCE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23,9999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2B88CAC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CF95D8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585E2F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C6186F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5DFFE179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F1F6B3D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361C58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p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8E4632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.971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5CBC9A1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.816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A707D2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1.00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87D693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E39C04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892ACE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62CB7DC5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C79CAB4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Peak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7623CE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EC61CE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150180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8B7528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BE5306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27DA2F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8E20AF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17524B21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3A4D8D1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61E932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Statistic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DFF449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 -0.04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4F7020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1.04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316017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1.06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E43F9B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-0.46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0D0C5F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4485E3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14061C5D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18F5D9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9C5CE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df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4A4BFF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F6458F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23,9999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7B5E274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7BD7D7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B832BB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2305A5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69CB7C57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97AD914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8E6B514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p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5BD677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.970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E36A6E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.816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1ADDCF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.291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6038D0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.649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147464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660C753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562B9C97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E6DFBFF" w14:textId="77777777" w:rsidR="00341B15" w:rsidRPr="00AB4D40" w:rsidRDefault="00341B15" w:rsidP="002C7943">
            <w:pPr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Retreat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69347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B0E700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3EBA7B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28EBB2D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8AF8C0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19CE5B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B25048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</w:p>
        </w:tc>
      </w:tr>
      <w:tr w:rsidR="00341B15" w:rsidRPr="00161703" w14:paraId="3EF3EBD5" w14:textId="77777777" w:rsidTr="002C7943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223214C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C155A5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Statistic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BFF908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 0.13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06577E8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 1.08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59ED15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-1.37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8D1186C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 xml:space="preserve">-0.79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8A2B4B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0.24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4FB7CE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</w:tr>
      <w:tr w:rsidR="00341B15" w:rsidRPr="00161703" w14:paraId="06174D66" w14:textId="77777777" w:rsidTr="002C7943">
        <w:trPr>
          <w:trHeight w:val="162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EAB2784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717C45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df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5D38808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23.10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F1679B0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23,9999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C474C87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10022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64F869F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3EC68B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10022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F79FE22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</w:tr>
      <w:tr w:rsidR="00341B15" w:rsidRPr="00161703" w14:paraId="7BD2AF2B" w14:textId="77777777" w:rsidTr="002C7943"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0FD06" w14:textId="77777777" w:rsidR="00341B15" w:rsidRPr="00AB4D40" w:rsidRDefault="00341B15" w:rsidP="002C794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7A726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p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419B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.896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B9B8A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.707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A9BA1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.172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1468E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.429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CA8F9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.813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B4E2B" w14:textId="77777777" w:rsidR="00341B15" w:rsidRPr="00AB4D40" w:rsidRDefault="00341B15" w:rsidP="002C7943">
            <w:pPr>
              <w:jc w:val="center"/>
              <w:rPr>
                <w:sz w:val="20"/>
                <w:szCs w:val="20"/>
              </w:rPr>
            </w:pPr>
            <w:r w:rsidRPr="00AB4D40">
              <w:rPr>
                <w:sz w:val="20"/>
                <w:szCs w:val="20"/>
              </w:rPr>
              <w:t>-</w:t>
            </w:r>
          </w:p>
        </w:tc>
      </w:tr>
    </w:tbl>
    <w:p w14:paraId="5C9705DF" w14:textId="77777777" w:rsidR="00341B15" w:rsidRDefault="00341B15" w:rsidP="00341B15"/>
    <w:p w14:paraId="28C92297" w14:textId="77777777" w:rsidR="00341B15" w:rsidRDefault="00341B15" w:rsidP="00341B15"/>
    <w:p w14:paraId="4740C7E2" w14:textId="77777777" w:rsidR="00341B15" w:rsidRDefault="00341B15" w:rsidP="00341B15"/>
    <w:p w14:paraId="1B40F874" w14:textId="77777777" w:rsidR="00341B15" w:rsidRDefault="00341B15" w:rsidP="00341B15">
      <w:r>
        <w:tab/>
      </w:r>
    </w:p>
    <w:p w14:paraId="26883B55" w14:textId="77777777" w:rsidR="00341B15" w:rsidRDefault="00341B15" w:rsidP="00341B15">
      <w:r>
        <w:tab/>
        <w:t>We established two baselines for comparison to the bagged ML model. The first is the base rate probability of selecting a hit song. In both the synthetic and observed data this is 54%. The second baseline was established by taking the dominant observed outcome in the data (hits) and predicting how many hits in the test set. This baseline was 68%.  The figures below compare the hit and miss rates for all three neurophysiologic variables for the original data and synthetic data.</w:t>
      </w:r>
    </w:p>
    <w:p w14:paraId="5358E067" w14:textId="77777777" w:rsidR="00341B15" w:rsidRDefault="00341B15" w:rsidP="00341B15">
      <w:pPr>
        <w:rPr>
          <w:i/>
          <w:iCs/>
        </w:rPr>
      </w:pPr>
    </w:p>
    <w:p w14:paraId="13A5B5EC" w14:textId="77777777" w:rsidR="00341B15" w:rsidRDefault="00341B15" w:rsidP="00341B15">
      <w:r>
        <w:rPr>
          <w:i/>
          <w:iCs/>
        </w:rPr>
        <w:t>F</w:t>
      </w:r>
      <w:r w:rsidRPr="00161703">
        <w:rPr>
          <w:i/>
          <w:iCs/>
        </w:rPr>
        <w:t>igures A</w:t>
      </w:r>
      <w:r>
        <w:rPr>
          <w:i/>
          <w:iCs/>
        </w:rPr>
        <w:t>4</w:t>
      </w:r>
      <w:r w:rsidRPr="00161703">
        <w:rPr>
          <w:i/>
          <w:iCs/>
        </w:rPr>
        <w:t>-A</w:t>
      </w:r>
      <w:r>
        <w:rPr>
          <w:i/>
          <w:iCs/>
        </w:rPr>
        <w:t>6</w:t>
      </w:r>
      <w:r w:rsidRPr="00161703">
        <w:rPr>
          <w:i/>
          <w:iCs/>
        </w:rPr>
        <w:t xml:space="preserve">: A comparison of the </w:t>
      </w:r>
      <w:r>
        <w:rPr>
          <w:i/>
          <w:iCs/>
        </w:rPr>
        <w:t>hit and miss rate for each neurophysiologic variable</w:t>
      </w:r>
      <w:r w:rsidRPr="00161703">
        <w:rPr>
          <w:i/>
          <w:iCs/>
        </w:rPr>
        <w:t xml:space="preserve"> </w:t>
      </w:r>
      <w:r>
        <w:rPr>
          <w:i/>
          <w:iCs/>
        </w:rPr>
        <w:t>for</w:t>
      </w:r>
      <w:r w:rsidRPr="00161703">
        <w:rPr>
          <w:i/>
          <w:iCs/>
        </w:rPr>
        <w:t xml:space="preserve"> the observed and synthetic datasets. </w:t>
      </w:r>
      <w:r>
        <w:rPr>
          <w:i/>
          <w:iCs/>
        </w:rPr>
        <w:t>Means, standard deviations, and ranges (25th and 75th percentiles</w:t>
      </w:r>
      <w:r>
        <w:t>)</w:t>
      </w:r>
      <w:r>
        <w:rPr>
          <w:i/>
          <w:iCs/>
        </w:rPr>
        <w:t xml:space="preserve"> are shown.</w:t>
      </w:r>
    </w:p>
    <w:p w14:paraId="5740E4CB" w14:textId="77777777" w:rsidR="00341B15" w:rsidRDefault="00341B15" w:rsidP="00341B15"/>
    <w:p w14:paraId="6F961337" w14:textId="77777777" w:rsidR="00341B15" w:rsidRDefault="00341B15" w:rsidP="00341B15">
      <w:r>
        <w:t xml:space="preserve"> </w:t>
      </w:r>
    </w:p>
    <w:p w14:paraId="6B6C0C28" w14:textId="77777777" w:rsidR="00341B15" w:rsidRDefault="00341B15" w:rsidP="00341B15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  <w:noProof/>
        </w:rPr>
        <w:drawing>
          <wp:inline distT="0" distB="0" distL="0" distR="0" wp14:anchorId="65ED30A2" wp14:editId="576F9A35">
            <wp:extent cx="4726745" cy="292240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530" cy="292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6F7BB78C" wp14:editId="783D5CF5">
            <wp:extent cx="4564966" cy="282237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178" cy="282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lastRenderedPageBreak/>
        <w:tab/>
      </w:r>
      <w:r>
        <w:rPr>
          <w:b/>
          <w:bCs/>
          <w:noProof/>
        </w:rPr>
        <w:drawing>
          <wp:inline distT="0" distB="0" distL="0" distR="0" wp14:anchorId="652420CE" wp14:editId="360B7E24">
            <wp:extent cx="6029635" cy="3727938"/>
            <wp:effectExtent l="0" t="0" r="317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547" cy="37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3904" w14:textId="77777777" w:rsidR="00341B15" w:rsidRDefault="00341B15" w:rsidP="00341B15">
      <w:pPr>
        <w:spacing w:after="200"/>
        <w:rPr>
          <w:i/>
          <w:iCs/>
        </w:rPr>
      </w:pPr>
    </w:p>
    <w:p w14:paraId="4E672A3D" w14:textId="77777777" w:rsidR="00341B15" w:rsidRDefault="00341B15" w:rsidP="00341B15">
      <w:pPr>
        <w:spacing w:after="200"/>
      </w:pPr>
    </w:p>
    <w:p w14:paraId="3D284D88" w14:textId="77777777" w:rsidR="0021783A" w:rsidRDefault="00000000"/>
    <w:sectPr w:rsidR="0021783A" w:rsidSect="00BD78FE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3971582"/>
      <w:docPartObj>
        <w:docPartGallery w:val="Page Numbers (Bottom of Page)"/>
        <w:docPartUnique/>
      </w:docPartObj>
    </w:sdtPr>
    <w:sdtContent>
      <w:p w14:paraId="71F2F5DB" w14:textId="77777777" w:rsidR="000D613D" w:rsidRDefault="00000000" w:rsidP="00AA2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CEB70A" w14:textId="77777777" w:rsidR="000D613D" w:rsidRDefault="00000000" w:rsidP="00020B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2230827"/>
      <w:docPartObj>
        <w:docPartGallery w:val="Page Numbers (Bottom of Page)"/>
        <w:docPartUnique/>
      </w:docPartObj>
    </w:sdtPr>
    <w:sdtContent>
      <w:p w14:paraId="668CD34D" w14:textId="77777777" w:rsidR="000D613D" w:rsidRDefault="00000000" w:rsidP="00AA2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933047" w14:textId="77777777" w:rsidR="000D613D" w:rsidRDefault="00000000" w:rsidP="00020B8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15"/>
    <w:rsid w:val="000A5510"/>
    <w:rsid w:val="001137A9"/>
    <w:rsid w:val="001F3988"/>
    <w:rsid w:val="002B1477"/>
    <w:rsid w:val="00341B15"/>
    <w:rsid w:val="006B01F5"/>
    <w:rsid w:val="007911A6"/>
    <w:rsid w:val="00797654"/>
    <w:rsid w:val="0080392E"/>
    <w:rsid w:val="00814397"/>
    <w:rsid w:val="00B35E40"/>
    <w:rsid w:val="00B76779"/>
    <w:rsid w:val="00BD02B1"/>
    <w:rsid w:val="00C448CC"/>
    <w:rsid w:val="00DC670B"/>
    <w:rsid w:val="00DC6CC2"/>
    <w:rsid w:val="00DD4A5D"/>
    <w:rsid w:val="00E519CE"/>
    <w:rsid w:val="00E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763B7"/>
  <w15:chartTrackingRefBased/>
  <w15:docId w15:val="{69439D17-CF44-2D41-B005-D47A4DD6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0B"/>
    <w:pPr>
      <w:spacing w:line="259" w:lineRule="auto"/>
      <w:jc w:val="both"/>
    </w:pPr>
    <w:rPr>
      <w:rFonts w:ascii="Avenir Book" w:hAnsi="Avenir Book"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7A9"/>
    <w:pPr>
      <w:spacing w:before="100" w:beforeAutospacing="1" w:after="100" w:afterAutospacing="1" w:line="480" w:lineRule="auto"/>
    </w:pPr>
  </w:style>
  <w:style w:type="paragraph" w:customStyle="1" w:styleId="Normal1">
    <w:name w:val="Normal1"/>
    <w:rsid w:val="000A5510"/>
    <w:pPr>
      <w:spacing w:line="480" w:lineRule="auto"/>
      <w:jc w:val="both"/>
    </w:pPr>
    <w:rPr>
      <w:rFonts w:ascii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BD02B1"/>
    <w:pPr>
      <w:ind w:left="720"/>
      <w:contextualSpacing/>
    </w:pPr>
    <w:rPr>
      <w:rFonts w:ascii="Century Gothic" w:hAnsi="Century Gothic"/>
    </w:rPr>
  </w:style>
  <w:style w:type="paragraph" w:styleId="Footer">
    <w:name w:val="footer"/>
    <w:basedOn w:val="Normal"/>
    <w:link w:val="FooterChar"/>
    <w:unhideWhenUsed/>
    <w:rsid w:val="00341B15"/>
    <w:pPr>
      <w:tabs>
        <w:tab w:val="center" w:pos="4680"/>
        <w:tab w:val="right" w:pos="9360"/>
      </w:tabs>
      <w:spacing w:line="240" w:lineRule="auto"/>
    </w:pPr>
    <w:rPr>
      <w:color w:val="auto"/>
      <w:szCs w:val="24"/>
    </w:rPr>
  </w:style>
  <w:style w:type="character" w:customStyle="1" w:styleId="FooterChar">
    <w:name w:val="Footer Char"/>
    <w:basedOn w:val="DefaultParagraphFont"/>
    <w:link w:val="Footer"/>
    <w:rsid w:val="00341B15"/>
    <w:rPr>
      <w:rFonts w:ascii="Avenir Book" w:hAnsi="Avenir Book"/>
    </w:rPr>
  </w:style>
  <w:style w:type="table" w:styleId="TableGrid">
    <w:name w:val="Table Grid"/>
    <w:basedOn w:val="TableNormal"/>
    <w:rsid w:val="0034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34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oter" Target="footer2.xml"/><Relationship Id="rId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Zak</dc:creator>
  <cp:keywords/>
  <dc:description/>
  <cp:lastModifiedBy>Paul Zak</cp:lastModifiedBy>
  <cp:revision>1</cp:revision>
  <dcterms:created xsi:type="dcterms:W3CDTF">2023-05-16T16:42:00Z</dcterms:created>
  <dcterms:modified xsi:type="dcterms:W3CDTF">2023-05-16T16:42:00Z</dcterms:modified>
</cp:coreProperties>
</file>