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40" w:rsidRPr="00AC3D5D" w:rsidRDefault="00235340" w:rsidP="00235340">
      <w:pPr>
        <w:spacing w:line="480" w:lineRule="auto"/>
        <w:rPr>
          <w:b/>
          <w:sz w:val="22"/>
        </w:rPr>
      </w:pPr>
      <w:r w:rsidRPr="00AC3D5D">
        <w:rPr>
          <w:b/>
          <w:sz w:val="22"/>
        </w:rPr>
        <w:t>Supplementary materials</w:t>
      </w:r>
    </w:p>
    <w:p w:rsidR="00235340" w:rsidRDefault="006C3532" w:rsidP="00235340">
      <w:pPr>
        <w:spacing w:line="480" w:lineRule="auto"/>
      </w:pPr>
      <w:r>
        <w:t xml:space="preserve">Vuong &amp; Geangu, </w:t>
      </w:r>
      <w:bookmarkStart w:id="0" w:name="_GoBack"/>
      <w:r w:rsidRPr="00402925">
        <w:rPr>
          <w:i/>
        </w:rPr>
        <w:t>Frontiers in Cognition</w:t>
      </w:r>
      <w:bookmarkEnd w:id="0"/>
    </w:p>
    <w:p w:rsidR="006C3532" w:rsidRDefault="006C3532" w:rsidP="00235340">
      <w:pPr>
        <w:spacing w:line="480" w:lineRule="auto"/>
      </w:pPr>
    </w:p>
    <w:p w:rsidR="00235340" w:rsidRDefault="00235340" w:rsidP="00235340">
      <w:pPr>
        <w:spacing w:line="480" w:lineRule="auto"/>
      </w:pPr>
      <w:r w:rsidRPr="00AC3D5D">
        <w:rPr>
          <w:i/>
        </w:rPr>
        <w:t>Literature search.</w:t>
      </w:r>
      <w:r>
        <w:t xml:space="preserve"> We conducted a literature search on PUBMED, Scopus, Medline, </w:t>
      </w:r>
      <w:proofErr w:type="spellStart"/>
      <w:r>
        <w:t>Embase</w:t>
      </w:r>
      <w:proofErr w:type="spellEnd"/>
      <w:r>
        <w:t xml:space="preserve"> and </w:t>
      </w:r>
      <w:proofErr w:type="spellStart"/>
      <w:r>
        <w:t>PsycInfo</w:t>
      </w:r>
      <w:proofErr w:type="spellEnd"/>
      <w:r>
        <w:t xml:space="preserve"> up to October 12, 2022 for articles which investigated emotion processing of body </w:t>
      </w:r>
      <w:r w:rsidRPr="00AC3D5D">
        <w:t>expressions in infants and children.</w:t>
      </w:r>
      <w:r>
        <w:t xml:space="preserve"> The following expression was used to search titles and abstracts:</w:t>
      </w:r>
    </w:p>
    <w:p w:rsidR="00235340" w:rsidRDefault="00235340" w:rsidP="00235340">
      <w:pPr>
        <w:spacing w:line="480" w:lineRule="auto"/>
      </w:pPr>
    </w:p>
    <w:p w:rsidR="00235340" w:rsidRDefault="00235340" w:rsidP="00235340">
      <w:pPr>
        <w:spacing w:line="480" w:lineRule="auto"/>
        <w:ind w:left="720"/>
      </w:pPr>
      <w:r>
        <w:t>[</w:t>
      </w:r>
      <w:proofErr w:type="gramStart"/>
      <w:r w:rsidRPr="00AC3D5D">
        <w:rPr>
          <w:i/>
        </w:rPr>
        <w:t>body</w:t>
      </w:r>
      <w:proofErr w:type="gramEnd"/>
      <w:r>
        <w:t xml:space="preserve"> OR </w:t>
      </w:r>
      <w:r w:rsidRPr="00AC3D5D">
        <w:rPr>
          <w:i/>
        </w:rPr>
        <w:t>body expression(s)</w:t>
      </w:r>
      <w:r>
        <w:t xml:space="preserve"> OR </w:t>
      </w:r>
      <w:r w:rsidRPr="00AC3D5D">
        <w:rPr>
          <w:i/>
        </w:rPr>
        <w:t>biological motion</w:t>
      </w:r>
      <w:r>
        <w:t>] AND</w:t>
      </w:r>
    </w:p>
    <w:p w:rsidR="00235340" w:rsidRDefault="00235340" w:rsidP="00235340">
      <w:pPr>
        <w:spacing w:line="480" w:lineRule="auto"/>
        <w:ind w:left="720"/>
      </w:pPr>
      <w:r>
        <w:t>[</w:t>
      </w:r>
      <w:proofErr w:type="gramStart"/>
      <w:r w:rsidRPr="00AC3D5D">
        <w:rPr>
          <w:i/>
        </w:rPr>
        <w:t>discrimination</w:t>
      </w:r>
      <w:proofErr w:type="gramEnd"/>
      <w:r>
        <w:t xml:space="preserve"> OR </w:t>
      </w:r>
      <w:r w:rsidRPr="00AC3D5D">
        <w:rPr>
          <w:i/>
        </w:rPr>
        <w:t>perception</w:t>
      </w:r>
      <w:r>
        <w:t xml:space="preserve"> OR </w:t>
      </w:r>
      <w:r w:rsidRPr="00AC3D5D">
        <w:rPr>
          <w:i/>
        </w:rPr>
        <w:t>identification</w:t>
      </w:r>
      <w:r>
        <w:t xml:space="preserve"> OR </w:t>
      </w:r>
      <w:r w:rsidRPr="00AC3D5D">
        <w:rPr>
          <w:i/>
        </w:rPr>
        <w:t>recognition</w:t>
      </w:r>
      <w:r>
        <w:t xml:space="preserve"> OR </w:t>
      </w:r>
      <w:r w:rsidRPr="00AC3D5D">
        <w:rPr>
          <w:i/>
        </w:rPr>
        <w:t>categorization</w:t>
      </w:r>
      <w:r>
        <w:t xml:space="preserve"> OR </w:t>
      </w:r>
      <w:r w:rsidRPr="00AC3D5D">
        <w:rPr>
          <w:i/>
        </w:rPr>
        <w:t>understanding</w:t>
      </w:r>
      <w:r>
        <w:t xml:space="preserve"> OR </w:t>
      </w:r>
      <w:r w:rsidRPr="00AC3D5D">
        <w:rPr>
          <w:i/>
        </w:rPr>
        <w:t>process</w:t>
      </w:r>
      <w:r>
        <w:t>] AND</w:t>
      </w:r>
    </w:p>
    <w:p w:rsidR="00235340" w:rsidRDefault="00235340" w:rsidP="00235340">
      <w:pPr>
        <w:spacing w:line="480" w:lineRule="auto"/>
        <w:ind w:left="720"/>
      </w:pPr>
      <w:r>
        <w:t>[</w:t>
      </w:r>
      <w:proofErr w:type="gramStart"/>
      <w:r w:rsidRPr="00AC3D5D">
        <w:rPr>
          <w:i/>
        </w:rPr>
        <w:t>emotion(s)</w:t>
      </w:r>
      <w:proofErr w:type="gramEnd"/>
      <w:r>
        <w:t xml:space="preserve"> OR </w:t>
      </w:r>
      <w:r w:rsidRPr="00AC3D5D">
        <w:rPr>
          <w:i/>
        </w:rPr>
        <w:t>emotional</w:t>
      </w:r>
      <w:r>
        <w:t>] AND</w:t>
      </w:r>
    </w:p>
    <w:p w:rsidR="00235340" w:rsidRDefault="00235340" w:rsidP="00235340">
      <w:pPr>
        <w:spacing w:line="480" w:lineRule="auto"/>
        <w:ind w:left="720"/>
      </w:pPr>
      <w:r>
        <w:t>[</w:t>
      </w:r>
      <w:proofErr w:type="gramStart"/>
      <w:r w:rsidRPr="00AC3D5D">
        <w:rPr>
          <w:i/>
        </w:rPr>
        <w:t>infant(s)</w:t>
      </w:r>
      <w:proofErr w:type="gramEnd"/>
      <w:r>
        <w:t xml:space="preserve"> OR </w:t>
      </w:r>
      <w:r w:rsidRPr="00AC3D5D">
        <w:rPr>
          <w:i/>
        </w:rPr>
        <w:t>child</w:t>
      </w:r>
      <w:r>
        <w:t xml:space="preserve"> OR </w:t>
      </w:r>
      <w:r w:rsidRPr="00AC3D5D">
        <w:rPr>
          <w:i/>
        </w:rPr>
        <w:t>children</w:t>
      </w:r>
      <w:r>
        <w:t>]</w:t>
      </w:r>
    </w:p>
    <w:p w:rsidR="00235340" w:rsidRDefault="00235340" w:rsidP="00235340">
      <w:pPr>
        <w:spacing w:line="480" w:lineRule="auto"/>
        <w:ind w:left="720"/>
      </w:pPr>
    </w:p>
    <w:p w:rsidR="00235340" w:rsidRDefault="00235340" w:rsidP="00235340">
      <w:pPr>
        <w:spacing w:line="480" w:lineRule="auto"/>
      </w:pPr>
      <w:r>
        <w:t xml:space="preserve">In addition, we used each database’s functionality (when available) to limit searches to (1) human studies, (2) English language, and (3) our targeted age group (i.e., infant, child and pre-school child). </w:t>
      </w:r>
      <w:r w:rsidR="002961A0">
        <w:t xml:space="preserve">A total of 38 articles were included in the mini-review, 22 of which were included in our meta-analyses. </w:t>
      </w:r>
      <w:r w:rsidR="00EE3553">
        <w:t>Figure S1 illustrates the searching and screening process carried out by QV</w:t>
      </w:r>
      <w:r w:rsidR="005F205B">
        <w:t>, in consultation with EG</w:t>
      </w:r>
      <w:r w:rsidR="00EE3553">
        <w:t>.</w:t>
      </w:r>
    </w:p>
    <w:p w:rsidR="00235340" w:rsidRDefault="00235340" w:rsidP="00235340">
      <w:pPr>
        <w:spacing w:line="480" w:lineRule="auto"/>
      </w:pPr>
    </w:p>
    <w:p w:rsidR="009D42E5" w:rsidRDefault="008F6FF6" w:rsidP="00235340">
      <w:pPr>
        <w:spacing w:line="480" w:lineRule="auto"/>
      </w:pPr>
      <w:r w:rsidRPr="008F6FF6">
        <w:rPr>
          <w:noProof/>
        </w:rPr>
        <w:lastRenderedPageBreak/>
        <w:drawing>
          <wp:inline distT="0" distB="0" distL="0" distR="0" wp14:anchorId="39567447" wp14:editId="0CD8D049">
            <wp:extent cx="6120130" cy="4107180"/>
            <wp:effectExtent l="0" t="0" r="0" b="76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2E5" w:rsidRPr="005F205B" w:rsidRDefault="009D42E5" w:rsidP="00235340">
      <w:pPr>
        <w:spacing w:line="480" w:lineRule="auto"/>
      </w:pPr>
      <w:r w:rsidRPr="005F205B">
        <w:rPr>
          <w:b/>
        </w:rPr>
        <w:t>Figure S1</w:t>
      </w:r>
      <w:r w:rsidR="005F205B" w:rsidRPr="005F205B">
        <w:rPr>
          <w:b/>
        </w:rPr>
        <w:t>.</w:t>
      </w:r>
      <w:r w:rsidR="005F205B">
        <w:t xml:space="preserve"> </w:t>
      </w:r>
      <w:r w:rsidR="007838A0" w:rsidRPr="005F205B">
        <w:t xml:space="preserve">Flow chart illustrating the </w:t>
      </w:r>
      <w:r w:rsidR="003C5E4E">
        <w:t>searching and screening process</w:t>
      </w:r>
    </w:p>
    <w:p w:rsidR="009D42E5" w:rsidRDefault="009D42E5" w:rsidP="00235340">
      <w:pPr>
        <w:spacing w:line="480" w:lineRule="auto"/>
      </w:pPr>
    </w:p>
    <w:p w:rsidR="00235340" w:rsidRDefault="00235340" w:rsidP="00235340">
      <w:pPr>
        <w:spacing w:line="480" w:lineRule="auto"/>
      </w:pPr>
      <w:r w:rsidRPr="00AC3D5D">
        <w:rPr>
          <w:i/>
        </w:rPr>
        <w:t>Meta-analysis</w:t>
      </w:r>
      <w:r w:rsidRPr="00AC3D5D">
        <w:t xml:space="preserve">. We used </w:t>
      </w:r>
      <w:r>
        <w:t xml:space="preserve">3 </w:t>
      </w:r>
      <w:r w:rsidRPr="00AC3D5D">
        <w:t xml:space="preserve">criteria for including </w:t>
      </w:r>
      <w:r>
        <w:t xml:space="preserve">an article </w:t>
      </w:r>
      <w:r w:rsidRPr="00AC3D5D">
        <w:t xml:space="preserve">in the meta-analysis: (1) was an experimental study; (2) </w:t>
      </w:r>
      <w:r>
        <w:t>included a typically developing age group within our age range (up to 7.5-years-old); included body stimuli in the study;</w:t>
      </w:r>
      <w:r w:rsidRPr="00AC3D5D">
        <w:t xml:space="preserve"> and (</w:t>
      </w:r>
      <w:r>
        <w:t>3</w:t>
      </w:r>
      <w:r w:rsidRPr="00AC3D5D">
        <w:t>) provided sufficient information to extract effect sizes</w:t>
      </w:r>
      <w:r w:rsidR="00C97747">
        <w:t xml:space="preserve"> (sample size, mean and standard deviation for different body expressions)</w:t>
      </w:r>
      <w:r w:rsidRPr="00AC3D5D">
        <w:t xml:space="preserve">. </w:t>
      </w:r>
      <w:r>
        <w:t>Twenty-two articles met these criteria.</w:t>
      </w:r>
      <w:r w:rsidRPr="00AC3D5D">
        <w:t xml:space="preserve"> We used a plot digitizer (https://automeris.io/WebPlotDigitizer/index.html) to extract </w:t>
      </w:r>
      <w:r>
        <w:t>the mean and standard deviation</w:t>
      </w:r>
      <w:r w:rsidRPr="00AC3D5D">
        <w:t xml:space="preserve"> needed from descriptive data plots for </w:t>
      </w:r>
      <w:r>
        <w:t>7</w:t>
      </w:r>
      <w:r w:rsidRPr="00AC3D5D">
        <w:t xml:space="preserve"> </w:t>
      </w:r>
      <w:r>
        <w:t>articles (</w:t>
      </w:r>
      <w:proofErr w:type="spellStart"/>
      <w:r>
        <w:t>Krol</w:t>
      </w:r>
      <w:proofErr w:type="spellEnd"/>
      <w:r>
        <w:t xml:space="preserve"> 2015; </w:t>
      </w:r>
      <w:proofErr w:type="spellStart"/>
      <w:r>
        <w:t>Nicolina</w:t>
      </w:r>
      <w:proofErr w:type="spellEnd"/>
      <w:r>
        <w:t xml:space="preserve"> 2019; </w:t>
      </w:r>
      <w:proofErr w:type="spellStart"/>
      <w:r>
        <w:t>Ogren</w:t>
      </w:r>
      <w:proofErr w:type="spellEnd"/>
      <w:r>
        <w:t xml:space="preserve"> 2019; Ross 2021; </w:t>
      </w:r>
      <w:proofErr w:type="spellStart"/>
      <w:r>
        <w:t>Vieillard</w:t>
      </w:r>
      <w:proofErr w:type="spellEnd"/>
      <w:r>
        <w:t xml:space="preserve"> 2009; </w:t>
      </w:r>
      <w:proofErr w:type="spellStart"/>
      <w:r>
        <w:t>Witkower</w:t>
      </w:r>
      <w:proofErr w:type="spellEnd"/>
      <w:r>
        <w:t xml:space="preserve"> 2021; Yang 2022)</w:t>
      </w:r>
      <w:r w:rsidRPr="00AC3D5D">
        <w:t>.</w:t>
      </w:r>
      <w:r>
        <w:t xml:space="preserve"> The data and R scripts can be found at: </w:t>
      </w:r>
      <w:r w:rsidRPr="002B21EE">
        <w:t>https://osf.io/tyg6n/</w:t>
      </w:r>
    </w:p>
    <w:p w:rsidR="00235340" w:rsidRDefault="00235340" w:rsidP="00235340">
      <w:pPr>
        <w:spacing w:line="480" w:lineRule="auto"/>
        <w:rPr>
          <w:color w:val="FF0000"/>
        </w:rPr>
      </w:pPr>
      <w:r w:rsidRPr="00BE5602">
        <w:rPr>
          <w:noProof/>
          <w:color w:val="FF0000"/>
        </w:rPr>
        <w:lastRenderedPageBreak/>
        <w:drawing>
          <wp:inline distT="0" distB="0" distL="0" distR="0" wp14:anchorId="76487D1D" wp14:editId="55F4CA0E">
            <wp:extent cx="6120130" cy="7316470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40" w:rsidRDefault="00235340" w:rsidP="00235340">
      <w:pPr>
        <w:spacing w:line="360" w:lineRule="auto"/>
        <w:rPr>
          <w:sz w:val="22"/>
        </w:rPr>
      </w:pPr>
      <w:r w:rsidRPr="00D07568">
        <w:rPr>
          <w:b/>
          <w:sz w:val="22"/>
        </w:rPr>
        <w:t>Figure S</w:t>
      </w:r>
      <w:r w:rsidR="005F205B">
        <w:rPr>
          <w:b/>
          <w:sz w:val="22"/>
        </w:rPr>
        <w:t>2</w:t>
      </w:r>
      <w:r w:rsidRPr="00D07568">
        <w:rPr>
          <w:b/>
          <w:sz w:val="22"/>
        </w:rPr>
        <w:t>.</w:t>
      </w:r>
      <w:r w:rsidRPr="00D07568">
        <w:rPr>
          <w:sz w:val="22"/>
        </w:rPr>
        <w:t xml:space="preserve"> Scatterplots of the meta-regression for each emotion pair</w:t>
      </w:r>
    </w:p>
    <w:p w:rsidR="00235340" w:rsidRDefault="00235340" w:rsidP="00235340">
      <w:pPr>
        <w:spacing w:line="360" w:lineRule="auto"/>
      </w:pPr>
      <w:r>
        <w:rPr>
          <w:sz w:val="22"/>
        </w:rPr>
        <w:t xml:space="preserve">Each scatterplot presents the correlation between effect size and mean age (in months). Each effect size is represented by a circle, with the circle diameter representing the weight of the individual data. The solid line represents the regression line (line of best fit). The </w:t>
      </w:r>
      <w:r w:rsidRPr="00AC3D5D">
        <w:rPr>
          <w:i/>
          <w:sz w:val="22"/>
        </w:rPr>
        <w:t>p</w:t>
      </w:r>
      <w:r>
        <w:rPr>
          <w:sz w:val="22"/>
        </w:rPr>
        <w:t xml:space="preserve">-value indicates whether months was a significant predictor of effect size or not. </w:t>
      </w:r>
      <w:r w:rsidRPr="00D07568">
        <w:rPr>
          <w:i/>
          <w:sz w:val="22"/>
        </w:rPr>
        <w:t>Note.</w:t>
      </w:r>
      <w:r w:rsidRPr="00D07568">
        <w:rPr>
          <w:sz w:val="22"/>
        </w:rPr>
        <w:t xml:space="preserve"> There was no regression fit for </w:t>
      </w:r>
      <w:r>
        <w:rPr>
          <w:i/>
          <w:sz w:val="22"/>
        </w:rPr>
        <w:t>s</w:t>
      </w:r>
      <w:r w:rsidRPr="00D07568">
        <w:rPr>
          <w:i/>
          <w:sz w:val="22"/>
        </w:rPr>
        <w:t>ad</w:t>
      </w:r>
      <w:r w:rsidRPr="00D07568">
        <w:rPr>
          <w:sz w:val="22"/>
        </w:rPr>
        <w:t xml:space="preserve"> vs </w:t>
      </w:r>
      <w:r>
        <w:rPr>
          <w:i/>
          <w:sz w:val="22"/>
        </w:rPr>
        <w:t>n</w:t>
      </w:r>
      <w:r w:rsidRPr="00D07568">
        <w:rPr>
          <w:i/>
          <w:sz w:val="22"/>
        </w:rPr>
        <w:t>eutral</w:t>
      </w:r>
      <w:r w:rsidRPr="00D07568">
        <w:rPr>
          <w:sz w:val="22"/>
        </w:rPr>
        <w:t xml:space="preserve"> (2 effect sizes).</w:t>
      </w:r>
    </w:p>
    <w:p w:rsidR="00A4689E" w:rsidRDefault="00A4689E"/>
    <w:sectPr w:rsidR="00A4689E" w:rsidSect="002353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0"/>
    <w:rsid w:val="00235340"/>
    <w:rsid w:val="002961A0"/>
    <w:rsid w:val="003C5E4E"/>
    <w:rsid w:val="00402925"/>
    <w:rsid w:val="004602AA"/>
    <w:rsid w:val="005F205B"/>
    <w:rsid w:val="006C3532"/>
    <w:rsid w:val="007838A0"/>
    <w:rsid w:val="008F6FF6"/>
    <w:rsid w:val="009D42E5"/>
    <w:rsid w:val="00A4689E"/>
    <w:rsid w:val="00B744C6"/>
    <w:rsid w:val="00C97747"/>
    <w:rsid w:val="00E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B7C80-C4DB-4BF6-997C-4FEC8B32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3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343</Words>
  <Characters>1970</Characters>
  <Application>Microsoft Office Word</Application>
  <DocSecurity>0</DocSecurity>
  <Lines>38</Lines>
  <Paragraphs>14</Paragraphs>
  <ScaleCrop>false</ScaleCrop>
  <Company>Newcastle University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Vuong</dc:creator>
  <cp:keywords/>
  <dc:description/>
  <cp:lastModifiedBy>Quoc Vuong</cp:lastModifiedBy>
  <cp:revision>11</cp:revision>
  <dcterms:created xsi:type="dcterms:W3CDTF">2023-01-31T08:07:00Z</dcterms:created>
  <dcterms:modified xsi:type="dcterms:W3CDTF">2023-03-18T12:48:00Z</dcterms:modified>
</cp:coreProperties>
</file>