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E4EB" w14:textId="77777777" w:rsidR="00DA73AD" w:rsidRPr="0097169C" w:rsidRDefault="00DA73AD" w:rsidP="00DA73AD">
      <w:pPr>
        <w:pStyle w:val="Title"/>
        <w:rPr>
          <w:lang w:val="en-GB"/>
        </w:rPr>
      </w:pPr>
      <w:r w:rsidRPr="0097169C">
        <w:rPr>
          <w:lang w:val="en-GB"/>
        </w:rPr>
        <w:t>Characterisation of antimicrobial usage in Danish pigs in 2020</w:t>
      </w:r>
    </w:p>
    <w:p w14:paraId="2C41B110" w14:textId="1C8A5FA0" w:rsidR="00DA73AD" w:rsidRPr="00DE647F" w:rsidRDefault="00DA73AD" w:rsidP="00DA73AD">
      <w:pPr>
        <w:pStyle w:val="AuthorList"/>
        <w:rPr>
          <w:sz w:val="22"/>
          <w:szCs w:val="22"/>
          <w:lang w:val="en-GB"/>
        </w:rPr>
      </w:pPr>
      <w:r w:rsidRPr="00DE647F">
        <w:rPr>
          <w:sz w:val="22"/>
          <w:szCs w:val="22"/>
          <w:lang w:val="en-GB"/>
        </w:rPr>
        <w:t>Pedro Moura, Marianne Sandberg, Birgitte Borck Høg, João Niza-Ribeiro, Elisabeth Okholm Nielsen, Lis Alban</w:t>
      </w:r>
      <w:r w:rsidR="00DE647F">
        <w:rPr>
          <w:sz w:val="22"/>
          <w:szCs w:val="22"/>
          <w:lang w:val="en-GB"/>
        </w:rPr>
        <w:t>*</w:t>
      </w:r>
    </w:p>
    <w:p w14:paraId="19875D28" w14:textId="29A791A0" w:rsidR="00DE647F" w:rsidRPr="0097169C" w:rsidRDefault="00DE647F" w:rsidP="00DE647F">
      <w:pPr>
        <w:spacing w:before="240" w:after="0"/>
        <w:rPr>
          <w:rFonts w:cs="Times New Roman"/>
          <w:b/>
          <w:szCs w:val="24"/>
        </w:rPr>
      </w:pPr>
      <w:r w:rsidRPr="0097169C">
        <w:rPr>
          <w:rFonts w:cs="Times New Roman"/>
          <w:b/>
          <w:szCs w:val="24"/>
        </w:rPr>
        <w:t xml:space="preserve">* </w:t>
      </w:r>
      <w:r w:rsidRPr="0097169C">
        <w:rPr>
          <w:rFonts w:cs="Times New Roman"/>
          <w:szCs w:val="24"/>
        </w:rPr>
        <w:t>Corresponding Author</w:t>
      </w:r>
      <w:r>
        <w:rPr>
          <w:rFonts w:cs="Times New Roman"/>
          <w:szCs w:val="24"/>
        </w:rPr>
        <w:t xml:space="preserve">: </w:t>
      </w:r>
      <w:r w:rsidRPr="0097169C">
        <w:rPr>
          <w:rFonts w:cs="Times New Roman"/>
          <w:szCs w:val="24"/>
        </w:rPr>
        <w:t xml:space="preserve">lia@lf.dk </w:t>
      </w:r>
    </w:p>
    <w:p w14:paraId="158CE16C" w14:textId="77777777" w:rsidR="008007F6" w:rsidRPr="00DE647F" w:rsidRDefault="008007F6" w:rsidP="00FD3E09">
      <w:pPr>
        <w:pStyle w:val="NormalWeb"/>
        <w:shd w:val="clear" w:color="auto" w:fill="FFFFFF" w:themeFill="background1"/>
        <w:spacing w:before="0" w:beforeAutospacing="0" w:after="360" w:afterAutospacing="0"/>
        <w:rPr>
          <w:rFonts w:ascii="Arial" w:hAnsi="Arial" w:cs="Arial"/>
          <w:b/>
          <w:bCs/>
          <w:color w:val="1B3051"/>
          <w:sz w:val="36"/>
          <w:szCs w:val="36"/>
        </w:rPr>
      </w:pPr>
    </w:p>
    <w:p w14:paraId="4C94656D" w14:textId="71E9130E" w:rsidR="009C7064" w:rsidRPr="00DE647F" w:rsidRDefault="003A6328" w:rsidP="00FD3E09">
      <w:pPr>
        <w:pStyle w:val="NormalWeb"/>
        <w:shd w:val="clear" w:color="auto" w:fill="FFFFFF" w:themeFill="background1"/>
        <w:spacing w:before="0" w:beforeAutospacing="0" w:after="360" w:afterAutospacing="0"/>
        <w:rPr>
          <w:b/>
          <w:bCs/>
          <w:color w:val="1B3051"/>
          <w:sz w:val="28"/>
          <w:szCs w:val="28"/>
        </w:rPr>
      </w:pPr>
      <w:r w:rsidRPr="00DE647F">
        <w:rPr>
          <w:b/>
          <w:bCs/>
          <w:color w:val="1B3051"/>
          <w:sz w:val="28"/>
          <w:szCs w:val="28"/>
        </w:rPr>
        <w:t>Supplementary material</w:t>
      </w:r>
    </w:p>
    <w:p w14:paraId="02326FE5" w14:textId="48CE95B1" w:rsidR="009C7064" w:rsidRDefault="009C7064" w:rsidP="00FD3E09">
      <w:pPr>
        <w:pStyle w:val="NormalWeb"/>
        <w:shd w:val="clear" w:color="auto" w:fill="FFFFFF" w:themeFill="background1"/>
        <w:spacing w:before="0" w:beforeAutospacing="0" w:after="360" w:afterAutospacing="0"/>
        <w:rPr>
          <w:noProof/>
          <w:lang w:eastAsia="en-NZ"/>
        </w:rPr>
      </w:pPr>
      <w:r w:rsidRPr="00CB010A">
        <w:rPr>
          <w:noProof/>
          <w:lang w:eastAsia="en-NZ"/>
        </w:rPr>
        <w:drawing>
          <wp:inline distT="0" distB="0" distL="0" distR="0" wp14:anchorId="39962CDE" wp14:editId="541B0FC4">
            <wp:extent cx="5400040" cy="2997200"/>
            <wp:effectExtent l="0" t="0" r="0" b="0"/>
            <wp:docPr id="4"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4"/>
                    <a:stretch>
                      <a:fillRect/>
                    </a:stretch>
                  </pic:blipFill>
                  <pic:spPr>
                    <a:xfrm>
                      <a:off x="0" y="0"/>
                      <a:ext cx="5400040" cy="2997200"/>
                    </a:xfrm>
                    <a:prstGeom prst="rect">
                      <a:avLst/>
                    </a:prstGeom>
                  </pic:spPr>
                </pic:pic>
              </a:graphicData>
            </a:graphic>
          </wp:inline>
        </w:drawing>
      </w:r>
    </w:p>
    <w:p w14:paraId="12D1215F" w14:textId="52EE79CA" w:rsidR="009C7064" w:rsidRPr="00DA73AD" w:rsidRDefault="009C7064" w:rsidP="00DA73AD">
      <w:pPr>
        <w:spacing w:line="276" w:lineRule="auto"/>
        <w:rPr>
          <w:rFonts w:ascii="Times New Roman" w:hAnsi="Times New Roman" w:cs="Times New Roman"/>
          <w:b/>
          <w:bCs/>
          <w:sz w:val="24"/>
          <w:szCs w:val="24"/>
        </w:rPr>
      </w:pPr>
      <w:r w:rsidRPr="00DA73AD">
        <w:rPr>
          <w:rFonts w:ascii="Times New Roman" w:hAnsi="Times New Roman" w:cs="Times New Roman"/>
          <w:b/>
          <w:bCs/>
          <w:sz w:val="24"/>
          <w:szCs w:val="24"/>
        </w:rPr>
        <w:t>Figure S1</w:t>
      </w:r>
      <w:r w:rsidRPr="00DA73AD">
        <w:rPr>
          <w:rFonts w:ascii="Times New Roman" w:hAnsi="Times New Roman" w:cs="Times New Roman"/>
          <w:sz w:val="24"/>
          <w:szCs w:val="24"/>
        </w:rPr>
        <w:t>:</w:t>
      </w:r>
      <w:r w:rsidRPr="00DA73AD">
        <w:rPr>
          <w:rFonts w:ascii="Arial" w:hAnsi="Arial" w:cs="Arial"/>
          <w:sz w:val="24"/>
          <w:szCs w:val="24"/>
        </w:rPr>
        <w:t xml:space="preserve"> </w:t>
      </w:r>
      <w:r w:rsidRPr="00DA73AD">
        <w:rPr>
          <w:rFonts w:ascii="Times New Roman" w:hAnsi="Times New Roman" w:cs="Times New Roman"/>
          <w:sz w:val="24"/>
          <w:szCs w:val="24"/>
        </w:rPr>
        <w:t xml:space="preserve">Sales of specific vaccines for Danish pig herds in the period from 2005 to 2020 Source: VetStat; data from 2016 were not available. Vaccination against: APP = </w:t>
      </w:r>
      <w:r w:rsidRPr="00DA73AD">
        <w:rPr>
          <w:rFonts w:ascii="Times New Roman" w:hAnsi="Times New Roman" w:cs="Times New Roman"/>
          <w:i/>
          <w:sz w:val="24"/>
          <w:szCs w:val="24"/>
        </w:rPr>
        <w:t>Actinobacillus pleuropneumoniae</w:t>
      </w:r>
      <w:r w:rsidRPr="00DA73AD">
        <w:rPr>
          <w:rFonts w:ascii="Times New Roman" w:hAnsi="Times New Roman" w:cs="Times New Roman"/>
          <w:sz w:val="24"/>
          <w:szCs w:val="24"/>
        </w:rPr>
        <w:t xml:space="preserve">, ECOLI = </w:t>
      </w:r>
      <w:r w:rsidRPr="00DA73AD">
        <w:rPr>
          <w:rFonts w:ascii="Times New Roman" w:hAnsi="Times New Roman" w:cs="Times New Roman"/>
          <w:i/>
          <w:sz w:val="24"/>
          <w:szCs w:val="24"/>
        </w:rPr>
        <w:t>Escherichia coli</w:t>
      </w:r>
      <w:r w:rsidRPr="00DA73AD">
        <w:rPr>
          <w:rFonts w:ascii="Times New Roman" w:hAnsi="Times New Roman" w:cs="Times New Roman"/>
          <w:sz w:val="24"/>
          <w:szCs w:val="24"/>
        </w:rPr>
        <w:t xml:space="preserve">, Lawsonia = </w:t>
      </w:r>
      <w:r w:rsidRPr="00DA73AD">
        <w:rPr>
          <w:rFonts w:ascii="Times New Roman" w:hAnsi="Times New Roman" w:cs="Times New Roman"/>
          <w:i/>
          <w:sz w:val="24"/>
          <w:szCs w:val="24"/>
        </w:rPr>
        <w:t>Lawsonia intracellularis</w:t>
      </w:r>
      <w:r w:rsidRPr="00DA73AD">
        <w:rPr>
          <w:rFonts w:ascii="Times New Roman" w:hAnsi="Times New Roman" w:cs="Times New Roman"/>
          <w:sz w:val="24"/>
          <w:szCs w:val="24"/>
        </w:rPr>
        <w:t xml:space="preserve">, </w:t>
      </w:r>
      <w:r w:rsidRPr="00DA73AD">
        <w:rPr>
          <w:rFonts w:ascii="Times New Roman" w:hAnsi="Times New Roman" w:cs="Times New Roman"/>
          <w:i/>
          <w:sz w:val="24"/>
          <w:szCs w:val="24"/>
        </w:rPr>
        <w:t>Mycoplasma</w:t>
      </w:r>
      <w:r w:rsidRPr="00DA73AD">
        <w:rPr>
          <w:rFonts w:ascii="Times New Roman" w:hAnsi="Times New Roman" w:cs="Times New Roman"/>
          <w:sz w:val="24"/>
          <w:szCs w:val="24"/>
        </w:rPr>
        <w:t xml:space="preserve"> = </w:t>
      </w:r>
      <w:r w:rsidRPr="00DA73AD">
        <w:rPr>
          <w:rFonts w:ascii="Times New Roman" w:hAnsi="Times New Roman" w:cs="Times New Roman"/>
          <w:i/>
          <w:sz w:val="24"/>
          <w:szCs w:val="24"/>
        </w:rPr>
        <w:t>Mycoplasma hyopneumoniae</w:t>
      </w:r>
      <w:r w:rsidRPr="00DA73AD">
        <w:rPr>
          <w:rFonts w:ascii="Times New Roman" w:hAnsi="Times New Roman" w:cs="Times New Roman"/>
          <w:sz w:val="24"/>
          <w:szCs w:val="24"/>
        </w:rPr>
        <w:t xml:space="preserve">, PCV2 = Porcine circovirus, PRRS =  Porcine reproductive and respiratory syndrome. </w:t>
      </w:r>
    </w:p>
    <w:p w14:paraId="71ACE634" w14:textId="77777777" w:rsidR="002D3929" w:rsidRDefault="002D3929" w:rsidP="002D3929">
      <w:pPr>
        <w:pStyle w:val="NoSpacing"/>
        <w:rPr>
          <w:rFonts w:cs="Times New Roman"/>
          <w:b/>
          <w:bCs/>
          <w:szCs w:val="24"/>
          <w:lang w:val="en-GB"/>
        </w:rPr>
      </w:pPr>
    </w:p>
    <w:p w14:paraId="04D9674D" w14:textId="77777777" w:rsidR="002D3929" w:rsidRDefault="002D3929" w:rsidP="002D3929">
      <w:pPr>
        <w:pStyle w:val="NoSpacing"/>
        <w:rPr>
          <w:rFonts w:cs="Times New Roman"/>
          <w:b/>
          <w:bCs/>
          <w:szCs w:val="24"/>
          <w:lang w:val="en-GB"/>
        </w:rPr>
      </w:pPr>
    </w:p>
    <w:p w14:paraId="362FA482" w14:textId="77777777" w:rsidR="002D3929" w:rsidRDefault="002D3929" w:rsidP="002D3929">
      <w:pPr>
        <w:pStyle w:val="NoSpacing"/>
        <w:rPr>
          <w:rFonts w:cs="Times New Roman"/>
          <w:b/>
          <w:bCs/>
          <w:szCs w:val="24"/>
          <w:lang w:val="en-GB"/>
        </w:rPr>
      </w:pPr>
    </w:p>
    <w:p w14:paraId="556C6868" w14:textId="77777777" w:rsidR="002D3929" w:rsidRDefault="002D3929" w:rsidP="002D3929">
      <w:pPr>
        <w:pStyle w:val="NoSpacing"/>
        <w:rPr>
          <w:rFonts w:cs="Times New Roman"/>
          <w:b/>
          <w:bCs/>
          <w:szCs w:val="24"/>
          <w:lang w:val="en-GB"/>
        </w:rPr>
      </w:pPr>
    </w:p>
    <w:p w14:paraId="63569836" w14:textId="77777777" w:rsidR="002D3929" w:rsidRDefault="002D3929" w:rsidP="002D3929">
      <w:pPr>
        <w:pStyle w:val="NoSpacing"/>
        <w:rPr>
          <w:rFonts w:cs="Times New Roman"/>
          <w:b/>
          <w:bCs/>
          <w:szCs w:val="24"/>
          <w:lang w:val="en-GB"/>
        </w:rPr>
      </w:pPr>
    </w:p>
    <w:p w14:paraId="660AF8C4" w14:textId="0BF4680F" w:rsidR="002D3929" w:rsidRDefault="002D3929" w:rsidP="002D3929">
      <w:pPr>
        <w:pStyle w:val="NoSpacing"/>
        <w:rPr>
          <w:rFonts w:cs="Times New Roman"/>
          <w:b/>
          <w:bCs/>
          <w:szCs w:val="24"/>
          <w:lang w:val="en-GB"/>
        </w:rPr>
      </w:pPr>
    </w:p>
    <w:p w14:paraId="3A48CF15" w14:textId="163D24FC" w:rsidR="00DA73AD" w:rsidRDefault="00DA73AD" w:rsidP="002D3929">
      <w:pPr>
        <w:pStyle w:val="NoSpacing"/>
        <w:rPr>
          <w:rFonts w:cs="Times New Roman"/>
          <w:b/>
          <w:bCs/>
          <w:szCs w:val="24"/>
          <w:lang w:val="en-GB"/>
        </w:rPr>
      </w:pPr>
    </w:p>
    <w:p w14:paraId="42C08E8B" w14:textId="702950C5" w:rsidR="00DA73AD" w:rsidRDefault="00DA73AD" w:rsidP="002D3929">
      <w:pPr>
        <w:pStyle w:val="NoSpacing"/>
        <w:rPr>
          <w:rFonts w:cs="Times New Roman"/>
          <w:b/>
          <w:bCs/>
          <w:szCs w:val="24"/>
          <w:lang w:val="en-GB"/>
        </w:rPr>
      </w:pPr>
    </w:p>
    <w:p w14:paraId="7C0C9371" w14:textId="09815C40" w:rsidR="00DA73AD" w:rsidRDefault="00DA73AD" w:rsidP="002D3929">
      <w:pPr>
        <w:pStyle w:val="NoSpacing"/>
        <w:rPr>
          <w:rFonts w:cs="Times New Roman"/>
          <w:b/>
          <w:bCs/>
          <w:szCs w:val="24"/>
          <w:lang w:val="en-GB"/>
        </w:rPr>
      </w:pPr>
    </w:p>
    <w:p w14:paraId="42BCC304" w14:textId="77777777" w:rsidR="00DA73AD" w:rsidRDefault="00DA73AD" w:rsidP="002D3929">
      <w:pPr>
        <w:pStyle w:val="NoSpacing"/>
        <w:rPr>
          <w:rFonts w:cs="Times New Roman"/>
          <w:b/>
          <w:bCs/>
          <w:szCs w:val="24"/>
          <w:lang w:val="en-GB"/>
        </w:rPr>
      </w:pPr>
    </w:p>
    <w:p w14:paraId="7E0B7F1A" w14:textId="77777777" w:rsidR="002D3929" w:rsidRDefault="002D3929" w:rsidP="002D3929">
      <w:pPr>
        <w:pStyle w:val="NoSpacing"/>
        <w:rPr>
          <w:rFonts w:cs="Times New Roman"/>
          <w:b/>
          <w:bCs/>
          <w:szCs w:val="24"/>
          <w:lang w:val="en-GB"/>
        </w:rPr>
      </w:pPr>
    </w:p>
    <w:p w14:paraId="292FE189" w14:textId="77777777" w:rsidR="002D3929" w:rsidRDefault="002D3929" w:rsidP="002D3929">
      <w:pPr>
        <w:pStyle w:val="NoSpacing"/>
        <w:rPr>
          <w:rFonts w:cs="Times New Roman"/>
          <w:b/>
          <w:bCs/>
          <w:szCs w:val="24"/>
          <w:lang w:val="en-GB"/>
        </w:rPr>
      </w:pPr>
    </w:p>
    <w:p w14:paraId="26494401" w14:textId="77777777" w:rsidR="002D3929" w:rsidRDefault="002D3929" w:rsidP="002D3929">
      <w:pPr>
        <w:pStyle w:val="NoSpacing"/>
        <w:rPr>
          <w:rFonts w:cs="Times New Roman"/>
          <w:b/>
          <w:bCs/>
          <w:szCs w:val="24"/>
          <w:lang w:val="en-GB"/>
        </w:rPr>
      </w:pPr>
    </w:p>
    <w:p w14:paraId="7521540B" w14:textId="0F90D1FF" w:rsidR="002D3929" w:rsidRDefault="002D3929" w:rsidP="002D3929">
      <w:pPr>
        <w:pStyle w:val="NoSpacing"/>
        <w:rPr>
          <w:lang w:val="en-GB"/>
        </w:rPr>
      </w:pPr>
      <w:r>
        <w:rPr>
          <w:rFonts w:cs="Times New Roman"/>
          <w:b/>
          <w:bCs/>
          <w:szCs w:val="24"/>
          <w:lang w:val="en-GB"/>
        </w:rPr>
        <w:t xml:space="preserve">Table S1: </w:t>
      </w:r>
      <w:r w:rsidRPr="00DA73AD">
        <w:rPr>
          <w:rFonts w:cs="Times New Roman"/>
          <w:szCs w:val="24"/>
          <w:lang w:val="en-GB"/>
        </w:rPr>
        <w:t>Antimicrobial substances recommendations, as defined by DVFA’s groups</w:t>
      </w:r>
      <w:r w:rsidRPr="00DA73AD">
        <w:rPr>
          <w:rFonts w:cs="Times New Roman"/>
          <w:szCs w:val="24"/>
          <w:vertAlign w:val="superscript"/>
          <w:lang w:val="en-GB"/>
        </w:rPr>
        <w:t>a</w:t>
      </w:r>
      <w:r w:rsidRPr="00DA73AD">
        <w:rPr>
          <w:rFonts w:cs="Times New Roman"/>
          <w:szCs w:val="24"/>
          <w:lang w:val="en-GB"/>
        </w:rPr>
        <w:t xml:space="preserve"> for pig production and EMA’s categories</w:t>
      </w:r>
      <w:r w:rsidRPr="00DA73AD">
        <w:rPr>
          <w:rFonts w:cs="Times New Roman"/>
          <w:szCs w:val="24"/>
          <w:vertAlign w:val="superscript"/>
          <w:lang w:val="en-GB"/>
        </w:rPr>
        <w:t>b</w:t>
      </w:r>
      <w:r>
        <w:rPr>
          <w:rFonts w:cs="Times New Roman"/>
          <w:b/>
          <w:bCs/>
          <w:szCs w:val="24"/>
          <w:lang w:val="en-GB"/>
        </w:rPr>
        <w:t xml:space="preserve"> </w:t>
      </w:r>
    </w:p>
    <w:p w14:paraId="1AA22122" w14:textId="77777777" w:rsidR="002D3929" w:rsidRPr="001B55A6" w:rsidRDefault="002D3929" w:rsidP="002D3929">
      <w:pPr>
        <w:pStyle w:val="NoSpacing"/>
        <w:rPr>
          <w:lang w:val="en-GB"/>
        </w:rPr>
      </w:pP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gridCol w:w="992"/>
      </w:tblGrid>
      <w:tr w:rsidR="002D3929" w:rsidRPr="001B55A6" w14:paraId="2A261C18" w14:textId="77777777" w:rsidTr="00DA73AD">
        <w:trPr>
          <w:trHeight w:val="307"/>
        </w:trPr>
        <w:tc>
          <w:tcPr>
            <w:tcW w:w="4111" w:type="dxa"/>
            <w:tcBorders>
              <w:top w:val="single" w:sz="4" w:space="0" w:color="auto"/>
              <w:bottom w:val="single" w:sz="4" w:space="0" w:color="auto"/>
            </w:tcBorders>
            <w:noWrap/>
            <w:hideMark/>
          </w:tcPr>
          <w:p w14:paraId="58DDE7FF" w14:textId="77777777" w:rsidR="002D3929" w:rsidRPr="00DA73AD" w:rsidRDefault="002D3929" w:rsidP="002C7FCF">
            <w:pPr>
              <w:rPr>
                <w:rFonts w:ascii="Times New Roman" w:eastAsia="Times New Roman" w:hAnsi="Times New Roman" w:cs="Times New Roman"/>
                <w:b/>
                <w:bCs/>
                <w:lang w:eastAsia="en-GB"/>
              </w:rPr>
            </w:pPr>
            <w:r w:rsidRPr="00DA73AD">
              <w:rPr>
                <w:rFonts w:ascii="Times New Roman" w:eastAsia="Times New Roman" w:hAnsi="Times New Roman" w:cs="Times New Roman"/>
                <w:b/>
                <w:bCs/>
                <w:lang w:eastAsia="en-GB"/>
              </w:rPr>
              <w:t>Antimicrobial substance</w:t>
            </w:r>
          </w:p>
        </w:tc>
        <w:tc>
          <w:tcPr>
            <w:tcW w:w="1418" w:type="dxa"/>
            <w:tcBorders>
              <w:top w:val="single" w:sz="4" w:space="0" w:color="auto"/>
              <w:bottom w:val="single" w:sz="4" w:space="0" w:color="auto"/>
            </w:tcBorders>
            <w:noWrap/>
            <w:hideMark/>
          </w:tcPr>
          <w:p w14:paraId="541A08E3" w14:textId="77777777" w:rsidR="002D3929" w:rsidRPr="00DA73AD" w:rsidRDefault="002D3929" w:rsidP="002C7FCF">
            <w:pPr>
              <w:ind w:left="720" w:hanging="720"/>
              <w:rPr>
                <w:rFonts w:ascii="Times New Roman" w:eastAsia="Times New Roman" w:hAnsi="Times New Roman" w:cs="Times New Roman"/>
                <w:b/>
                <w:bCs/>
                <w:lang w:eastAsia="en-GB"/>
              </w:rPr>
            </w:pPr>
            <w:r w:rsidRPr="00DA73AD">
              <w:rPr>
                <w:rFonts w:ascii="Times New Roman" w:eastAsia="Times New Roman" w:hAnsi="Times New Roman" w:cs="Times New Roman"/>
                <w:b/>
                <w:bCs/>
                <w:lang w:eastAsia="en-GB"/>
              </w:rPr>
              <w:t xml:space="preserve">DVFA </w:t>
            </w:r>
          </w:p>
        </w:tc>
        <w:tc>
          <w:tcPr>
            <w:tcW w:w="992" w:type="dxa"/>
            <w:tcBorders>
              <w:top w:val="single" w:sz="4" w:space="0" w:color="auto"/>
              <w:bottom w:val="single" w:sz="4" w:space="0" w:color="auto"/>
            </w:tcBorders>
            <w:noWrap/>
            <w:hideMark/>
          </w:tcPr>
          <w:p w14:paraId="05D3D1D9" w14:textId="77777777" w:rsidR="002D3929" w:rsidRPr="00DA73AD" w:rsidRDefault="002D3929" w:rsidP="002C7FCF">
            <w:pPr>
              <w:rPr>
                <w:rFonts w:ascii="Times New Roman" w:eastAsia="Times New Roman" w:hAnsi="Times New Roman" w:cs="Times New Roman"/>
                <w:b/>
                <w:bCs/>
                <w:lang w:eastAsia="en-GB"/>
              </w:rPr>
            </w:pPr>
            <w:r w:rsidRPr="00DA73AD">
              <w:rPr>
                <w:rFonts w:ascii="Times New Roman" w:eastAsia="Times New Roman" w:hAnsi="Times New Roman" w:cs="Times New Roman"/>
                <w:b/>
                <w:bCs/>
                <w:lang w:eastAsia="en-GB"/>
              </w:rPr>
              <w:t>EMA</w:t>
            </w:r>
          </w:p>
        </w:tc>
      </w:tr>
      <w:tr w:rsidR="002D3929" w:rsidRPr="001B55A6" w14:paraId="6C9412E1" w14:textId="77777777" w:rsidTr="00DA73AD">
        <w:trPr>
          <w:trHeight w:val="307"/>
        </w:trPr>
        <w:tc>
          <w:tcPr>
            <w:tcW w:w="4111" w:type="dxa"/>
            <w:tcBorders>
              <w:top w:val="single" w:sz="4" w:space="0" w:color="auto"/>
            </w:tcBorders>
            <w:noWrap/>
            <w:hideMark/>
          </w:tcPr>
          <w:p w14:paraId="1310894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Florfenicol</w:t>
            </w:r>
          </w:p>
        </w:tc>
        <w:tc>
          <w:tcPr>
            <w:tcW w:w="1418" w:type="dxa"/>
            <w:tcBorders>
              <w:top w:val="single" w:sz="4" w:space="0" w:color="auto"/>
            </w:tcBorders>
            <w:noWrap/>
            <w:hideMark/>
          </w:tcPr>
          <w:p w14:paraId="7C6F4A59"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tcBorders>
              <w:top w:val="single" w:sz="4" w:space="0" w:color="auto"/>
            </w:tcBorders>
            <w:noWrap/>
            <w:hideMark/>
          </w:tcPr>
          <w:p w14:paraId="5484253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7AF85157" w14:textId="77777777" w:rsidTr="00DA73AD">
        <w:trPr>
          <w:trHeight w:val="307"/>
        </w:trPr>
        <w:tc>
          <w:tcPr>
            <w:tcW w:w="4111" w:type="dxa"/>
            <w:noWrap/>
            <w:hideMark/>
          </w:tcPr>
          <w:p w14:paraId="07A53D86"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Lincomycin</w:t>
            </w:r>
          </w:p>
        </w:tc>
        <w:tc>
          <w:tcPr>
            <w:tcW w:w="1418" w:type="dxa"/>
            <w:noWrap/>
            <w:hideMark/>
          </w:tcPr>
          <w:p w14:paraId="6935F3DA"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55D8D88C"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3EBB1AB6" w14:textId="77777777" w:rsidTr="00DA73AD">
        <w:trPr>
          <w:trHeight w:val="307"/>
        </w:trPr>
        <w:tc>
          <w:tcPr>
            <w:tcW w:w="4111" w:type="dxa"/>
            <w:noWrap/>
            <w:hideMark/>
          </w:tcPr>
          <w:p w14:paraId="235578AF"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Macrolides</w:t>
            </w:r>
          </w:p>
        </w:tc>
        <w:tc>
          <w:tcPr>
            <w:tcW w:w="1418" w:type="dxa"/>
            <w:noWrap/>
            <w:hideMark/>
          </w:tcPr>
          <w:p w14:paraId="210391A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20F6FFAC"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02A4B078" w14:textId="77777777" w:rsidTr="00DA73AD">
        <w:trPr>
          <w:trHeight w:val="307"/>
        </w:trPr>
        <w:tc>
          <w:tcPr>
            <w:tcW w:w="4111" w:type="dxa"/>
            <w:noWrap/>
            <w:hideMark/>
          </w:tcPr>
          <w:p w14:paraId="2AFC9EEC"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Neomycin</w:t>
            </w:r>
          </w:p>
        </w:tc>
        <w:tc>
          <w:tcPr>
            <w:tcW w:w="1418" w:type="dxa"/>
            <w:noWrap/>
            <w:hideMark/>
          </w:tcPr>
          <w:p w14:paraId="38697F4E"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42459652"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463CE791" w14:textId="77777777" w:rsidTr="00DA73AD">
        <w:trPr>
          <w:trHeight w:val="307"/>
        </w:trPr>
        <w:tc>
          <w:tcPr>
            <w:tcW w:w="4111" w:type="dxa"/>
            <w:noWrap/>
            <w:hideMark/>
          </w:tcPr>
          <w:p w14:paraId="0312958F"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Penicillin, narrow-spectrum</w:t>
            </w:r>
          </w:p>
        </w:tc>
        <w:tc>
          <w:tcPr>
            <w:tcW w:w="1418" w:type="dxa"/>
            <w:noWrap/>
            <w:hideMark/>
          </w:tcPr>
          <w:p w14:paraId="7B0037A2"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52634AE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D</w:t>
            </w:r>
          </w:p>
        </w:tc>
      </w:tr>
      <w:tr w:rsidR="002D3929" w:rsidRPr="001B55A6" w14:paraId="7B4585BA" w14:textId="77777777" w:rsidTr="00DA73AD">
        <w:trPr>
          <w:trHeight w:val="307"/>
        </w:trPr>
        <w:tc>
          <w:tcPr>
            <w:tcW w:w="4111" w:type="dxa"/>
            <w:noWrap/>
            <w:hideMark/>
          </w:tcPr>
          <w:p w14:paraId="298C7E3E"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Penicillin, broad-spectrum</w:t>
            </w:r>
          </w:p>
        </w:tc>
        <w:tc>
          <w:tcPr>
            <w:tcW w:w="1418" w:type="dxa"/>
            <w:noWrap/>
            <w:hideMark/>
          </w:tcPr>
          <w:p w14:paraId="0DD3DED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14181760"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D</w:t>
            </w:r>
          </w:p>
        </w:tc>
      </w:tr>
      <w:tr w:rsidR="002D3929" w:rsidRPr="001B55A6" w14:paraId="6452B752" w14:textId="77777777" w:rsidTr="00DA73AD">
        <w:trPr>
          <w:trHeight w:val="307"/>
        </w:trPr>
        <w:tc>
          <w:tcPr>
            <w:tcW w:w="4111" w:type="dxa"/>
            <w:noWrap/>
            <w:hideMark/>
          </w:tcPr>
          <w:p w14:paraId="35283831"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Pleuromutilins</w:t>
            </w:r>
          </w:p>
        </w:tc>
        <w:tc>
          <w:tcPr>
            <w:tcW w:w="1418" w:type="dxa"/>
            <w:noWrap/>
            <w:hideMark/>
          </w:tcPr>
          <w:p w14:paraId="630080F2"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255FB941"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3382A758" w14:textId="77777777" w:rsidTr="00DA73AD">
        <w:trPr>
          <w:trHeight w:val="307"/>
        </w:trPr>
        <w:tc>
          <w:tcPr>
            <w:tcW w:w="4111" w:type="dxa"/>
            <w:noWrap/>
            <w:hideMark/>
          </w:tcPr>
          <w:p w14:paraId="544FB44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Sulphonamides</w:t>
            </w:r>
          </w:p>
        </w:tc>
        <w:tc>
          <w:tcPr>
            <w:tcW w:w="1418" w:type="dxa"/>
            <w:noWrap/>
            <w:hideMark/>
          </w:tcPr>
          <w:p w14:paraId="10C412CA"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4D1180AF"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D</w:t>
            </w:r>
          </w:p>
        </w:tc>
      </w:tr>
      <w:tr w:rsidR="002D3929" w:rsidRPr="001B55A6" w14:paraId="2C9E1664" w14:textId="77777777" w:rsidTr="00DA73AD">
        <w:trPr>
          <w:trHeight w:val="307"/>
        </w:trPr>
        <w:tc>
          <w:tcPr>
            <w:tcW w:w="4111" w:type="dxa"/>
            <w:noWrap/>
            <w:hideMark/>
          </w:tcPr>
          <w:p w14:paraId="365AB8C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Spectinomycin</w:t>
            </w:r>
          </w:p>
        </w:tc>
        <w:tc>
          <w:tcPr>
            <w:tcW w:w="1418" w:type="dxa"/>
            <w:noWrap/>
            <w:hideMark/>
          </w:tcPr>
          <w:p w14:paraId="516F940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408E429B"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D</w:t>
            </w:r>
          </w:p>
        </w:tc>
      </w:tr>
      <w:tr w:rsidR="002D3929" w:rsidRPr="001B55A6" w14:paraId="65EBB04F" w14:textId="77777777" w:rsidTr="00DA73AD">
        <w:trPr>
          <w:trHeight w:val="307"/>
        </w:trPr>
        <w:tc>
          <w:tcPr>
            <w:tcW w:w="4111" w:type="dxa"/>
            <w:noWrap/>
            <w:hideMark/>
          </w:tcPr>
          <w:p w14:paraId="47CDCB40"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Streptomycin</w:t>
            </w:r>
          </w:p>
        </w:tc>
        <w:tc>
          <w:tcPr>
            <w:tcW w:w="1418" w:type="dxa"/>
            <w:noWrap/>
            <w:hideMark/>
          </w:tcPr>
          <w:p w14:paraId="3CFB36AF"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1</w:t>
            </w:r>
          </w:p>
        </w:tc>
        <w:tc>
          <w:tcPr>
            <w:tcW w:w="992" w:type="dxa"/>
            <w:noWrap/>
            <w:hideMark/>
          </w:tcPr>
          <w:p w14:paraId="0C6DA8A6"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5682783C" w14:textId="77777777" w:rsidTr="00DA73AD">
        <w:trPr>
          <w:trHeight w:val="307"/>
        </w:trPr>
        <w:tc>
          <w:tcPr>
            <w:tcW w:w="4111" w:type="dxa"/>
            <w:noWrap/>
            <w:hideMark/>
          </w:tcPr>
          <w:p w14:paraId="1DD7B5E5"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Apramycin</w:t>
            </w:r>
          </w:p>
        </w:tc>
        <w:tc>
          <w:tcPr>
            <w:tcW w:w="1418" w:type="dxa"/>
            <w:noWrap/>
            <w:hideMark/>
          </w:tcPr>
          <w:p w14:paraId="7769DAF2"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2</w:t>
            </w:r>
          </w:p>
        </w:tc>
        <w:tc>
          <w:tcPr>
            <w:tcW w:w="992" w:type="dxa"/>
            <w:noWrap/>
            <w:hideMark/>
          </w:tcPr>
          <w:p w14:paraId="33015E11"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53E0208C" w14:textId="77777777" w:rsidTr="00DA73AD">
        <w:trPr>
          <w:trHeight w:val="307"/>
        </w:trPr>
        <w:tc>
          <w:tcPr>
            <w:tcW w:w="4111" w:type="dxa"/>
            <w:noWrap/>
            <w:hideMark/>
          </w:tcPr>
          <w:p w14:paraId="664B6944"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Gentamicin</w:t>
            </w:r>
          </w:p>
        </w:tc>
        <w:tc>
          <w:tcPr>
            <w:tcW w:w="1418" w:type="dxa"/>
            <w:noWrap/>
            <w:hideMark/>
          </w:tcPr>
          <w:p w14:paraId="76123CE0"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2</w:t>
            </w:r>
          </w:p>
        </w:tc>
        <w:tc>
          <w:tcPr>
            <w:tcW w:w="992" w:type="dxa"/>
            <w:noWrap/>
            <w:hideMark/>
          </w:tcPr>
          <w:p w14:paraId="34B66226"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w:t>
            </w:r>
          </w:p>
        </w:tc>
      </w:tr>
      <w:tr w:rsidR="002D3929" w:rsidRPr="001B55A6" w14:paraId="05DF3851" w14:textId="77777777" w:rsidTr="00DA73AD">
        <w:trPr>
          <w:trHeight w:val="307"/>
        </w:trPr>
        <w:tc>
          <w:tcPr>
            <w:tcW w:w="4111" w:type="dxa"/>
            <w:noWrap/>
            <w:hideMark/>
          </w:tcPr>
          <w:p w14:paraId="584D856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Tetracycline</w:t>
            </w:r>
          </w:p>
        </w:tc>
        <w:tc>
          <w:tcPr>
            <w:tcW w:w="1418" w:type="dxa"/>
            <w:noWrap/>
            <w:hideMark/>
          </w:tcPr>
          <w:p w14:paraId="3103CBDC"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2</w:t>
            </w:r>
          </w:p>
        </w:tc>
        <w:tc>
          <w:tcPr>
            <w:tcW w:w="992" w:type="dxa"/>
            <w:noWrap/>
            <w:hideMark/>
          </w:tcPr>
          <w:p w14:paraId="79B0920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D</w:t>
            </w:r>
          </w:p>
        </w:tc>
      </w:tr>
      <w:tr w:rsidR="002D3929" w:rsidRPr="001B55A6" w14:paraId="69C1EF24" w14:textId="77777777" w:rsidTr="00DA73AD">
        <w:trPr>
          <w:trHeight w:val="307"/>
        </w:trPr>
        <w:tc>
          <w:tcPr>
            <w:tcW w:w="4111" w:type="dxa"/>
            <w:noWrap/>
            <w:hideMark/>
          </w:tcPr>
          <w:p w14:paraId="5F803532"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3rd and 4th generation cephalosporins</w:t>
            </w:r>
          </w:p>
        </w:tc>
        <w:tc>
          <w:tcPr>
            <w:tcW w:w="1418" w:type="dxa"/>
            <w:noWrap/>
            <w:hideMark/>
          </w:tcPr>
          <w:p w14:paraId="54859ABA"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3</w:t>
            </w:r>
          </w:p>
        </w:tc>
        <w:tc>
          <w:tcPr>
            <w:tcW w:w="992" w:type="dxa"/>
            <w:noWrap/>
            <w:hideMark/>
          </w:tcPr>
          <w:p w14:paraId="248DAA10"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B</w:t>
            </w:r>
          </w:p>
        </w:tc>
      </w:tr>
      <w:tr w:rsidR="002D3929" w:rsidRPr="001B55A6" w14:paraId="51920CE5" w14:textId="77777777" w:rsidTr="00DA73AD">
        <w:trPr>
          <w:trHeight w:val="307"/>
        </w:trPr>
        <w:tc>
          <w:tcPr>
            <w:tcW w:w="4111" w:type="dxa"/>
            <w:noWrap/>
            <w:hideMark/>
          </w:tcPr>
          <w:p w14:paraId="5000354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Colistin</w:t>
            </w:r>
          </w:p>
        </w:tc>
        <w:tc>
          <w:tcPr>
            <w:tcW w:w="1418" w:type="dxa"/>
            <w:noWrap/>
            <w:hideMark/>
          </w:tcPr>
          <w:p w14:paraId="3308F901"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3</w:t>
            </w:r>
          </w:p>
        </w:tc>
        <w:tc>
          <w:tcPr>
            <w:tcW w:w="992" w:type="dxa"/>
            <w:noWrap/>
            <w:hideMark/>
          </w:tcPr>
          <w:p w14:paraId="7A4559C6"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B</w:t>
            </w:r>
          </w:p>
        </w:tc>
      </w:tr>
      <w:tr w:rsidR="002D3929" w:rsidRPr="001B55A6" w14:paraId="6CE5BE20" w14:textId="77777777" w:rsidTr="00DA73AD">
        <w:trPr>
          <w:trHeight w:val="307"/>
        </w:trPr>
        <w:tc>
          <w:tcPr>
            <w:tcW w:w="4111" w:type="dxa"/>
            <w:tcBorders>
              <w:bottom w:val="single" w:sz="4" w:space="0" w:color="auto"/>
            </w:tcBorders>
            <w:noWrap/>
            <w:hideMark/>
          </w:tcPr>
          <w:p w14:paraId="6B0592B8"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Fluoroquinolones</w:t>
            </w:r>
          </w:p>
        </w:tc>
        <w:tc>
          <w:tcPr>
            <w:tcW w:w="1418" w:type="dxa"/>
            <w:tcBorders>
              <w:bottom w:val="single" w:sz="4" w:space="0" w:color="auto"/>
            </w:tcBorders>
            <w:noWrap/>
            <w:hideMark/>
          </w:tcPr>
          <w:p w14:paraId="4FDA7B67"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Group 3</w:t>
            </w:r>
          </w:p>
        </w:tc>
        <w:tc>
          <w:tcPr>
            <w:tcW w:w="992" w:type="dxa"/>
            <w:tcBorders>
              <w:bottom w:val="single" w:sz="4" w:space="0" w:color="auto"/>
            </w:tcBorders>
            <w:noWrap/>
            <w:hideMark/>
          </w:tcPr>
          <w:p w14:paraId="0BBD0140" w14:textId="77777777" w:rsidR="002D3929" w:rsidRPr="00DA73AD" w:rsidRDefault="002D3929" w:rsidP="002C7FCF">
            <w:pPr>
              <w:rPr>
                <w:rFonts w:ascii="Times New Roman" w:eastAsia="Times New Roman" w:hAnsi="Times New Roman" w:cs="Times New Roman"/>
                <w:lang w:eastAsia="en-GB"/>
              </w:rPr>
            </w:pPr>
            <w:r w:rsidRPr="00DA73AD">
              <w:rPr>
                <w:rFonts w:ascii="Times New Roman" w:eastAsia="Times New Roman" w:hAnsi="Times New Roman" w:cs="Times New Roman"/>
                <w:lang w:eastAsia="en-GB"/>
              </w:rPr>
              <w:t>B</w:t>
            </w:r>
          </w:p>
        </w:tc>
      </w:tr>
    </w:tbl>
    <w:p w14:paraId="44BBD593" w14:textId="77777777" w:rsidR="002D3929" w:rsidRPr="0029191F" w:rsidRDefault="002D3929" w:rsidP="002D3929">
      <w:pPr>
        <w:pStyle w:val="NoSpacing"/>
        <w:rPr>
          <w:rFonts w:cs="Times New Roman"/>
          <w:szCs w:val="24"/>
          <w:lang w:val="en-GB"/>
        </w:rPr>
      </w:pPr>
      <w:r w:rsidRPr="0029191F">
        <w:rPr>
          <w:rFonts w:cs="Times New Roman"/>
          <w:szCs w:val="24"/>
          <w:vertAlign w:val="superscript"/>
          <w:lang w:val="en-GB"/>
        </w:rPr>
        <w:t>a</w:t>
      </w:r>
      <w:r>
        <w:rPr>
          <w:rFonts w:cs="Times New Roman"/>
          <w:szCs w:val="24"/>
          <w:lang w:val="en-GB"/>
        </w:rPr>
        <w:t xml:space="preserve"> </w:t>
      </w:r>
      <w:r w:rsidRPr="0029191F">
        <w:rPr>
          <w:rFonts w:cs="Times New Roman"/>
          <w:szCs w:val="24"/>
          <w:lang w:val="en-GB"/>
        </w:rPr>
        <w:t>Group 1: First line antimicrobials</w:t>
      </w:r>
      <w:r>
        <w:rPr>
          <w:rFonts w:cs="Times New Roman"/>
          <w:szCs w:val="24"/>
          <w:lang w:val="en-GB"/>
        </w:rPr>
        <w:t xml:space="preserve"> t</w:t>
      </w:r>
      <w:r w:rsidRPr="0029191F">
        <w:rPr>
          <w:rFonts w:cs="Times New Roman"/>
          <w:szCs w:val="24"/>
          <w:lang w:val="en-GB"/>
        </w:rPr>
        <w:t xml:space="preserve">o be used when a veterinarian has determined that </w:t>
      </w:r>
      <w:r>
        <w:rPr>
          <w:rFonts w:cs="Times New Roman"/>
          <w:szCs w:val="24"/>
          <w:lang w:val="en-GB"/>
        </w:rPr>
        <w:t>AM</w:t>
      </w:r>
      <w:r w:rsidRPr="0029191F">
        <w:rPr>
          <w:rFonts w:cs="Times New Roman"/>
          <w:szCs w:val="24"/>
          <w:lang w:val="en-GB"/>
        </w:rPr>
        <w:t xml:space="preserve"> treatment is necessary; Group 2: Alternative </w:t>
      </w:r>
      <w:r>
        <w:rPr>
          <w:rFonts w:cs="Times New Roman"/>
          <w:szCs w:val="24"/>
          <w:lang w:val="en-GB"/>
        </w:rPr>
        <w:t>AM</w:t>
      </w:r>
      <w:r w:rsidRPr="0029191F">
        <w:rPr>
          <w:rFonts w:cs="Times New Roman"/>
          <w:szCs w:val="24"/>
          <w:lang w:val="en-GB"/>
        </w:rPr>
        <w:t xml:space="preserve"> when first line </w:t>
      </w:r>
      <w:r>
        <w:rPr>
          <w:rFonts w:cs="Times New Roman"/>
          <w:szCs w:val="24"/>
          <w:lang w:val="en-GB"/>
        </w:rPr>
        <w:t>AM</w:t>
      </w:r>
      <w:r w:rsidRPr="0029191F">
        <w:rPr>
          <w:rFonts w:cs="Times New Roman"/>
          <w:szCs w:val="24"/>
          <w:lang w:val="en-GB"/>
        </w:rPr>
        <w:t xml:space="preserve"> are not effective; Group 3</w:t>
      </w:r>
      <w:r>
        <w:rPr>
          <w:rFonts w:cs="Times New Roman"/>
          <w:szCs w:val="24"/>
          <w:lang w:val="en-GB"/>
        </w:rPr>
        <w:t>:</w:t>
      </w:r>
      <w:r w:rsidRPr="0029191F">
        <w:rPr>
          <w:rFonts w:cs="Times New Roman"/>
          <w:szCs w:val="24"/>
          <w:lang w:val="en-GB"/>
        </w:rPr>
        <w:t xml:space="preserve"> These </w:t>
      </w:r>
      <w:r>
        <w:rPr>
          <w:rFonts w:cs="Times New Roman"/>
          <w:szCs w:val="24"/>
          <w:lang w:val="en-GB"/>
        </w:rPr>
        <w:t>AMs</w:t>
      </w:r>
      <w:r w:rsidRPr="0029191F">
        <w:rPr>
          <w:rFonts w:cs="Times New Roman"/>
          <w:szCs w:val="24"/>
          <w:lang w:val="en-GB"/>
        </w:rPr>
        <w:t xml:space="preserve"> should not be used in pigs</w:t>
      </w:r>
      <w:r w:rsidRPr="0029191F">
        <w:rPr>
          <w:rFonts w:cs="Times New Roman"/>
          <w:szCs w:val="24"/>
          <w:lang w:val="en-GB"/>
        </w:rPr>
        <w:br/>
      </w:r>
      <w:r w:rsidRPr="0029191F">
        <w:rPr>
          <w:rFonts w:cs="Times New Roman"/>
          <w:szCs w:val="24"/>
          <w:vertAlign w:val="superscript"/>
          <w:lang w:val="en-GB"/>
        </w:rPr>
        <w:t>b</w:t>
      </w:r>
      <w:r>
        <w:rPr>
          <w:rFonts w:cs="Times New Roman"/>
          <w:szCs w:val="24"/>
          <w:lang w:val="en-GB"/>
        </w:rPr>
        <w:t xml:space="preserve"> </w:t>
      </w:r>
      <w:r w:rsidRPr="0029191F">
        <w:rPr>
          <w:rFonts w:cs="Times New Roman"/>
          <w:szCs w:val="24"/>
          <w:lang w:val="en-GB"/>
        </w:rPr>
        <w:t>Category A: “</w:t>
      </w:r>
      <w:r w:rsidRPr="0029191F">
        <w:t>Avoid”; Category B</w:t>
      </w:r>
      <w:r>
        <w:t>:</w:t>
      </w:r>
      <w:r w:rsidRPr="0029191F">
        <w:t xml:space="preserve"> ”Restrict”; Category C</w:t>
      </w:r>
      <w:r>
        <w:t>:</w:t>
      </w:r>
      <w:r w:rsidRPr="0029191F">
        <w:t xml:space="preserve"> ” Caution”; Category D</w:t>
      </w:r>
      <w:r>
        <w:t>:</w:t>
      </w:r>
      <w:r w:rsidRPr="0029191F">
        <w:t xml:space="preserve"> ”Prudence”.  </w:t>
      </w:r>
    </w:p>
    <w:p w14:paraId="38518F87" w14:textId="77777777" w:rsidR="009C7064" w:rsidRPr="009C7064" w:rsidRDefault="009C7064" w:rsidP="009C7064">
      <w:pPr>
        <w:rPr>
          <w:lang w:eastAsia="en-GB"/>
        </w:rPr>
      </w:pPr>
    </w:p>
    <w:p w14:paraId="282203F2" w14:textId="77777777" w:rsidR="00FD3E09" w:rsidRDefault="00FD3E09" w:rsidP="00FD3E09">
      <w:pPr>
        <w:pStyle w:val="NormalWeb"/>
        <w:shd w:val="clear" w:color="auto" w:fill="FFFFFF" w:themeFill="background1"/>
        <w:spacing w:before="0" w:beforeAutospacing="0" w:after="360" w:afterAutospacing="0"/>
      </w:pPr>
      <w:r>
        <w:rPr>
          <w:noProof/>
        </w:rPr>
        <w:lastRenderedPageBreak/>
        <w:drawing>
          <wp:inline distT="0" distB="0" distL="0" distR="0" wp14:anchorId="4FE5ECA4" wp14:editId="0B44CB1A">
            <wp:extent cx="4800600" cy="2628900"/>
            <wp:effectExtent l="0" t="0" r="0" b="0"/>
            <wp:docPr id="3" name="Picture 3" descr="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 char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r="11041" b="13515"/>
                    <a:stretch>
                      <a:fillRect/>
                    </a:stretch>
                  </pic:blipFill>
                  <pic:spPr bwMode="auto">
                    <a:xfrm>
                      <a:off x="0" y="0"/>
                      <a:ext cx="4800600" cy="2628900"/>
                    </a:xfrm>
                    <a:prstGeom prst="rect">
                      <a:avLst/>
                    </a:prstGeom>
                    <a:noFill/>
                    <a:ln>
                      <a:noFill/>
                    </a:ln>
                  </pic:spPr>
                </pic:pic>
              </a:graphicData>
            </a:graphic>
          </wp:inline>
        </w:drawing>
      </w:r>
      <w:r>
        <w:rPr>
          <w:noProof/>
        </w:rPr>
        <w:drawing>
          <wp:inline distT="0" distB="0" distL="0" distR="0" wp14:anchorId="42B435B5" wp14:editId="5F1619CA">
            <wp:extent cx="5003800" cy="2705100"/>
            <wp:effectExtent l="0" t="0" r="635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t="3609" r="11142" b="11000"/>
                    <a:stretch>
                      <a:fillRect/>
                    </a:stretch>
                  </pic:blipFill>
                  <pic:spPr bwMode="auto">
                    <a:xfrm>
                      <a:off x="0" y="0"/>
                      <a:ext cx="5003800" cy="2705100"/>
                    </a:xfrm>
                    <a:prstGeom prst="rect">
                      <a:avLst/>
                    </a:prstGeom>
                    <a:noFill/>
                    <a:ln>
                      <a:noFill/>
                    </a:ln>
                  </pic:spPr>
                </pic:pic>
              </a:graphicData>
            </a:graphic>
          </wp:inline>
        </w:drawing>
      </w:r>
      <w:r>
        <w:rPr>
          <w:noProof/>
        </w:rPr>
        <w:drawing>
          <wp:inline distT="0" distB="0" distL="0" distR="0" wp14:anchorId="167D2A56" wp14:editId="58AEC2F7">
            <wp:extent cx="5232400" cy="2606040"/>
            <wp:effectExtent l="0" t="0" r="6350" b="381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rt, bar char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r="3169" b="14207"/>
                    <a:stretch/>
                  </pic:blipFill>
                  <pic:spPr bwMode="auto">
                    <a:xfrm>
                      <a:off x="0" y="0"/>
                      <a:ext cx="5232400" cy="2606040"/>
                    </a:xfrm>
                    <a:prstGeom prst="rect">
                      <a:avLst/>
                    </a:prstGeom>
                    <a:noFill/>
                    <a:ln>
                      <a:noFill/>
                    </a:ln>
                    <a:extLst>
                      <a:ext uri="{53640926-AAD7-44D8-BBD7-CCE9431645EC}">
                        <a14:shadowObscured xmlns:a14="http://schemas.microsoft.com/office/drawing/2010/main"/>
                      </a:ext>
                    </a:extLst>
                  </pic:spPr>
                </pic:pic>
              </a:graphicData>
            </a:graphic>
          </wp:inline>
        </w:drawing>
      </w:r>
    </w:p>
    <w:p w14:paraId="75D1298F" w14:textId="3D904E32" w:rsidR="00E45F45" w:rsidRPr="00DA73AD" w:rsidRDefault="00FD3E09" w:rsidP="002D3929">
      <w:pPr>
        <w:shd w:val="clear" w:color="auto" w:fill="FFFFFF"/>
        <w:spacing w:after="168" w:line="240" w:lineRule="auto"/>
        <w:outlineLvl w:val="2"/>
        <w:rPr>
          <w:rFonts w:ascii="Times New Roman" w:hAnsi="Times New Roman" w:cs="Times New Roman"/>
          <w:sz w:val="24"/>
          <w:szCs w:val="24"/>
        </w:rPr>
      </w:pPr>
      <w:r w:rsidRPr="00DA73AD">
        <w:rPr>
          <w:rFonts w:ascii="Times New Roman" w:hAnsi="Times New Roman" w:cs="Times New Roman"/>
          <w:b/>
          <w:bCs/>
          <w:sz w:val="24"/>
          <w:szCs w:val="24"/>
        </w:rPr>
        <w:t xml:space="preserve">Figure </w:t>
      </w:r>
      <w:r w:rsidR="00DE647F">
        <w:rPr>
          <w:rFonts w:ascii="Times New Roman" w:hAnsi="Times New Roman" w:cs="Times New Roman"/>
          <w:b/>
          <w:bCs/>
          <w:sz w:val="24"/>
          <w:szCs w:val="24"/>
        </w:rPr>
        <w:t>S2</w:t>
      </w:r>
      <w:r w:rsidRPr="00DA73AD">
        <w:rPr>
          <w:rFonts w:ascii="Times New Roman" w:hAnsi="Times New Roman" w:cs="Times New Roman"/>
          <w:sz w:val="24"/>
          <w:szCs w:val="24"/>
        </w:rPr>
        <w:t xml:space="preserve"> : Distribution of AMU, in DADD units, in the Danish pig sector in 2020, per treatment indication, divided  by AM classes, where each graph represents an animal age group. AM classes that constituted less than 5% of the treatments per indication were excluded. Only the three most frequent treatment indications are shown. </w:t>
      </w:r>
    </w:p>
    <w:sectPr w:rsidR="00E45F45" w:rsidRPr="00DA73AD" w:rsidSect="00FA6F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09"/>
    <w:rsid w:val="000F5C96"/>
    <w:rsid w:val="002D3929"/>
    <w:rsid w:val="003A6328"/>
    <w:rsid w:val="00432DBC"/>
    <w:rsid w:val="004658EF"/>
    <w:rsid w:val="0058104A"/>
    <w:rsid w:val="008007F6"/>
    <w:rsid w:val="0080198A"/>
    <w:rsid w:val="009C7064"/>
    <w:rsid w:val="009F0E74"/>
    <w:rsid w:val="00DA73AD"/>
    <w:rsid w:val="00DE647F"/>
    <w:rsid w:val="00E45F45"/>
    <w:rsid w:val="00FA6F81"/>
    <w:rsid w:val="00FD3E0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535F"/>
  <w15:chartTrackingRefBased/>
  <w15:docId w15:val="{CCA68534-EE1A-4050-BB2C-81CF87F1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09"/>
    <w:pPr>
      <w:spacing w:line="256" w:lineRule="auto"/>
    </w:pPr>
    <w:rPr>
      <w:lang w:val="en-GB"/>
    </w:rPr>
  </w:style>
  <w:style w:type="paragraph" w:styleId="Heading1">
    <w:name w:val="heading 1"/>
    <w:basedOn w:val="Normal"/>
    <w:next w:val="Normal"/>
    <w:link w:val="Heading1Char"/>
    <w:uiPriority w:val="9"/>
    <w:qFormat/>
    <w:rsid w:val="00DA7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C7064"/>
    <w:rPr>
      <w:sz w:val="16"/>
      <w:szCs w:val="16"/>
    </w:rPr>
  </w:style>
  <w:style w:type="paragraph" w:styleId="CommentText">
    <w:name w:val="annotation text"/>
    <w:basedOn w:val="Normal"/>
    <w:link w:val="CommentTextChar"/>
    <w:uiPriority w:val="99"/>
    <w:unhideWhenUsed/>
    <w:rsid w:val="009C7064"/>
    <w:pPr>
      <w:spacing w:line="240" w:lineRule="auto"/>
    </w:pPr>
    <w:rPr>
      <w:sz w:val="20"/>
      <w:szCs w:val="20"/>
    </w:rPr>
  </w:style>
  <w:style w:type="character" w:customStyle="1" w:styleId="CommentTextChar">
    <w:name w:val="Comment Text Char"/>
    <w:basedOn w:val="DefaultParagraphFont"/>
    <w:link w:val="CommentText"/>
    <w:uiPriority w:val="99"/>
    <w:rsid w:val="009C7064"/>
    <w:rPr>
      <w:sz w:val="20"/>
      <w:szCs w:val="20"/>
      <w:lang w:val="en-GB"/>
    </w:rPr>
  </w:style>
  <w:style w:type="table" w:styleId="TableGrid">
    <w:name w:val="Table Grid"/>
    <w:basedOn w:val="TableNormal"/>
    <w:uiPriority w:val="59"/>
    <w:rsid w:val="002D392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unhideWhenUsed/>
    <w:qFormat/>
    <w:rsid w:val="002D3929"/>
    <w:pPr>
      <w:spacing w:after="0" w:line="240" w:lineRule="auto"/>
    </w:pPr>
    <w:rPr>
      <w:rFonts w:ascii="Times New Roman" w:hAnsi="Times New Roman"/>
      <w:sz w:val="24"/>
    </w:rPr>
  </w:style>
  <w:style w:type="paragraph" w:styleId="Revision">
    <w:name w:val="Revision"/>
    <w:hidden/>
    <w:uiPriority w:val="99"/>
    <w:semiHidden/>
    <w:rsid w:val="008007F6"/>
    <w:pPr>
      <w:spacing w:after="0" w:line="240" w:lineRule="auto"/>
    </w:pPr>
    <w:rPr>
      <w:lang w:val="en-GB"/>
    </w:rPr>
  </w:style>
  <w:style w:type="character" w:customStyle="1" w:styleId="Heading2Char">
    <w:name w:val="Heading 2 Char"/>
    <w:basedOn w:val="DefaultParagraphFont"/>
    <w:link w:val="Heading2"/>
    <w:uiPriority w:val="9"/>
    <w:rsid w:val="00DA73AD"/>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DA73AD"/>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qFormat/>
    <w:rsid w:val="00DA73AD"/>
    <w:pPr>
      <w:suppressLineNumbers/>
      <w:spacing w:before="240" w:after="360" w:line="240" w:lineRule="auto"/>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DA73AD"/>
    <w:rPr>
      <w:rFonts w:ascii="Times New Roman" w:hAnsi="Times New Roman" w:cs="Times New Roman"/>
      <w:b/>
      <w:sz w:val="32"/>
      <w:szCs w:val="32"/>
    </w:rPr>
  </w:style>
  <w:style w:type="paragraph" w:customStyle="1" w:styleId="AuthorList">
    <w:name w:val="Author List"/>
    <w:aliases w:val="Keywords,Abstract"/>
    <w:basedOn w:val="Subtitle"/>
    <w:next w:val="Normal"/>
    <w:uiPriority w:val="1"/>
    <w:qFormat/>
    <w:rsid w:val="00DA73AD"/>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DA7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73AD"/>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5365">
      <w:bodyDiv w:val="1"/>
      <w:marLeft w:val="0"/>
      <w:marRight w:val="0"/>
      <w:marTop w:val="0"/>
      <w:marBottom w:val="0"/>
      <w:divBdr>
        <w:top w:val="none" w:sz="0" w:space="0" w:color="auto"/>
        <w:left w:val="none" w:sz="0" w:space="0" w:color="auto"/>
        <w:bottom w:val="none" w:sz="0" w:space="0" w:color="auto"/>
        <w:right w:val="none" w:sz="0" w:space="0" w:color="auto"/>
      </w:divBdr>
    </w:div>
    <w:div w:id="13813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Joao Moura Santos</dc:creator>
  <cp:keywords/>
  <dc:description/>
  <cp:lastModifiedBy>Pedro Moura</cp:lastModifiedBy>
  <cp:revision>7</cp:revision>
  <dcterms:created xsi:type="dcterms:W3CDTF">2022-08-22T10:49:00Z</dcterms:created>
  <dcterms:modified xsi:type="dcterms:W3CDTF">2023-04-05T11:00:00Z</dcterms:modified>
</cp:coreProperties>
</file>