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B1A7" w14:textId="77777777" w:rsidR="00F93893" w:rsidRDefault="00F93893" w:rsidP="00F93893">
      <w:pPr>
        <w:spacing w:before="100" w:beforeAutospacing="1" w:after="100" w:afterAutospacing="1"/>
        <w:contextualSpacing/>
        <w:rPr>
          <w:b/>
          <w:bCs/>
        </w:rPr>
      </w:pPr>
      <w:r>
        <w:rPr>
          <w:b/>
          <w:bCs/>
        </w:rPr>
        <w:t>Supplementary Information</w:t>
      </w:r>
    </w:p>
    <w:p w14:paraId="3BBB1EAC" w14:textId="77777777" w:rsidR="00F93893" w:rsidRDefault="00F93893" w:rsidP="00F93893">
      <w:pPr>
        <w:suppressLineNumbers/>
        <w:spacing w:before="100" w:beforeAutospacing="1" w:after="100" w:afterAutospacing="1"/>
        <w:contextualSpacing/>
        <w:rPr>
          <w:b/>
          <w:bCs/>
        </w:rPr>
      </w:pPr>
    </w:p>
    <w:p w14:paraId="14947F82" w14:textId="77777777" w:rsidR="00F93893" w:rsidRDefault="00F93893" w:rsidP="00F93893">
      <w:pPr>
        <w:spacing w:before="100" w:beforeAutospacing="1" w:after="100" w:afterAutospacing="1"/>
        <w:contextualSpacing/>
        <w:rPr>
          <w:b/>
          <w:bCs/>
        </w:rPr>
      </w:pPr>
      <w:r w:rsidRPr="00A80067">
        <w:rPr>
          <w:b/>
          <w:bCs/>
        </w:rPr>
        <w:t>Summary of Country Reporting Requirements to the UNFCCC</w:t>
      </w:r>
    </w:p>
    <w:p w14:paraId="1FEC5B98" w14:textId="77777777" w:rsidR="00F93893" w:rsidRDefault="00F93893" w:rsidP="00F93893">
      <w:pPr>
        <w:spacing w:before="100" w:beforeAutospacing="1" w:after="100" w:afterAutospacing="1"/>
        <w:contextualSpacing/>
        <w:rPr>
          <w:color w:val="000000"/>
        </w:rPr>
      </w:pPr>
      <w:r w:rsidRPr="00A80067">
        <w:t xml:space="preserve">All countries that are party to the </w:t>
      </w:r>
      <w:r w:rsidRPr="006D3F41">
        <w:t>United Nations Framework Convention on Climate Change</w:t>
      </w:r>
      <w:r>
        <w:t xml:space="preserve"> (</w:t>
      </w:r>
      <w:r w:rsidRPr="00A80067">
        <w:t>UNFCCC</w:t>
      </w:r>
      <w:r>
        <w:t>)</w:t>
      </w:r>
      <w:r w:rsidRPr="00A80067">
        <w:t xml:space="preserve"> are required to provide national inventories of emissions and removals of anthropogenic </w:t>
      </w:r>
      <w:r>
        <w:t>greenhouse gases (</w:t>
      </w:r>
      <w:r w:rsidRPr="00A80067">
        <w:t>GHGs</w:t>
      </w:r>
      <w:r>
        <w:t>)</w:t>
      </w:r>
      <w:r w:rsidRPr="00A80067">
        <w:t xml:space="preserve">. These inventories, typically within national communications </w:t>
      </w:r>
      <w:r>
        <w:t>(</w:t>
      </w:r>
      <w:r w:rsidRPr="00A80067">
        <w:t>NC</w:t>
      </w:r>
      <w:r>
        <w:t>)</w:t>
      </w:r>
      <w:r w:rsidRPr="00A80067">
        <w:t xml:space="preserve"> reports submitted to the </w:t>
      </w:r>
      <w:r w:rsidRPr="006D3F41">
        <w:t>UNFCCC</w:t>
      </w:r>
      <w:r w:rsidRPr="00A80067">
        <w:t xml:space="preserve">, establish the basis for monitoring the progress of individual countries in reducing emissions and for assessing the collective effort of countries to mitigate and adapt to climate change. The inventories provide self-reported estimates of anthropogenic GHGs. Countries produce the estimates using methods developed by the </w:t>
      </w:r>
      <w:r w:rsidRPr="00A80067">
        <w:rPr>
          <w:color w:val="000000"/>
        </w:rPr>
        <w:t xml:space="preserve">Intergovernmental Panel on Climate Change </w:t>
      </w:r>
      <w:r>
        <w:rPr>
          <w:color w:val="000000"/>
        </w:rPr>
        <w:t>(</w:t>
      </w:r>
      <w:r w:rsidRPr="00A80067">
        <w:t>IPCC</w:t>
      </w:r>
      <w:r>
        <w:t>)</w:t>
      </w:r>
      <w:r w:rsidRPr="00A80067">
        <w:t xml:space="preserve"> (e.g., </w:t>
      </w:r>
      <w:r w:rsidRPr="00A80067">
        <w:rPr>
          <w:color w:val="000000"/>
        </w:rPr>
        <w:t>IPCC 1996, 2006</w:t>
      </w:r>
      <w:r>
        <w:rPr>
          <w:color w:val="000000"/>
        </w:rPr>
        <w:t>, 2019</w:t>
      </w:r>
      <w:r w:rsidRPr="00A80067">
        <w:rPr>
          <w:color w:val="000000"/>
        </w:rPr>
        <w:t>)</w:t>
      </w:r>
      <w:r w:rsidRPr="00A80067">
        <w:t xml:space="preserve"> and approved by the UNFCCC. The methods generally involve multiplying national data on an emissions-generating activity (i.e., activity data) by an emission factor that specifies GHG emissions per unit of activity. The IPCC uses a three-tiered approach for emission factors and activity data. </w:t>
      </w:r>
      <w:r w:rsidRPr="00A80067">
        <w:rPr>
          <w:lang w:val="en-GB"/>
        </w:rPr>
        <w:t xml:space="preserve">Tier 1 factors primarily consist of country-level defaults, although contain low certainty. Tier 2 and 3 factors are more country- or region-specific and consequently have higher certainty compared to Tier 1 factors, yet they are demanding in terms of complexity and data requirements. </w:t>
      </w:r>
      <w:r w:rsidRPr="00A80067">
        <w:t xml:space="preserve">Countries are encouraged to use higher tier factors to the extent possible, though use of higher tier emission factors may be constrained by national circumstances, specifically for </w:t>
      </w:r>
      <w:r>
        <w:t>low-and-middle-income countries (</w:t>
      </w:r>
      <w:r w:rsidRPr="00A80067">
        <w:t>LMICs</w:t>
      </w:r>
      <w:r>
        <w:t>)</w:t>
      </w:r>
      <w:r w:rsidRPr="00A80067">
        <w:t xml:space="preserve">. </w:t>
      </w:r>
      <w:r w:rsidRPr="00A80067">
        <w:rPr>
          <w:color w:val="000000"/>
        </w:rPr>
        <w:t xml:space="preserve">Thus, reporting requirements differ for non-Annex I countries (predominantly LMICs) and Annex I countries (high-income countries) as their capacity, resources, responsibility for historical emissions, and vulnerability to climate change vary. </w:t>
      </w:r>
    </w:p>
    <w:p w14:paraId="4982A6FE" w14:textId="77777777" w:rsidR="00F93893" w:rsidRPr="00A80067" w:rsidRDefault="00F93893" w:rsidP="00F93893">
      <w:pPr>
        <w:suppressLineNumbers/>
        <w:spacing w:before="100" w:beforeAutospacing="1" w:after="100" w:afterAutospacing="1"/>
        <w:contextualSpacing/>
        <w:rPr>
          <w:b/>
          <w:bCs/>
        </w:rPr>
      </w:pPr>
    </w:p>
    <w:p w14:paraId="344D30C5" w14:textId="77777777" w:rsidR="00F93893" w:rsidRPr="00A80067" w:rsidRDefault="00F93893" w:rsidP="00F93893">
      <w:pPr>
        <w:spacing w:before="100" w:beforeAutospacing="1" w:after="100" w:afterAutospacing="1"/>
        <w:contextualSpacing/>
      </w:pPr>
      <w:r w:rsidRPr="00A80067">
        <w:rPr>
          <w:color w:val="000000"/>
        </w:rPr>
        <w:t>Non-Annex I countries are required to submit their first NC within three years of joining the Convention, and every four years thereafter (</w:t>
      </w:r>
      <w:r>
        <w:rPr>
          <w:color w:val="000000"/>
        </w:rPr>
        <w:t xml:space="preserve">Decision </w:t>
      </w:r>
      <w:r w:rsidRPr="007C3574">
        <w:t>17/CP.8</w:t>
      </w:r>
      <w:r w:rsidRPr="007B0137">
        <w:rPr>
          <w:rStyle w:val="Hyperlink"/>
          <w:color w:val="000000" w:themeColor="text1"/>
          <w:u w:val="none"/>
        </w:rPr>
        <w:t>),</w:t>
      </w:r>
      <w:r w:rsidRPr="00A80067">
        <w:rPr>
          <w:color w:val="000000"/>
        </w:rPr>
        <w:t xml:space="preserve"> </w:t>
      </w:r>
      <w:proofErr w:type="gramStart"/>
      <w:r w:rsidRPr="00A80067">
        <w:rPr>
          <w:color w:val="000000"/>
        </w:rPr>
        <w:t>provided that</w:t>
      </w:r>
      <w:proofErr w:type="gramEnd"/>
      <w:r w:rsidRPr="00A80067">
        <w:rPr>
          <w:color w:val="000000"/>
        </w:rPr>
        <w:t xml:space="preserve"> funding for the preparation of reports is available. Furthermore, non-Annex I countries should submit their first biennial update report by December 2014 and every two years thereafter. Non-Annex I countries should use the Revised 1996 IPCC Guidelines for National Greenhouse Gas Inventories (Revised 1996 IPCC Guidelines) for estimating and reporting their carbon dioxide (CO</w:t>
      </w:r>
      <w:r w:rsidRPr="00A80067">
        <w:rPr>
          <w:color w:val="000000"/>
          <w:vertAlign w:val="subscript"/>
        </w:rPr>
        <w:t>2</w:t>
      </w:r>
      <w:r w:rsidRPr="00A80067">
        <w:rPr>
          <w:color w:val="000000"/>
        </w:rPr>
        <w:t>), methane (CH</w:t>
      </w:r>
      <w:r w:rsidRPr="00A80067">
        <w:rPr>
          <w:color w:val="000000"/>
          <w:vertAlign w:val="subscript"/>
        </w:rPr>
        <w:t>4</w:t>
      </w:r>
      <w:r w:rsidRPr="00A80067">
        <w:rPr>
          <w:color w:val="000000"/>
        </w:rPr>
        <w:t>), and nitrous oxide (N</w:t>
      </w:r>
      <w:r w:rsidRPr="00A80067">
        <w:rPr>
          <w:color w:val="000000"/>
          <w:vertAlign w:val="subscript"/>
        </w:rPr>
        <w:t>2</w:t>
      </w:r>
      <w:r w:rsidRPr="00A80067">
        <w:rPr>
          <w:color w:val="000000"/>
        </w:rPr>
        <w:t xml:space="preserve">O) emissions at a minimum (IPCC 1996) and should use the global warming potentials (GWP) determined in the IPCC Second Assessment Report </w:t>
      </w:r>
      <w:r>
        <w:rPr>
          <w:color w:val="000000"/>
        </w:rPr>
        <w:t xml:space="preserve">(SAR) </w:t>
      </w:r>
      <w:r w:rsidRPr="00A80067">
        <w:rPr>
          <w:color w:val="000000"/>
        </w:rPr>
        <w:t>(CH</w:t>
      </w:r>
      <w:r w:rsidRPr="00A80067">
        <w:rPr>
          <w:color w:val="000000"/>
          <w:vertAlign w:val="subscript"/>
        </w:rPr>
        <w:t>4</w:t>
      </w:r>
      <w:r w:rsidRPr="00A80067">
        <w:rPr>
          <w:color w:val="000000"/>
        </w:rPr>
        <w:t xml:space="preserve"> = 21; N</w:t>
      </w:r>
      <w:r w:rsidRPr="00A80067">
        <w:rPr>
          <w:color w:val="000000"/>
          <w:vertAlign w:val="subscript"/>
        </w:rPr>
        <w:t>2</w:t>
      </w:r>
      <w:r w:rsidRPr="00A80067">
        <w:rPr>
          <w:color w:val="000000"/>
        </w:rPr>
        <w:t>O = 310) based on a 100-year time scale if wishing to represent aggregated emissions in CO</w:t>
      </w:r>
      <w:r w:rsidRPr="00A80067">
        <w:rPr>
          <w:color w:val="000000"/>
          <w:vertAlign w:val="subscript"/>
        </w:rPr>
        <w:t>2</w:t>
      </w:r>
      <w:r w:rsidRPr="00A80067">
        <w:rPr>
          <w:color w:val="000000"/>
        </w:rPr>
        <w:t xml:space="preserve"> equivalence (CO</w:t>
      </w:r>
      <w:r w:rsidRPr="00A80067">
        <w:rPr>
          <w:color w:val="000000"/>
          <w:vertAlign w:val="subscript"/>
        </w:rPr>
        <w:t>2</w:t>
      </w:r>
      <w:r w:rsidRPr="00A80067">
        <w:rPr>
          <w:color w:val="000000"/>
        </w:rPr>
        <w:t xml:space="preserve">e). </w:t>
      </w:r>
      <w:r w:rsidRPr="00A80067">
        <w:t>For non-Annex I countries we collected this data from countries’ GHG inventory tables in their NC or biennial update report, whichever was most recent.</w:t>
      </w:r>
    </w:p>
    <w:p w14:paraId="1054CEE2" w14:textId="77777777" w:rsidR="00F93893" w:rsidRPr="00A80067" w:rsidRDefault="00F93893" w:rsidP="00F93893">
      <w:pPr>
        <w:pStyle w:val="NormalWeb"/>
        <w:contextualSpacing/>
        <w:rPr>
          <w:color w:val="000000"/>
        </w:rPr>
      </w:pPr>
      <w:r w:rsidRPr="00A80067">
        <w:rPr>
          <w:color w:val="000000"/>
        </w:rPr>
        <w:t>Annex I countries are required to (</w:t>
      </w:r>
      <w:proofErr w:type="spellStart"/>
      <w:r w:rsidRPr="00A80067">
        <w:rPr>
          <w:color w:val="000000"/>
        </w:rPr>
        <w:t>i</w:t>
      </w:r>
      <w:proofErr w:type="spellEnd"/>
      <w:r w:rsidRPr="00A80067">
        <w:rPr>
          <w:color w:val="000000"/>
        </w:rPr>
        <w:t>) submit their NC to the secretariat every four years (</w:t>
      </w:r>
      <w:r w:rsidRPr="007C3574">
        <w:t>decision 2/CP.17</w:t>
      </w:r>
      <w:r w:rsidRPr="00A80067">
        <w:rPr>
          <w:color w:val="000000"/>
        </w:rPr>
        <w:t>) with their seventh NC submitted by 1 January 2018, however, they must (</w:t>
      </w:r>
      <w:proofErr w:type="spellStart"/>
      <w:r w:rsidRPr="00A80067">
        <w:rPr>
          <w:color w:val="000000"/>
        </w:rPr>
        <w:t>i</w:t>
      </w:r>
      <w:proofErr w:type="spellEnd"/>
      <w:r w:rsidRPr="00A80067">
        <w:rPr>
          <w:color w:val="000000"/>
        </w:rPr>
        <w:t>) submit annual inventories in common reporting format tables and national inventory reports with 1990 as the base year for the estimation and reporting of inventories (</w:t>
      </w:r>
      <w:r>
        <w:rPr>
          <w:color w:val="000000"/>
        </w:rPr>
        <w:t>D</w:t>
      </w:r>
      <w:r w:rsidRPr="00A80067">
        <w:rPr>
          <w:color w:val="000000"/>
        </w:rPr>
        <w:t>ecision 24/CP.19), (ii) cover emissions and removals of direct GHGs (CO</w:t>
      </w:r>
      <w:r w:rsidRPr="00A80067">
        <w:rPr>
          <w:color w:val="000000"/>
          <w:vertAlign w:val="subscript"/>
        </w:rPr>
        <w:t>2</w:t>
      </w:r>
      <w:r w:rsidRPr="00A80067">
        <w:rPr>
          <w:color w:val="000000"/>
        </w:rPr>
        <w:t>, CH</w:t>
      </w:r>
      <w:r w:rsidRPr="00A80067">
        <w:rPr>
          <w:color w:val="000000"/>
          <w:vertAlign w:val="subscript"/>
        </w:rPr>
        <w:t>4</w:t>
      </w:r>
      <w:r w:rsidRPr="00A80067">
        <w:rPr>
          <w:color w:val="000000"/>
        </w:rPr>
        <w:t>, N</w:t>
      </w:r>
      <w:r w:rsidRPr="00A80067">
        <w:rPr>
          <w:color w:val="000000"/>
          <w:vertAlign w:val="subscript"/>
        </w:rPr>
        <w:t>2</w:t>
      </w:r>
      <w:r w:rsidRPr="00A80067">
        <w:rPr>
          <w:color w:val="000000"/>
        </w:rPr>
        <w:t xml:space="preserve">O, perfluorocarbons, hydrofluorocarbons, </w:t>
      </w:r>
      <w:proofErr w:type="spellStart"/>
      <w:r w:rsidRPr="00A80067">
        <w:rPr>
          <w:color w:val="000000"/>
        </w:rPr>
        <w:t>sulphur</w:t>
      </w:r>
      <w:proofErr w:type="spellEnd"/>
      <w:r w:rsidRPr="00A80067">
        <w:rPr>
          <w:color w:val="000000"/>
        </w:rPr>
        <w:t xml:space="preserve"> hexafluoride and nitrogen trifluoride) from five sectors (energy; industrial processes and product use; agriculture; land use, land-use change and forestry (LULUCF); and waste), (iii) use the methodologies provided in the 2006 IPCC Guidelines for National Greenhouse Gas inventories (2006 IPCC Guidelines), and (iv) use GWP from the IPCC Fourth Assessment </w:t>
      </w:r>
      <w:r w:rsidRPr="00A80067">
        <w:rPr>
          <w:color w:val="000000"/>
        </w:rPr>
        <w:lastRenderedPageBreak/>
        <w:t xml:space="preserve">Report </w:t>
      </w:r>
      <w:r>
        <w:rPr>
          <w:color w:val="000000"/>
        </w:rPr>
        <w:t xml:space="preserve">(AR4) </w:t>
      </w:r>
      <w:r w:rsidRPr="00A80067">
        <w:rPr>
          <w:color w:val="000000"/>
        </w:rPr>
        <w:t>(CH</w:t>
      </w:r>
      <w:r w:rsidRPr="00A80067">
        <w:rPr>
          <w:color w:val="000000"/>
          <w:vertAlign w:val="subscript"/>
        </w:rPr>
        <w:t>4</w:t>
      </w:r>
      <w:r w:rsidRPr="00A80067">
        <w:rPr>
          <w:color w:val="000000"/>
        </w:rPr>
        <w:t xml:space="preserve"> = 25; N</w:t>
      </w:r>
      <w:r w:rsidRPr="00A80067">
        <w:rPr>
          <w:color w:val="000000"/>
          <w:vertAlign w:val="subscript"/>
        </w:rPr>
        <w:t>2</w:t>
      </w:r>
      <w:r w:rsidRPr="00A80067">
        <w:rPr>
          <w:color w:val="000000"/>
        </w:rPr>
        <w:t xml:space="preserve">O = 298) prescribed in decision </w:t>
      </w:r>
      <w:r w:rsidRPr="007C3574">
        <w:t>24/CP.19</w:t>
      </w:r>
      <w:r w:rsidRPr="00A80067">
        <w:rPr>
          <w:color w:val="000000"/>
        </w:rPr>
        <w:t xml:space="preserve">. All Annex I GHG data was extracted from common reporting format tables as they contained the most recent inventory. </w:t>
      </w:r>
    </w:p>
    <w:p w14:paraId="20917B5C" w14:textId="77777777" w:rsidR="00F93893" w:rsidRDefault="00F93893" w:rsidP="00F93893">
      <w:pPr>
        <w:rPr>
          <w:color w:val="000000"/>
        </w:rPr>
      </w:pPr>
      <w:r w:rsidRPr="00A80067">
        <w:rPr>
          <w:color w:val="000000"/>
        </w:rPr>
        <w:t xml:space="preserve">With respect to LULUCF sector, key differences exist between reporting with Revised 1996 or 2006 Guidelines. The 1996 IPCC Guidelines for GHG accounting separate agriculture and LULUCF. The 2006 IPCC guidelines (required to be used after 2015 by Annex I countries) linked agriculture and LULUCF in one category known as Agriculture, Forestry and Other Land Use (AFOLU). </w:t>
      </w:r>
      <w:r w:rsidRPr="00A80067">
        <w:t>However, in terms of reporting with common reporting format tables, Annex I national inventories will continue to have two separate chapters for Agriculture and LULUCF beyond 2015 (</w:t>
      </w:r>
      <w:r>
        <w:t>D</w:t>
      </w:r>
      <w:r w:rsidRPr="007C3574">
        <w:t>ecision 24/CP.19</w:t>
      </w:r>
      <w:r w:rsidRPr="00A80067">
        <w:t xml:space="preserve">). </w:t>
      </w:r>
      <w:r w:rsidRPr="00A80067">
        <w:rPr>
          <w:color w:val="000000"/>
        </w:rPr>
        <w:t>The difference between agriculture and LULUCF is mainly that the former contains almost exclusively non-CO</w:t>
      </w:r>
      <w:r w:rsidRPr="00715EE0">
        <w:rPr>
          <w:color w:val="000000"/>
          <w:vertAlign w:val="subscript"/>
        </w:rPr>
        <w:t>2</w:t>
      </w:r>
      <w:r w:rsidRPr="00A80067">
        <w:rPr>
          <w:color w:val="000000"/>
        </w:rPr>
        <w:t xml:space="preserve"> emissions from production processes, whereas LULUCF contains mostly CO</w:t>
      </w:r>
      <w:r w:rsidRPr="00715EE0">
        <w:rPr>
          <w:color w:val="000000"/>
          <w:vertAlign w:val="subscript"/>
        </w:rPr>
        <w:t>2</w:t>
      </w:r>
      <w:r w:rsidRPr="00A80067">
        <w:rPr>
          <w:color w:val="000000"/>
        </w:rPr>
        <w:t xml:space="preserve"> emissions/removals. Hence, soil carbon is not considered within the </w:t>
      </w:r>
      <w:proofErr w:type="gramStart"/>
      <w:r w:rsidRPr="00A80067">
        <w:rPr>
          <w:color w:val="000000"/>
        </w:rPr>
        <w:t>Agriculture</w:t>
      </w:r>
      <w:proofErr w:type="gramEnd"/>
      <w:r w:rsidRPr="00A80067">
        <w:rPr>
          <w:color w:val="000000"/>
        </w:rPr>
        <w:t xml:space="preserve"> sector but rather under the Cropland and Grassland land use classes that are part of LULUCF.</w:t>
      </w:r>
    </w:p>
    <w:p w14:paraId="0836484D" w14:textId="77777777" w:rsidR="00F93893" w:rsidRDefault="00F93893" w:rsidP="00F93893">
      <w:pPr>
        <w:suppressLineNumbers/>
        <w:rPr>
          <w:color w:val="000000"/>
        </w:rPr>
      </w:pPr>
    </w:p>
    <w:p w14:paraId="25805737" w14:textId="77777777" w:rsidR="00F93893" w:rsidRDefault="00F93893" w:rsidP="00F93893">
      <w:pPr>
        <w:suppressLineNumbers/>
        <w:rPr>
          <w:color w:val="000000"/>
        </w:rPr>
      </w:pPr>
    </w:p>
    <w:p w14:paraId="479E9705" w14:textId="77777777" w:rsidR="00F93893" w:rsidRDefault="00F93893" w:rsidP="00F93893">
      <w:pPr>
        <w:suppressLineNumbers/>
        <w:rPr>
          <w:color w:val="000000"/>
        </w:rPr>
      </w:pPr>
    </w:p>
    <w:p w14:paraId="2A1483F1" w14:textId="77777777" w:rsidR="00F93893" w:rsidRDefault="00F93893" w:rsidP="00F93893">
      <w:pPr>
        <w:suppressLineNumbers/>
        <w:rPr>
          <w:color w:val="000000"/>
        </w:rPr>
      </w:pPr>
    </w:p>
    <w:p w14:paraId="70168851" w14:textId="77777777" w:rsidR="00F93893" w:rsidRDefault="00F93893" w:rsidP="00F93893">
      <w:pPr>
        <w:suppressLineNumbers/>
        <w:rPr>
          <w:color w:val="000000"/>
        </w:rPr>
      </w:pPr>
    </w:p>
    <w:p w14:paraId="2B788E7A" w14:textId="77777777" w:rsidR="00F93893" w:rsidRDefault="00F93893" w:rsidP="00F93893">
      <w:pPr>
        <w:suppressLineNumbers/>
        <w:rPr>
          <w:color w:val="000000"/>
        </w:rPr>
      </w:pPr>
    </w:p>
    <w:p w14:paraId="4AFEAC52" w14:textId="77777777" w:rsidR="00F93893" w:rsidRDefault="00F93893" w:rsidP="00F93893">
      <w:pPr>
        <w:suppressLineNumbers/>
        <w:rPr>
          <w:color w:val="000000"/>
        </w:rPr>
      </w:pPr>
    </w:p>
    <w:p w14:paraId="2725A300" w14:textId="77777777" w:rsidR="00F93893" w:rsidRDefault="00F93893" w:rsidP="00F93893">
      <w:pPr>
        <w:suppressLineNumbers/>
        <w:rPr>
          <w:color w:val="000000"/>
        </w:rPr>
      </w:pPr>
    </w:p>
    <w:p w14:paraId="69EB0F57" w14:textId="77777777" w:rsidR="00F93893" w:rsidRDefault="00F93893" w:rsidP="00F93893">
      <w:pPr>
        <w:suppressLineNumbers/>
        <w:rPr>
          <w:color w:val="000000"/>
        </w:rPr>
      </w:pPr>
    </w:p>
    <w:p w14:paraId="79B85C5C" w14:textId="77777777" w:rsidR="00F93893" w:rsidRDefault="00F93893" w:rsidP="00F93893">
      <w:pPr>
        <w:suppressLineNumbers/>
        <w:rPr>
          <w:color w:val="000000"/>
        </w:rPr>
      </w:pPr>
    </w:p>
    <w:p w14:paraId="30BC3ADF" w14:textId="77777777" w:rsidR="00F93893" w:rsidRDefault="00F93893" w:rsidP="00F93893">
      <w:pPr>
        <w:suppressLineNumbers/>
        <w:rPr>
          <w:color w:val="000000"/>
        </w:rPr>
      </w:pPr>
    </w:p>
    <w:p w14:paraId="402B43D2" w14:textId="77777777" w:rsidR="00F93893" w:rsidRDefault="00F93893" w:rsidP="00F93893">
      <w:pPr>
        <w:suppressLineNumbers/>
        <w:rPr>
          <w:color w:val="000000"/>
        </w:rPr>
      </w:pPr>
    </w:p>
    <w:p w14:paraId="56D59BB7" w14:textId="77777777" w:rsidR="00F93893" w:rsidRDefault="00F93893" w:rsidP="00F93893">
      <w:pPr>
        <w:suppressLineNumbers/>
        <w:rPr>
          <w:color w:val="000000"/>
        </w:rPr>
      </w:pPr>
    </w:p>
    <w:p w14:paraId="5BC39FCF" w14:textId="77777777" w:rsidR="00F93893" w:rsidRDefault="00F93893" w:rsidP="00F93893">
      <w:pPr>
        <w:suppressLineNumbers/>
        <w:rPr>
          <w:color w:val="000000"/>
        </w:rPr>
      </w:pPr>
    </w:p>
    <w:p w14:paraId="7AD6AA5A" w14:textId="77777777" w:rsidR="00F93893" w:rsidRDefault="00F93893" w:rsidP="00F93893">
      <w:pPr>
        <w:suppressLineNumbers/>
        <w:rPr>
          <w:color w:val="000000"/>
        </w:rPr>
      </w:pPr>
    </w:p>
    <w:p w14:paraId="18523CF4" w14:textId="77777777" w:rsidR="00F93893" w:rsidRDefault="00F93893" w:rsidP="00F93893">
      <w:pPr>
        <w:suppressLineNumbers/>
        <w:rPr>
          <w:color w:val="000000"/>
        </w:rPr>
      </w:pPr>
    </w:p>
    <w:p w14:paraId="25F912AA" w14:textId="77777777" w:rsidR="00F93893" w:rsidRDefault="00F93893" w:rsidP="00F93893">
      <w:pPr>
        <w:suppressLineNumbers/>
        <w:rPr>
          <w:color w:val="000000"/>
        </w:rPr>
      </w:pPr>
    </w:p>
    <w:p w14:paraId="5F4DDC2C" w14:textId="77777777" w:rsidR="00F93893" w:rsidRDefault="00F93893" w:rsidP="00F93893">
      <w:pPr>
        <w:suppressLineNumbers/>
        <w:rPr>
          <w:color w:val="000000"/>
        </w:rPr>
      </w:pPr>
    </w:p>
    <w:p w14:paraId="49046AB6" w14:textId="77777777" w:rsidR="00F93893" w:rsidRDefault="00F93893" w:rsidP="00F93893">
      <w:pPr>
        <w:suppressLineNumbers/>
        <w:rPr>
          <w:color w:val="000000"/>
        </w:rPr>
      </w:pPr>
    </w:p>
    <w:p w14:paraId="497EA314" w14:textId="77777777" w:rsidR="00F93893" w:rsidRDefault="00F93893" w:rsidP="00F93893">
      <w:pPr>
        <w:suppressLineNumbers/>
        <w:rPr>
          <w:color w:val="000000"/>
        </w:rPr>
      </w:pPr>
    </w:p>
    <w:p w14:paraId="1A4323BD" w14:textId="77777777" w:rsidR="00F93893" w:rsidRDefault="00F93893" w:rsidP="00F93893">
      <w:pPr>
        <w:suppressLineNumbers/>
        <w:rPr>
          <w:color w:val="000000"/>
        </w:rPr>
      </w:pPr>
    </w:p>
    <w:p w14:paraId="1CBECB99" w14:textId="77777777" w:rsidR="00F93893" w:rsidRDefault="00F93893" w:rsidP="00F93893">
      <w:pPr>
        <w:suppressLineNumbers/>
        <w:rPr>
          <w:color w:val="000000"/>
        </w:rPr>
      </w:pPr>
    </w:p>
    <w:p w14:paraId="5E95806D" w14:textId="77777777" w:rsidR="00F93893" w:rsidRDefault="00F93893" w:rsidP="00F93893">
      <w:pPr>
        <w:suppressLineNumbers/>
        <w:rPr>
          <w:color w:val="000000"/>
        </w:rPr>
      </w:pPr>
    </w:p>
    <w:p w14:paraId="286CB941" w14:textId="77777777" w:rsidR="00F93893" w:rsidRDefault="00F93893" w:rsidP="00F93893">
      <w:pPr>
        <w:suppressLineNumbers/>
        <w:rPr>
          <w:color w:val="000000"/>
        </w:rPr>
      </w:pPr>
    </w:p>
    <w:p w14:paraId="6E0BBC6A" w14:textId="77777777" w:rsidR="00F93893" w:rsidRDefault="00F93893" w:rsidP="00F93893">
      <w:pPr>
        <w:suppressLineNumbers/>
        <w:rPr>
          <w:color w:val="000000"/>
        </w:rPr>
      </w:pPr>
    </w:p>
    <w:p w14:paraId="53482B7D" w14:textId="77777777" w:rsidR="00F93893" w:rsidRDefault="00F93893" w:rsidP="00F93893">
      <w:pPr>
        <w:suppressLineNumbers/>
        <w:rPr>
          <w:color w:val="000000"/>
        </w:rPr>
      </w:pPr>
    </w:p>
    <w:p w14:paraId="12B9335A" w14:textId="77777777" w:rsidR="00F93893" w:rsidRDefault="00F93893" w:rsidP="00F93893">
      <w:pPr>
        <w:suppressLineNumbers/>
        <w:rPr>
          <w:color w:val="000000"/>
        </w:rPr>
      </w:pPr>
    </w:p>
    <w:p w14:paraId="65F3CE79" w14:textId="77777777" w:rsidR="00F93893" w:rsidRDefault="00F93893" w:rsidP="00F93893">
      <w:pPr>
        <w:suppressLineNumbers/>
        <w:rPr>
          <w:color w:val="000000"/>
        </w:rPr>
      </w:pPr>
    </w:p>
    <w:p w14:paraId="5544DC6F" w14:textId="77777777" w:rsidR="00F93893" w:rsidRDefault="00F93893" w:rsidP="00F93893">
      <w:pPr>
        <w:suppressLineNumbers/>
        <w:rPr>
          <w:color w:val="000000"/>
        </w:rPr>
      </w:pPr>
    </w:p>
    <w:p w14:paraId="4DC97E6B" w14:textId="77777777" w:rsidR="00F93893" w:rsidRDefault="00F93893" w:rsidP="00F93893">
      <w:pPr>
        <w:suppressLineNumbers/>
        <w:rPr>
          <w:color w:val="000000"/>
        </w:rPr>
      </w:pPr>
    </w:p>
    <w:p w14:paraId="46039E85" w14:textId="77777777" w:rsidR="00F93893" w:rsidRDefault="00F93893" w:rsidP="00F93893">
      <w:pPr>
        <w:suppressLineNumbers/>
        <w:rPr>
          <w:color w:val="000000"/>
        </w:rPr>
      </w:pPr>
    </w:p>
    <w:p w14:paraId="13E53161" w14:textId="77777777" w:rsidR="00F93893" w:rsidRDefault="00F93893" w:rsidP="00F93893">
      <w:pPr>
        <w:suppressLineNumbers/>
        <w:rPr>
          <w:b/>
          <w:bCs/>
        </w:rPr>
      </w:pPr>
    </w:p>
    <w:p w14:paraId="5AA420A4" w14:textId="77777777" w:rsidR="00F93893" w:rsidRDefault="00F93893" w:rsidP="00F93893">
      <w:pPr>
        <w:suppressLineNumbers/>
      </w:pPr>
      <w:r>
        <w:rPr>
          <w:b/>
          <w:bCs/>
        </w:rPr>
        <w:lastRenderedPageBreak/>
        <w:t>Supplementary Tables and Figures</w:t>
      </w:r>
    </w:p>
    <w:p w14:paraId="65851B94" w14:textId="77777777" w:rsidR="00F93893" w:rsidRDefault="00F93893" w:rsidP="00F93893">
      <w:pPr>
        <w:suppressLineNumbers/>
      </w:pPr>
    </w:p>
    <w:tbl>
      <w:tblPr>
        <w:tblStyle w:val="TableGrid"/>
        <w:tblW w:w="97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1923"/>
        <w:gridCol w:w="900"/>
        <w:gridCol w:w="2032"/>
        <w:gridCol w:w="943"/>
        <w:gridCol w:w="2130"/>
        <w:gridCol w:w="930"/>
      </w:tblGrid>
      <w:tr w:rsidR="00F93893" w:rsidRPr="00A80067" w14:paraId="4A054238" w14:textId="77777777" w:rsidTr="004813B8">
        <w:trPr>
          <w:trHeight w:val="222"/>
        </w:trPr>
        <w:tc>
          <w:tcPr>
            <w:tcW w:w="9725" w:type="dxa"/>
            <w:gridSpan w:val="7"/>
            <w:shd w:val="clear" w:color="auto" w:fill="FFFFFF" w:themeFill="background1"/>
            <w:vAlign w:val="center"/>
          </w:tcPr>
          <w:p w14:paraId="3E7FDB1A" w14:textId="77777777" w:rsidR="00F93893" w:rsidRPr="00B960A3" w:rsidRDefault="00F93893" w:rsidP="004813B8">
            <w:pPr>
              <w:pStyle w:val="ListParagraph"/>
              <w:ind w:left="0"/>
              <w:rPr>
                <w:b/>
                <w:bCs/>
                <w:sz w:val="22"/>
                <w:szCs w:val="22"/>
              </w:rPr>
            </w:pPr>
            <w:r w:rsidRPr="000E5269">
              <w:rPr>
                <w:b/>
                <w:bCs/>
                <w:sz w:val="22"/>
                <w:szCs w:val="22"/>
              </w:rPr>
              <w:t>Table S1:</w:t>
            </w:r>
            <w:r w:rsidRPr="00B960A3">
              <w:rPr>
                <w:sz w:val="22"/>
                <w:szCs w:val="22"/>
              </w:rPr>
              <w:t xml:space="preserve"> Ranking of top 10 agricultural emitters from the UNFCCC inventory by (</w:t>
            </w:r>
            <w:proofErr w:type="spellStart"/>
            <w:r w:rsidRPr="00B960A3">
              <w:rPr>
                <w:sz w:val="22"/>
                <w:szCs w:val="22"/>
              </w:rPr>
              <w:t>i</w:t>
            </w:r>
            <w:proofErr w:type="spellEnd"/>
            <w:r w:rsidRPr="00B960A3">
              <w:rPr>
                <w:sz w:val="22"/>
                <w:szCs w:val="22"/>
              </w:rPr>
              <w:t xml:space="preserve">) total emissions, (ii) percentage of total gross emissions, and (iii) emissions per capita based in 2018 using GWPs from AR5. U.S.A. = United States of America. U.R. = United Republic. </w:t>
            </w:r>
          </w:p>
        </w:tc>
      </w:tr>
      <w:tr w:rsidR="00F93893" w14:paraId="0010F6A7" w14:textId="77777777" w:rsidTr="004813B8">
        <w:trPr>
          <w:trHeight w:val="20"/>
        </w:trPr>
        <w:tc>
          <w:tcPr>
            <w:tcW w:w="867" w:type="dxa"/>
            <w:vMerge w:val="restart"/>
            <w:tcBorders>
              <w:right w:val="single" w:sz="4" w:space="0" w:color="auto"/>
            </w:tcBorders>
            <w:shd w:val="clear" w:color="auto" w:fill="000000" w:themeFill="text1"/>
            <w:vAlign w:val="center"/>
          </w:tcPr>
          <w:p w14:paraId="46CA4D03"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Rank</w:t>
            </w:r>
          </w:p>
        </w:tc>
        <w:tc>
          <w:tcPr>
            <w:tcW w:w="28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F950CB" w14:textId="77777777" w:rsidR="00F93893" w:rsidRPr="005639B7" w:rsidRDefault="00F93893" w:rsidP="004813B8">
            <w:pPr>
              <w:pStyle w:val="ListParagraph"/>
              <w:ind w:left="0"/>
              <w:jc w:val="center"/>
              <w:rPr>
                <w:b/>
                <w:bCs/>
              </w:rPr>
            </w:pPr>
            <w:r w:rsidRPr="005639B7">
              <w:rPr>
                <w:b/>
                <w:bCs/>
                <w:color w:val="000000"/>
              </w:rPr>
              <w:t xml:space="preserve">Agricultural emissions </w:t>
            </w:r>
            <w:r w:rsidRPr="005639B7">
              <w:rPr>
                <w:b/>
                <w:bCs/>
                <w:i/>
                <w:iCs/>
                <w:color w:val="000000"/>
              </w:rPr>
              <w:t>(megatons per year)</w:t>
            </w:r>
          </w:p>
        </w:tc>
        <w:tc>
          <w:tcPr>
            <w:tcW w:w="2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D5A61" w14:textId="77777777" w:rsidR="00F93893" w:rsidRPr="005639B7" w:rsidRDefault="00F93893" w:rsidP="004813B8">
            <w:pPr>
              <w:pStyle w:val="ListParagraph"/>
              <w:ind w:left="0"/>
              <w:jc w:val="center"/>
              <w:rPr>
                <w:b/>
                <w:bCs/>
              </w:rPr>
            </w:pPr>
            <w:r w:rsidRPr="005639B7">
              <w:rPr>
                <w:b/>
                <w:bCs/>
              </w:rPr>
              <w:t>Agricultural emissions as percentage of national emissions</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124E3" w14:textId="77777777" w:rsidR="00F93893" w:rsidRPr="005639B7" w:rsidRDefault="00F93893" w:rsidP="004813B8">
            <w:pPr>
              <w:pStyle w:val="ListParagraph"/>
              <w:ind w:left="0"/>
              <w:jc w:val="center"/>
              <w:rPr>
                <w:b/>
                <w:bCs/>
              </w:rPr>
            </w:pPr>
            <w:r w:rsidRPr="005639B7">
              <w:rPr>
                <w:b/>
                <w:bCs/>
                <w:color w:val="000000"/>
              </w:rPr>
              <w:t>Agricultural e</w:t>
            </w:r>
            <w:r w:rsidRPr="005639B7">
              <w:rPr>
                <w:b/>
                <w:bCs/>
              </w:rPr>
              <w:t xml:space="preserve">missions per capita </w:t>
            </w:r>
            <w:r w:rsidRPr="005639B7">
              <w:rPr>
                <w:b/>
                <w:bCs/>
                <w:i/>
                <w:iCs/>
              </w:rPr>
              <w:t>(metric ton)</w:t>
            </w:r>
          </w:p>
        </w:tc>
      </w:tr>
      <w:tr w:rsidR="00F93893" w14:paraId="720298B9" w14:textId="77777777" w:rsidTr="004813B8">
        <w:trPr>
          <w:trHeight w:val="20"/>
        </w:trPr>
        <w:tc>
          <w:tcPr>
            <w:tcW w:w="867" w:type="dxa"/>
            <w:vMerge/>
            <w:tcBorders>
              <w:bottom w:val="single" w:sz="4" w:space="0" w:color="auto"/>
              <w:right w:val="single" w:sz="4" w:space="0" w:color="auto"/>
            </w:tcBorders>
            <w:shd w:val="clear" w:color="auto" w:fill="000000" w:themeFill="text1"/>
            <w:vAlign w:val="center"/>
          </w:tcPr>
          <w:p w14:paraId="25D32482" w14:textId="77777777" w:rsidR="00F93893" w:rsidRPr="005639B7" w:rsidRDefault="00F93893" w:rsidP="004813B8">
            <w:pPr>
              <w:pStyle w:val="ListParagraph"/>
              <w:ind w:left="0"/>
              <w:jc w:val="center"/>
              <w:rPr>
                <w:b/>
                <w:bCs/>
                <w:color w:val="FFFFFF" w:themeColor="background1"/>
              </w:rPr>
            </w:pP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2C5FC7" w14:textId="77777777" w:rsidR="00F93893" w:rsidRPr="005639B7" w:rsidRDefault="00F93893" w:rsidP="004813B8">
            <w:pPr>
              <w:pStyle w:val="ListParagraph"/>
              <w:ind w:left="0"/>
              <w:jc w:val="center"/>
              <w:rPr>
                <w:i/>
                <w:iCs/>
              </w:rPr>
            </w:pPr>
            <w:r w:rsidRPr="005639B7">
              <w:rPr>
                <w:i/>
                <w:iCs/>
              </w:rPr>
              <w:t>Country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632086" w14:textId="77777777" w:rsidR="00F93893" w:rsidRPr="005639B7" w:rsidRDefault="00F93893" w:rsidP="004813B8">
            <w:pPr>
              <w:pStyle w:val="ListParagraph"/>
              <w:ind w:left="0"/>
              <w:jc w:val="center"/>
              <w:rPr>
                <w:i/>
                <w:iCs/>
              </w:rPr>
            </w:pPr>
            <w:r w:rsidRPr="005639B7">
              <w:rPr>
                <w:i/>
                <w:iCs/>
              </w:rPr>
              <w:t>CO</w:t>
            </w:r>
            <w:r w:rsidRPr="005639B7">
              <w:rPr>
                <w:i/>
                <w:iCs/>
                <w:vertAlign w:val="subscript"/>
              </w:rPr>
              <w:t>2</w:t>
            </w:r>
            <w:r w:rsidRPr="005639B7">
              <w:rPr>
                <w:i/>
                <w:iCs/>
              </w:rPr>
              <w:t xml:space="preserve">e </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3763E" w14:textId="77777777" w:rsidR="00F93893" w:rsidRPr="005639B7" w:rsidRDefault="00F93893" w:rsidP="004813B8">
            <w:pPr>
              <w:pStyle w:val="ListParagraph"/>
              <w:ind w:left="0"/>
              <w:jc w:val="center"/>
              <w:rPr>
                <w:i/>
                <w:iCs/>
              </w:rPr>
            </w:pPr>
            <w:r w:rsidRPr="005639B7">
              <w:rPr>
                <w:i/>
                <w:iCs/>
              </w:rPr>
              <w:t>Country</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BFFE4" w14:textId="77777777" w:rsidR="00F93893" w:rsidRPr="005639B7" w:rsidRDefault="00F93893" w:rsidP="004813B8">
            <w:pPr>
              <w:pStyle w:val="ListParagraph"/>
              <w:ind w:left="0"/>
              <w:jc w:val="center"/>
              <w:rPr>
                <w:i/>
                <w:iCs/>
              </w:rPr>
            </w:pPr>
            <w:r w:rsidRPr="005639B7">
              <w:rPr>
                <w:i/>
                <w:iCs/>
              </w:rPr>
              <w:t>%</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49FBA" w14:textId="77777777" w:rsidR="00F93893" w:rsidRPr="005639B7" w:rsidRDefault="00F93893" w:rsidP="004813B8">
            <w:pPr>
              <w:pStyle w:val="ListParagraph"/>
              <w:ind w:left="0"/>
              <w:jc w:val="center"/>
              <w:rPr>
                <w:i/>
                <w:iCs/>
              </w:rPr>
            </w:pPr>
            <w:r w:rsidRPr="005639B7">
              <w:rPr>
                <w:i/>
                <w:iCs/>
              </w:rPr>
              <w:t>Country</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06A80" w14:textId="77777777" w:rsidR="00F93893" w:rsidRPr="005639B7" w:rsidRDefault="00F93893" w:rsidP="004813B8">
            <w:pPr>
              <w:pStyle w:val="ListParagraph"/>
              <w:ind w:left="0"/>
              <w:jc w:val="center"/>
              <w:rPr>
                <w:i/>
                <w:iCs/>
              </w:rPr>
            </w:pPr>
            <w:r w:rsidRPr="005639B7">
              <w:rPr>
                <w:i/>
                <w:iCs/>
              </w:rPr>
              <w:t>CO</w:t>
            </w:r>
            <w:r w:rsidRPr="005639B7">
              <w:rPr>
                <w:i/>
                <w:iCs/>
                <w:vertAlign w:val="subscript"/>
              </w:rPr>
              <w:t>2</w:t>
            </w:r>
            <w:r w:rsidRPr="005639B7">
              <w:rPr>
                <w:i/>
                <w:iCs/>
              </w:rPr>
              <w:t>e</w:t>
            </w:r>
          </w:p>
        </w:tc>
      </w:tr>
      <w:tr w:rsidR="00F93893" w14:paraId="736CF366" w14:textId="77777777" w:rsidTr="004813B8">
        <w:trPr>
          <w:trHeight w:val="20"/>
        </w:trPr>
        <w:tc>
          <w:tcPr>
            <w:tcW w:w="867" w:type="dxa"/>
            <w:tcBorders>
              <w:right w:val="single" w:sz="4" w:space="0" w:color="auto"/>
            </w:tcBorders>
            <w:shd w:val="clear" w:color="auto" w:fill="000000" w:themeFill="text1"/>
          </w:tcPr>
          <w:p w14:paraId="68A9E485"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1</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B0B122" w14:textId="77777777" w:rsidR="00F93893" w:rsidRPr="005639B7" w:rsidRDefault="00F93893" w:rsidP="004813B8">
            <w:pPr>
              <w:rPr>
                <w:color w:val="000000"/>
              </w:rPr>
            </w:pPr>
            <w:r w:rsidRPr="005639B7">
              <w:rPr>
                <w:color w:val="000000"/>
              </w:rPr>
              <w:t>China</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8857FF" w14:textId="77777777" w:rsidR="00F93893" w:rsidRPr="005639B7" w:rsidRDefault="00F93893" w:rsidP="004813B8">
            <w:pPr>
              <w:pStyle w:val="ListParagraph"/>
              <w:ind w:left="0"/>
              <w:jc w:val="center"/>
              <w:rPr>
                <w:color w:val="000000"/>
              </w:rPr>
            </w:pPr>
            <w:r w:rsidRPr="005639B7">
              <w:rPr>
                <w:color w:val="000000"/>
              </w:rPr>
              <w:t>932.9</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481AA" w14:textId="77777777" w:rsidR="00F93893" w:rsidRPr="005639B7" w:rsidRDefault="00F93893" w:rsidP="004813B8">
            <w:pPr>
              <w:pStyle w:val="ListParagraph"/>
              <w:ind w:left="0"/>
              <w:rPr>
                <w:color w:val="000000"/>
              </w:rPr>
            </w:pPr>
            <w:r w:rsidRPr="005639B7">
              <w:rPr>
                <w:color w:val="000000"/>
              </w:rPr>
              <w:t>Vanuatu</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F4128" w14:textId="77777777" w:rsidR="00F93893" w:rsidRPr="005639B7" w:rsidRDefault="00F93893" w:rsidP="004813B8">
            <w:pPr>
              <w:pStyle w:val="ListParagraph"/>
              <w:ind w:left="0"/>
              <w:jc w:val="center"/>
              <w:rPr>
                <w:color w:val="000000"/>
              </w:rPr>
            </w:pPr>
            <w:r w:rsidRPr="005639B7">
              <w:rPr>
                <w:color w:val="000000"/>
              </w:rPr>
              <w:t>87.4</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372AD" w14:textId="77777777" w:rsidR="00F93893" w:rsidRPr="005639B7" w:rsidRDefault="00F93893" w:rsidP="004813B8">
            <w:pPr>
              <w:pStyle w:val="ListParagraph"/>
              <w:ind w:left="0"/>
              <w:rPr>
                <w:color w:val="000000"/>
              </w:rPr>
            </w:pPr>
            <w:r w:rsidRPr="005639B7">
              <w:rPr>
                <w:color w:val="000000"/>
              </w:rPr>
              <w:t>New Zealand</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313D7" w14:textId="77777777" w:rsidR="00F93893" w:rsidRPr="005639B7" w:rsidRDefault="00F93893" w:rsidP="004813B8">
            <w:pPr>
              <w:pStyle w:val="ListParagraph"/>
              <w:ind w:left="0"/>
              <w:jc w:val="center"/>
              <w:rPr>
                <w:color w:val="000000"/>
              </w:rPr>
            </w:pPr>
            <w:r w:rsidRPr="005639B7">
              <w:rPr>
                <w:color w:val="000000"/>
              </w:rPr>
              <w:t>8.7</w:t>
            </w:r>
          </w:p>
        </w:tc>
      </w:tr>
      <w:tr w:rsidR="00F93893" w14:paraId="40261E62" w14:textId="77777777" w:rsidTr="004813B8">
        <w:trPr>
          <w:trHeight w:val="20"/>
        </w:trPr>
        <w:tc>
          <w:tcPr>
            <w:tcW w:w="867" w:type="dxa"/>
            <w:tcBorders>
              <w:right w:val="single" w:sz="4" w:space="0" w:color="auto"/>
            </w:tcBorders>
            <w:shd w:val="clear" w:color="auto" w:fill="000000" w:themeFill="text1"/>
          </w:tcPr>
          <w:p w14:paraId="35C27728"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2</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6210FA" w14:textId="77777777" w:rsidR="00F93893" w:rsidRPr="005639B7" w:rsidRDefault="00F93893" w:rsidP="004813B8">
            <w:pPr>
              <w:rPr>
                <w:color w:val="000000"/>
              </w:rPr>
            </w:pPr>
            <w:r w:rsidRPr="005639B7">
              <w:rPr>
                <w:color w:val="000000"/>
              </w:rPr>
              <w:t>U.S.A.</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31F952" w14:textId="77777777" w:rsidR="00F93893" w:rsidRPr="005639B7" w:rsidRDefault="00F93893" w:rsidP="004813B8">
            <w:pPr>
              <w:pStyle w:val="ListParagraph"/>
              <w:ind w:left="0"/>
              <w:jc w:val="center"/>
              <w:rPr>
                <w:color w:val="000000"/>
              </w:rPr>
            </w:pPr>
            <w:r w:rsidRPr="005639B7">
              <w:rPr>
                <w:color w:val="000000"/>
              </w:rPr>
              <w:t>611.2</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6A8F8" w14:textId="77777777" w:rsidR="00F93893" w:rsidRPr="005639B7" w:rsidRDefault="00F93893" w:rsidP="004813B8">
            <w:pPr>
              <w:pStyle w:val="ListParagraph"/>
              <w:ind w:left="0"/>
              <w:rPr>
                <w:color w:val="000000"/>
              </w:rPr>
            </w:pPr>
            <w:r w:rsidRPr="005639B7">
              <w:rPr>
                <w:color w:val="000000"/>
              </w:rPr>
              <w:t>Chad</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CDC5A" w14:textId="77777777" w:rsidR="00F93893" w:rsidRPr="005639B7" w:rsidRDefault="00F93893" w:rsidP="004813B8">
            <w:pPr>
              <w:pStyle w:val="ListParagraph"/>
              <w:ind w:left="0"/>
              <w:jc w:val="center"/>
              <w:rPr>
                <w:color w:val="000000"/>
              </w:rPr>
            </w:pPr>
            <w:r w:rsidRPr="005639B7">
              <w:rPr>
                <w:color w:val="000000"/>
              </w:rPr>
              <w:t>83.3</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E539F" w14:textId="77777777" w:rsidR="00F93893" w:rsidRPr="005639B7" w:rsidRDefault="00F93893" w:rsidP="004813B8">
            <w:pPr>
              <w:pStyle w:val="ListParagraph"/>
              <w:ind w:left="0"/>
              <w:rPr>
                <w:color w:val="000000"/>
              </w:rPr>
            </w:pPr>
            <w:r w:rsidRPr="005639B7">
              <w:rPr>
                <w:color w:val="000000"/>
              </w:rPr>
              <w:t>Uruguay</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AB608" w14:textId="77777777" w:rsidR="00F93893" w:rsidRPr="005639B7" w:rsidRDefault="00F93893" w:rsidP="004813B8">
            <w:pPr>
              <w:pStyle w:val="ListParagraph"/>
              <w:ind w:left="0"/>
              <w:jc w:val="center"/>
              <w:rPr>
                <w:color w:val="000000"/>
              </w:rPr>
            </w:pPr>
            <w:r w:rsidRPr="005639B7">
              <w:rPr>
                <w:color w:val="000000"/>
              </w:rPr>
              <w:t>8.1</w:t>
            </w:r>
          </w:p>
        </w:tc>
      </w:tr>
      <w:tr w:rsidR="00F93893" w14:paraId="4D90D98D" w14:textId="77777777" w:rsidTr="004813B8">
        <w:trPr>
          <w:trHeight w:val="20"/>
        </w:trPr>
        <w:tc>
          <w:tcPr>
            <w:tcW w:w="867" w:type="dxa"/>
            <w:tcBorders>
              <w:right w:val="single" w:sz="4" w:space="0" w:color="auto"/>
            </w:tcBorders>
            <w:shd w:val="clear" w:color="auto" w:fill="000000" w:themeFill="text1"/>
          </w:tcPr>
          <w:p w14:paraId="11686867"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3</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79DFE0" w14:textId="77777777" w:rsidR="00F93893" w:rsidRPr="005639B7" w:rsidRDefault="00F93893" w:rsidP="004813B8">
            <w:pPr>
              <w:rPr>
                <w:color w:val="000000"/>
              </w:rPr>
            </w:pPr>
            <w:r w:rsidRPr="005639B7">
              <w:rPr>
                <w:color w:val="000000"/>
              </w:rPr>
              <w:t>Brazil</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E97DF" w14:textId="77777777" w:rsidR="00F93893" w:rsidRPr="005639B7" w:rsidRDefault="00F93893" w:rsidP="004813B8">
            <w:pPr>
              <w:pStyle w:val="ListParagraph"/>
              <w:ind w:left="0"/>
              <w:jc w:val="center"/>
              <w:rPr>
                <w:color w:val="000000"/>
              </w:rPr>
            </w:pPr>
            <w:r w:rsidRPr="005639B7">
              <w:rPr>
                <w:color w:val="000000"/>
              </w:rPr>
              <w:t>506.9</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53DD3" w14:textId="77777777" w:rsidR="00F93893" w:rsidRPr="005639B7" w:rsidRDefault="00F93893" w:rsidP="004813B8">
            <w:pPr>
              <w:pStyle w:val="ListParagraph"/>
              <w:ind w:left="0"/>
              <w:rPr>
                <w:color w:val="000000"/>
              </w:rPr>
            </w:pPr>
            <w:r w:rsidRPr="005639B7">
              <w:rPr>
                <w:color w:val="000000"/>
              </w:rPr>
              <w:t>Rwanda</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18C37" w14:textId="77777777" w:rsidR="00F93893" w:rsidRPr="005639B7" w:rsidRDefault="00F93893" w:rsidP="004813B8">
            <w:pPr>
              <w:pStyle w:val="ListParagraph"/>
              <w:ind w:left="0"/>
              <w:jc w:val="center"/>
              <w:rPr>
                <w:color w:val="000000"/>
              </w:rPr>
            </w:pPr>
            <w:r w:rsidRPr="005639B7">
              <w:rPr>
                <w:color w:val="000000"/>
              </w:rPr>
              <w:t>82.7</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CD52C" w14:textId="77777777" w:rsidR="00F93893" w:rsidRPr="005639B7" w:rsidRDefault="00F93893" w:rsidP="004813B8">
            <w:pPr>
              <w:pStyle w:val="ListParagraph"/>
              <w:ind w:left="0"/>
              <w:rPr>
                <w:color w:val="000000"/>
              </w:rPr>
            </w:pPr>
            <w:r w:rsidRPr="005639B7">
              <w:rPr>
                <w:color w:val="000000"/>
              </w:rPr>
              <w:t>Mongolia</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AE5DA" w14:textId="77777777" w:rsidR="00F93893" w:rsidRPr="005639B7" w:rsidRDefault="00F93893" w:rsidP="004813B8">
            <w:pPr>
              <w:pStyle w:val="ListParagraph"/>
              <w:ind w:left="0"/>
              <w:jc w:val="center"/>
              <w:rPr>
                <w:color w:val="000000"/>
              </w:rPr>
            </w:pPr>
            <w:r w:rsidRPr="005639B7">
              <w:rPr>
                <w:color w:val="000000"/>
              </w:rPr>
              <w:t>6.3</w:t>
            </w:r>
          </w:p>
        </w:tc>
      </w:tr>
      <w:tr w:rsidR="00F93893" w14:paraId="16D7012E" w14:textId="77777777" w:rsidTr="004813B8">
        <w:trPr>
          <w:trHeight w:val="20"/>
        </w:trPr>
        <w:tc>
          <w:tcPr>
            <w:tcW w:w="867" w:type="dxa"/>
            <w:tcBorders>
              <w:right w:val="single" w:sz="4" w:space="0" w:color="auto"/>
            </w:tcBorders>
            <w:shd w:val="clear" w:color="auto" w:fill="000000" w:themeFill="text1"/>
          </w:tcPr>
          <w:p w14:paraId="48F6CBB7"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4</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F20EFC" w14:textId="77777777" w:rsidR="00F93893" w:rsidRPr="005639B7" w:rsidRDefault="00F93893" w:rsidP="004813B8">
            <w:pPr>
              <w:rPr>
                <w:color w:val="000000"/>
              </w:rPr>
            </w:pPr>
            <w:r w:rsidRPr="005639B7">
              <w:rPr>
                <w:color w:val="000000"/>
              </w:rPr>
              <w:t>India</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35BBC7" w14:textId="77777777" w:rsidR="00F93893" w:rsidRPr="005639B7" w:rsidRDefault="00F93893" w:rsidP="004813B8">
            <w:pPr>
              <w:pStyle w:val="ListParagraph"/>
              <w:ind w:left="0"/>
              <w:jc w:val="center"/>
              <w:rPr>
                <w:color w:val="000000"/>
              </w:rPr>
            </w:pPr>
            <w:r w:rsidRPr="005639B7">
              <w:rPr>
                <w:color w:val="000000"/>
              </w:rPr>
              <w:t>493.7</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1A028" w14:textId="77777777" w:rsidR="00F93893" w:rsidRPr="005639B7" w:rsidRDefault="00F93893" w:rsidP="004813B8">
            <w:pPr>
              <w:pStyle w:val="ListParagraph"/>
              <w:ind w:left="0"/>
              <w:rPr>
                <w:color w:val="000000"/>
              </w:rPr>
            </w:pPr>
            <w:r w:rsidRPr="005639B7">
              <w:rPr>
                <w:color w:val="000000"/>
              </w:rPr>
              <w:t>Burkina Faso</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9D05D" w14:textId="77777777" w:rsidR="00F93893" w:rsidRPr="005639B7" w:rsidRDefault="00F93893" w:rsidP="004813B8">
            <w:pPr>
              <w:pStyle w:val="ListParagraph"/>
              <w:ind w:left="0"/>
              <w:jc w:val="center"/>
              <w:rPr>
                <w:color w:val="000000"/>
              </w:rPr>
            </w:pPr>
            <w:r w:rsidRPr="005639B7">
              <w:rPr>
                <w:color w:val="000000"/>
              </w:rPr>
              <w:t>81.9</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B2B3E" w14:textId="77777777" w:rsidR="00F93893" w:rsidRPr="005639B7" w:rsidRDefault="00F93893" w:rsidP="004813B8">
            <w:pPr>
              <w:pStyle w:val="ListParagraph"/>
              <w:ind w:left="0"/>
              <w:rPr>
                <w:color w:val="000000"/>
              </w:rPr>
            </w:pPr>
            <w:r w:rsidRPr="005639B7">
              <w:rPr>
                <w:color w:val="000000"/>
              </w:rPr>
              <w:t>Paraguay</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6D0D9" w14:textId="77777777" w:rsidR="00F93893" w:rsidRPr="005639B7" w:rsidRDefault="00F93893" w:rsidP="004813B8">
            <w:pPr>
              <w:pStyle w:val="ListParagraph"/>
              <w:ind w:left="0"/>
              <w:jc w:val="center"/>
              <w:rPr>
                <w:color w:val="000000"/>
              </w:rPr>
            </w:pPr>
            <w:r w:rsidRPr="005639B7">
              <w:rPr>
                <w:color w:val="000000"/>
              </w:rPr>
              <w:t>4.6</w:t>
            </w:r>
          </w:p>
        </w:tc>
      </w:tr>
      <w:tr w:rsidR="00F93893" w14:paraId="624C208C" w14:textId="77777777" w:rsidTr="004813B8">
        <w:trPr>
          <w:trHeight w:val="20"/>
        </w:trPr>
        <w:tc>
          <w:tcPr>
            <w:tcW w:w="867" w:type="dxa"/>
            <w:tcBorders>
              <w:right w:val="single" w:sz="4" w:space="0" w:color="auto"/>
            </w:tcBorders>
            <w:shd w:val="clear" w:color="auto" w:fill="000000" w:themeFill="text1"/>
          </w:tcPr>
          <w:p w14:paraId="51550E36"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5</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0F18EA" w14:textId="77777777" w:rsidR="00F93893" w:rsidRPr="005639B7" w:rsidRDefault="00F93893" w:rsidP="004813B8">
            <w:pPr>
              <w:rPr>
                <w:color w:val="000000"/>
              </w:rPr>
            </w:pPr>
            <w:r w:rsidRPr="005639B7">
              <w:rPr>
                <w:color w:val="000000"/>
              </w:rPr>
              <w:t>Pakistan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3BA70B" w14:textId="77777777" w:rsidR="00F93893" w:rsidRPr="005639B7" w:rsidRDefault="00F93893" w:rsidP="004813B8">
            <w:pPr>
              <w:pStyle w:val="ListParagraph"/>
              <w:ind w:left="0"/>
              <w:jc w:val="center"/>
              <w:rPr>
                <w:color w:val="000000"/>
              </w:rPr>
            </w:pPr>
            <w:r w:rsidRPr="005639B7">
              <w:rPr>
                <w:color w:val="000000"/>
              </w:rPr>
              <w:t>173.5</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42942" w14:textId="77777777" w:rsidR="00F93893" w:rsidRPr="005639B7" w:rsidRDefault="00F93893" w:rsidP="004813B8">
            <w:pPr>
              <w:pStyle w:val="ListParagraph"/>
              <w:ind w:left="0"/>
              <w:rPr>
                <w:color w:val="000000"/>
              </w:rPr>
            </w:pPr>
            <w:r w:rsidRPr="005639B7">
              <w:rPr>
                <w:color w:val="000000"/>
              </w:rPr>
              <w:t>Guinea</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FC822" w14:textId="77777777" w:rsidR="00F93893" w:rsidRPr="005639B7" w:rsidRDefault="00F93893" w:rsidP="004813B8">
            <w:pPr>
              <w:pStyle w:val="ListParagraph"/>
              <w:ind w:left="0"/>
              <w:jc w:val="center"/>
              <w:rPr>
                <w:color w:val="000000"/>
              </w:rPr>
            </w:pPr>
            <w:r w:rsidRPr="005639B7">
              <w:rPr>
                <w:color w:val="000000"/>
              </w:rPr>
              <w:t>80.6</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D7D44" w14:textId="77777777" w:rsidR="00F93893" w:rsidRPr="005639B7" w:rsidRDefault="00F93893" w:rsidP="004813B8">
            <w:pPr>
              <w:pStyle w:val="ListParagraph"/>
              <w:ind w:left="0"/>
              <w:rPr>
                <w:color w:val="000000"/>
              </w:rPr>
            </w:pPr>
            <w:r w:rsidRPr="005639B7">
              <w:rPr>
                <w:color w:val="000000"/>
              </w:rPr>
              <w:t>Ireland</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5B8D64" w14:textId="77777777" w:rsidR="00F93893" w:rsidRPr="005639B7" w:rsidRDefault="00F93893" w:rsidP="004813B8">
            <w:pPr>
              <w:pStyle w:val="ListParagraph"/>
              <w:ind w:left="0"/>
              <w:jc w:val="center"/>
              <w:rPr>
                <w:color w:val="000000"/>
              </w:rPr>
            </w:pPr>
            <w:r w:rsidRPr="005639B7">
              <w:rPr>
                <w:color w:val="000000"/>
              </w:rPr>
              <w:t>4.4</w:t>
            </w:r>
          </w:p>
        </w:tc>
      </w:tr>
      <w:tr w:rsidR="00F93893" w14:paraId="585CAB58" w14:textId="77777777" w:rsidTr="004813B8">
        <w:trPr>
          <w:trHeight w:val="20"/>
        </w:trPr>
        <w:tc>
          <w:tcPr>
            <w:tcW w:w="867" w:type="dxa"/>
            <w:tcBorders>
              <w:right w:val="single" w:sz="4" w:space="0" w:color="auto"/>
            </w:tcBorders>
            <w:shd w:val="clear" w:color="auto" w:fill="000000" w:themeFill="text1"/>
          </w:tcPr>
          <w:p w14:paraId="1D89984B"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6</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A42B45" w14:textId="77777777" w:rsidR="00F93893" w:rsidRPr="005639B7" w:rsidRDefault="00F93893" w:rsidP="004813B8">
            <w:pPr>
              <w:rPr>
                <w:color w:val="000000"/>
              </w:rPr>
            </w:pPr>
            <w:r w:rsidRPr="005639B7">
              <w:rPr>
                <w:color w:val="000000"/>
              </w:rPr>
              <w:t>Tanzania</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1CCE7C" w14:textId="77777777" w:rsidR="00F93893" w:rsidRPr="005639B7" w:rsidRDefault="00F93893" w:rsidP="004813B8">
            <w:pPr>
              <w:pStyle w:val="ListParagraph"/>
              <w:ind w:left="0"/>
              <w:jc w:val="center"/>
              <w:rPr>
                <w:color w:val="000000"/>
              </w:rPr>
            </w:pPr>
            <w:r w:rsidRPr="005639B7">
              <w:rPr>
                <w:color w:val="000000"/>
              </w:rPr>
              <w:t>172.5</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A2B68" w14:textId="77777777" w:rsidR="00F93893" w:rsidRPr="005639B7" w:rsidRDefault="00F93893" w:rsidP="004813B8">
            <w:pPr>
              <w:pStyle w:val="ListParagraph"/>
              <w:ind w:left="0"/>
              <w:rPr>
                <w:color w:val="000000"/>
              </w:rPr>
            </w:pPr>
            <w:r w:rsidRPr="005639B7">
              <w:rPr>
                <w:color w:val="000000"/>
              </w:rPr>
              <w:t>Uruguay</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0361C" w14:textId="77777777" w:rsidR="00F93893" w:rsidRPr="005639B7" w:rsidRDefault="00F93893" w:rsidP="004813B8">
            <w:pPr>
              <w:pStyle w:val="ListParagraph"/>
              <w:ind w:left="0"/>
              <w:jc w:val="center"/>
              <w:rPr>
                <w:color w:val="000000"/>
              </w:rPr>
            </w:pPr>
            <w:r w:rsidRPr="005639B7">
              <w:rPr>
                <w:color w:val="000000"/>
              </w:rPr>
              <w:t>74.9</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8976E" w14:textId="77777777" w:rsidR="00F93893" w:rsidRPr="005639B7" w:rsidRDefault="00F93893" w:rsidP="004813B8">
            <w:pPr>
              <w:pStyle w:val="ListParagraph"/>
              <w:ind w:left="0"/>
              <w:rPr>
                <w:color w:val="000000"/>
              </w:rPr>
            </w:pPr>
            <w:r w:rsidRPr="005639B7">
              <w:rPr>
                <w:color w:val="000000"/>
              </w:rPr>
              <w:t>Guinea</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626D5" w14:textId="77777777" w:rsidR="00F93893" w:rsidRPr="005639B7" w:rsidRDefault="00F93893" w:rsidP="004813B8">
            <w:pPr>
              <w:pStyle w:val="ListParagraph"/>
              <w:ind w:left="0"/>
              <w:jc w:val="center"/>
              <w:rPr>
                <w:color w:val="000000"/>
              </w:rPr>
            </w:pPr>
            <w:r w:rsidRPr="005639B7">
              <w:rPr>
                <w:color w:val="000000"/>
              </w:rPr>
              <w:t>3.4</w:t>
            </w:r>
          </w:p>
        </w:tc>
      </w:tr>
      <w:tr w:rsidR="00F93893" w14:paraId="35015389" w14:textId="77777777" w:rsidTr="004813B8">
        <w:trPr>
          <w:trHeight w:val="20"/>
        </w:trPr>
        <w:tc>
          <w:tcPr>
            <w:tcW w:w="867" w:type="dxa"/>
            <w:tcBorders>
              <w:right w:val="single" w:sz="4" w:space="0" w:color="auto"/>
            </w:tcBorders>
            <w:shd w:val="clear" w:color="auto" w:fill="000000" w:themeFill="text1"/>
          </w:tcPr>
          <w:p w14:paraId="7626335F"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7</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8DACA3" w14:textId="77777777" w:rsidR="00F93893" w:rsidRPr="005639B7" w:rsidRDefault="00F93893" w:rsidP="004813B8">
            <w:pPr>
              <w:rPr>
                <w:color w:val="000000"/>
              </w:rPr>
            </w:pPr>
            <w:r w:rsidRPr="005639B7">
              <w:rPr>
                <w:color w:val="000000"/>
              </w:rPr>
              <w:t>Indonesia</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4BD10" w14:textId="77777777" w:rsidR="00F93893" w:rsidRPr="005639B7" w:rsidRDefault="00F93893" w:rsidP="004813B8">
            <w:pPr>
              <w:pStyle w:val="ListParagraph"/>
              <w:ind w:left="0"/>
              <w:jc w:val="center"/>
              <w:rPr>
                <w:color w:val="000000"/>
              </w:rPr>
            </w:pPr>
            <w:r w:rsidRPr="005639B7">
              <w:rPr>
                <w:color w:val="000000"/>
              </w:rPr>
              <w:t>122.3</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5CC1B" w14:textId="77777777" w:rsidR="00F93893" w:rsidRPr="005639B7" w:rsidRDefault="00F93893" w:rsidP="004813B8">
            <w:pPr>
              <w:pStyle w:val="ListParagraph"/>
              <w:ind w:left="0"/>
              <w:rPr>
                <w:color w:val="000000"/>
              </w:rPr>
            </w:pPr>
            <w:r w:rsidRPr="005639B7">
              <w:rPr>
                <w:color w:val="000000"/>
              </w:rPr>
              <w:t>Cameroon</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3F19D" w14:textId="77777777" w:rsidR="00F93893" w:rsidRPr="005639B7" w:rsidRDefault="00F93893" w:rsidP="004813B8">
            <w:pPr>
              <w:pStyle w:val="ListParagraph"/>
              <w:ind w:left="0"/>
              <w:jc w:val="center"/>
              <w:rPr>
                <w:color w:val="000000"/>
              </w:rPr>
            </w:pPr>
            <w:r w:rsidRPr="005639B7">
              <w:rPr>
                <w:color w:val="000000"/>
              </w:rPr>
              <w:t>73.6</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8F909" w14:textId="77777777" w:rsidR="00F93893" w:rsidRPr="005639B7" w:rsidRDefault="00F93893" w:rsidP="004813B8">
            <w:pPr>
              <w:pStyle w:val="ListParagraph"/>
              <w:ind w:left="0"/>
              <w:rPr>
                <w:color w:val="000000"/>
              </w:rPr>
            </w:pPr>
            <w:r w:rsidRPr="005639B7">
              <w:rPr>
                <w:color w:val="000000"/>
              </w:rPr>
              <w:t>Namibia</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6C8C7" w14:textId="77777777" w:rsidR="00F93893" w:rsidRPr="005639B7" w:rsidRDefault="00F93893" w:rsidP="004813B8">
            <w:pPr>
              <w:pStyle w:val="ListParagraph"/>
              <w:ind w:left="0"/>
              <w:jc w:val="center"/>
              <w:rPr>
                <w:color w:val="000000"/>
              </w:rPr>
            </w:pPr>
            <w:r w:rsidRPr="005639B7">
              <w:rPr>
                <w:color w:val="000000"/>
              </w:rPr>
              <w:t>3.4</w:t>
            </w:r>
          </w:p>
        </w:tc>
      </w:tr>
      <w:tr w:rsidR="00F93893" w14:paraId="5A57E313" w14:textId="77777777" w:rsidTr="004813B8">
        <w:trPr>
          <w:trHeight w:val="20"/>
        </w:trPr>
        <w:tc>
          <w:tcPr>
            <w:tcW w:w="867" w:type="dxa"/>
            <w:tcBorders>
              <w:right w:val="single" w:sz="4" w:space="0" w:color="auto"/>
            </w:tcBorders>
            <w:shd w:val="clear" w:color="auto" w:fill="000000" w:themeFill="text1"/>
          </w:tcPr>
          <w:p w14:paraId="0EEE6F10"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8</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276671" w14:textId="77777777" w:rsidR="00F93893" w:rsidRPr="005639B7" w:rsidRDefault="00F93893" w:rsidP="004813B8">
            <w:pPr>
              <w:rPr>
                <w:color w:val="000000"/>
              </w:rPr>
            </w:pPr>
            <w:r w:rsidRPr="005639B7">
              <w:rPr>
                <w:color w:val="000000"/>
              </w:rPr>
              <w:t>Argentina</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91EEA4" w14:textId="77777777" w:rsidR="00F93893" w:rsidRPr="005639B7" w:rsidRDefault="00F93893" w:rsidP="004813B8">
            <w:pPr>
              <w:pStyle w:val="ListParagraph"/>
              <w:ind w:left="0"/>
              <w:jc w:val="center"/>
              <w:rPr>
                <w:color w:val="000000"/>
              </w:rPr>
            </w:pPr>
            <w:r w:rsidRPr="005639B7">
              <w:rPr>
                <w:color w:val="000000"/>
              </w:rPr>
              <w:t>116.1</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CF180" w14:textId="77777777" w:rsidR="00F93893" w:rsidRPr="005639B7" w:rsidRDefault="00F93893" w:rsidP="004813B8">
            <w:pPr>
              <w:pStyle w:val="ListParagraph"/>
              <w:ind w:left="0"/>
              <w:rPr>
                <w:color w:val="000000"/>
              </w:rPr>
            </w:pPr>
            <w:r w:rsidRPr="005639B7">
              <w:rPr>
                <w:color w:val="000000"/>
              </w:rPr>
              <w:t>Bhutan</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9B93A" w14:textId="77777777" w:rsidR="00F93893" w:rsidRPr="005639B7" w:rsidRDefault="00F93893" w:rsidP="004813B8">
            <w:pPr>
              <w:pStyle w:val="ListParagraph"/>
              <w:ind w:left="0"/>
              <w:jc w:val="center"/>
              <w:rPr>
                <w:color w:val="000000"/>
              </w:rPr>
            </w:pPr>
            <w:r w:rsidRPr="005639B7">
              <w:rPr>
                <w:color w:val="000000"/>
              </w:rPr>
              <w:t>66.2</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3DE7A" w14:textId="77777777" w:rsidR="00F93893" w:rsidRPr="005639B7" w:rsidRDefault="00F93893" w:rsidP="004813B8">
            <w:pPr>
              <w:pStyle w:val="ListParagraph"/>
              <w:ind w:left="0"/>
              <w:rPr>
                <w:color w:val="000000"/>
              </w:rPr>
            </w:pPr>
            <w:r w:rsidRPr="005639B7">
              <w:rPr>
                <w:color w:val="000000"/>
              </w:rPr>
              <w:t>U.R. of Tanzania</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AEAA0" w14:textId="77777777" w:rsidR="00F93893" w:rsidRPr="005639B7" w:rsidRDefault="00F93893" w:rsidP="004813B8">
            <w:pPr>
              <w:pStyle w:val="ListParagraph"/>
              <w:ind w:left="0"/>
              <w:jc w:val="center"/>
              <w:rPr>
                <w:color w:val="000000"/>
              </w:rPr>
            </w:pPr>
            <w:r w:rsidRPr="005639B7">
              <w:rPr>
                <w:color w:val="000000"/>
              </w:rPr>
              <w:t>3.1</w:t>
            </w:r>
          </w:p>
        </w:tc>
      </w:tr>
      <w:tr w:rsidR="00F93893" w14:paraId="55D1AAC1" w14:textId="77777777" w:rsidTr="004813B8">
        <w:trPr>
          <w:trHeight w:val="20"/>
        </w:trPr>
        <w:tc>
          <w:tcPr>
            <w:tcW w:w="867" w:type="dxa"/>
            <w:tcBorders>
              <w:right w:val="single" w:sz="4" w:space="0" w:color="auto"/>
            </w:tcBorders>
            <w:shd w:val="clear" w:color="auto" w:fill="000000" w:themeFill="text1"/>
          </w:tcPr>
          <w:p w14:paraId="78AF3FC4"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9</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E49AC" w14:textId="77777777" w:rsidR="00F93893" w:rsidRPr="005639B7" w:rsidRDefault="00F93893" w:rsidP="004813B8">
            <w:pPr>
              <w:rPr>
                <w:color w:val="000000"/>
              </w:rPr>
            </w:pPr>
            <w:r w:rsidRPr="005639B7">
              <w:rPr>
                <w:color w:val="000000"/>
              </w:rPr>
              <w:t>Russia</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CD34E8" w14:textId="77777777" w:rsidR="00F93893" w:rsidRPr="005639B7" w:rsidRDefault="00F93893" w:rsidP="004813B8">
            <w:pPr>
              <w:pStyle w:val="ListParagraph"/>
              <w:ind w:left="0"/>
              <w:jc w:val="center"/>
              <w:rPr>
                <w:color w:val="000000"/>
              </w:rPr>
            </w:pPr>
            <w:r w:rsidRPr="005639B7">
              <w:rPr>
                <w:color w:val="000000"/>
              </w:rPr>
              <w:t>111.1</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39800" w14:textId="77777777" w:rsidR="00F93893" w:rsidRPr="005639B7" w:rsidRDefault="00F93893" w:rsidP="004813B8">
            <w:pPr>
              <w:pStyle w:val="ListParagraph"/>
              <w:ind w:left="0"/>
              <w:rPr>
                <w:color w:val="000000"/>
              </w:rPr>
            </w:pPr>
            <w:r w:rsidRPr="005639B7">
              <w:rPr>
                <w:color w:val="000000"/>
              </w:rPr>
              <w:t>Mauritania</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B0B2C" w14:textId="77777777" w:rsidR="00F93893" w:rsidRPr="005639B7" w:rsidRDefault="00F93893" w:rsidP="004813B8">
            <w:pPr>
              <w:pStyle w:val="ListParagraph"/>
              <w:ind w:left="0"/>
              <w:jc w:val="center"/>
              <w:rPr>
                <w:color w:val="000000"/>
              </w:rPr>
            </w:pPr>
            <w:r w:rsidRPr="005639B7">
              <w:rPr>
                <w:color w:val="000000"/>
              </w:rPr>
              <w:t>65.9</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86249" w14:textId="77777777" w:rsidR="00F93893" w:rsidRPr="005639B7" w:rsidRDefault="00F93893" w:rsidP="004813B8">
            <w:pPr>
              <w:pStyle w:val="ListParagraph"/>
              <w:ind w:left="0"/>
              <w:rPr>
                <w:color w:val="000000"/>
              </w:rPr>
            </w:pPr>
            <w:r w:rsidRPr="005639B7">
              <w:rPr>
                <w:color w:val="000000"/>
              </w:rPr>
              <w:t>Mali</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796A" w14:textId="77777777" w:rsidR="00F93893" w:rsidRPr="005639B7" w:rsidRDefault="00F93893" w:rsidP="004813B8">
            <w:pPr>
              <w:pStyle w:val="ListParagraph"/>
              <w:ind w:left="0"/>
              <w:jc w:val="center"/>
              <w:rPr>
                <w:color w:val="000000"/>
              </w:rPr>
            </w:pPr>
            <w:r w:rsidRPr="005639B7">
              <w:rPr>
                <w:color w:val="000000"/>
              </w:rPr>
              <w:t>3.0</w:t>
            </w:r>
          </w:p>
        </w:tc>
      </w:tr>
      <w:tr w:rsidR="00F93893" w14:paraId="401D3AF8" w14:textId="77777777" w:rsidTr="004813B8">
        <w:trPr>
          <w:trHeight w:val="20"/>
        </w:trPr>
        <w:tc>
          <w:tcPr>
            <w:tcW w:w="867" w:type="dxa"/>
            <w:tcBorders>
              <w:bottom w:val="single" w:sz="4" w:space="0" w:color="auto"/>
              <w:right w:val="single" w:sz="4" w:space="0" w:color="auto"/>
            </w:tcBorders>
            <w:shd w:val="clear" w:color="auto" w:fill="000000" w:themeFill="text1"/>
          </w:tcPr>
          <w:p w14:paraId="67908062" w14:textId="77777777" w:rsidR="00F93893" w:rsidRPr="005639B7" w:rsidRDefault="00F93893" w:rsidP="004813B8">
            <w:pPr>
              <w:pStyle w:val="ListParagraph"/>
              <w:ind w:left="0"/>
              <w:jc w:val="center"/>
              <w:rPr>
                <w:b/>
                <w:bCs/>
                <w:color w:val="FFFFFF" w:themeColor="background1"/>
              </w:rPr>
            </w:pPr>
            <w:r w:rsidRPr="005639B7">
              <w:rPr>
                <w:b/>
                <w:bCs/>
                <w:color w:val="FFFFFF" w:themeColor="background1"/>
              </w:rPr>
              <w:t>10</w:t>
            </w:r>
          </w:p>
        </w:tc>
        <w:tc>
          <w:tcPr>
            <w:tcW w:w="1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9A1A60" w14:textId="77777777" w:rsidR="00F93893" w:rsidRPr="005639B7" w:rsidRDefault="00F93893" w:rsidP="004813B8">
            <w:pPr>
              <w:rPr>
                <w:color w:val="000000"/>
              </w:rPr>
            </w:pPr>
            <w:r w:rsidRPr="005639B7">
              <w:rPr>
                <w:color w:val="000000"/>
              </w:rPr>
              <w:t>Mexico</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2A880" w14:textId="77777777" w:rsidR="00F93893" w:rsidRPr="005639B7" w:rsidRDefault="00F93893" w:rsidP="004813B8">
            <w:pPr>
              <w:pStyle w:val="ListParagraph"/>
              <w:ind w:left="0"/>
              <w:jc w:val="center"/>
              <w:rPr>
                <w:color w:val="000000"/>
              </w:rPr>
            </w:pPr>
            <w:r w:rsidRPr="005639B7">
              <w:rPr>
                <w:color w:val="000000"/>
              </w:rPr>
              <w:t>101.6</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6DEE2" w14:textId="77777777" w:rsidR="00F93893" w:rsidRPr="005639B7" w:rsidRDefault="00F93893" w:rsidP="004813B8">
            <w:pPr>
              <w:pStyle w:val="ListParagraph"/>
              <w:ind w:left="0"/>
              <w:rPr>
                <w:color w:val="000000"/>
              </w:rPr>
            </w:pPr>
            <w:r w:rsidRPr="005639B7">
              <w:rPr>
                <w:color w:val="000000"/>
              </w:rPr>
              <w:t>Sudan</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180A3" w14:textId="77777777" w:rsidR="00F93893" w:rsidRPr="005639B7" w:rsidRDefault="00F93893" w:rsidP="004813B8">
            <w:pPr>
              <w:pStyle w:val="ListParagraph"/>
              <w:ind w:left="0"/>
              <w:jc w:val="center"/>
              <w:rPr>
                <w:color w:val="000000"/>
              </w:rPr>
            </w:pPr>
            <w:r w:rsidRPr="005639B7">
              <w:rPr>
                <w:color w:val="000000"/>
              </w:rPr>
              <w:t>64.8</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09C7F" w14:textId="77777777" w:rsidR="00F93893" w:rsidRPr="005639B7" w:rsidRDefault="00F93893" w:rsidP="004813B8">
            <w:pPr>
              <w:pStyle w:val="ListParagraph"/>
              <w:ind w:left="0"/>
              <w:rPr>
                <w:color w:val="000000"/>
              </w:rPr>
            </w:pPr>
            <w:r w:rsidRPr="005639B7">
              <w:rPr>
                <w:color w:val="000000"/>
              </w:rPr>
              <w:t>Australia</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07F37" w14:textId="77777777" w:rsidR="00F93893" w:rsidRPr="005639B7" w:rsidRDefault="00F93893" w:rsidP="004813B8">
            <w:pPr>
              <w:pStyle w:val="ListParagraph"/>
              <w:ind w:left="0"/>
              <w:jc w:val="center"/>
              <w:rPr>
                <w:color w:val="000000"/>
              </w:rPr>
            </w:pPr>
            <w:r w:rsidRPr="005639B7">
              <w:rPr>
                <w:color w:val="000000"/>
              </w:rPr>
              <w:t>2.9</w:t>
            </w:r>
          </w:p>
        </w:tc>
      </w:tr>
    </w:tbl>
    <w:p w14:paraId="3C6C1BB4" w14:textId="77777777" w:rsidR="00F93893" w:rsidRDefault="00F93893" w:rsidP="00F93893">
      <w:pPr>
        <w:suppressLineNumbers/>
      </w:pPr>
    </w:p>
    <w:p w14:paraId="1A6F998A" w14:textId="77777777" w:rsidR="00F93893" w:rsidRDefault="00F93893" w:rsidP="00F93893">
      <w:pPr>
        <w:suppressLineNumbers/>
      </w:pPr>
    </w:p>
    <w:p w14:paraId="4662121B" w14:textId="77777777" w:rsidR="00F93893" w:rsidRDefault="00F93893" w:rsidP="00F93893">
      <w:pPr>
        <w:suppressLineNumbers/>
      </w:pPr>
    </w:p>
    <w:p w14:paraId="3B5D80E2" w14:textId="77777777" w:rsidR="00F93893" w:rsidRPr="006E1D4D" w:rsidRDefault="00F93893" w:rsidP="00F93893">
      <w:pPr>
        <w:suppressLineNumbers/>
      </w:pPr>
    </w:p>
    <w:p w14:paraId="0D26273C" w14:textId="77777777" w:rsidR="00F93893" w:rsidRDefault="00F93893" w:rsidP="00F93893">
      <w:pPr>
        <w:suppressLineNumbers/>
      </w:pPr>
    </w:p>
    <w:p w14:paraId="0BBBE711" w14:textId="77777777" w:rsidR="00F93893" w:rsidRDefault="00F93893" w:rsidP="00F93893">
      <w:pPr>
        <w:suppressLineNumbers/>
      </w:pPr>
    </w:p>
    <w:p w14:paraId="429C287B" w14:textId="77777777" w:rsidR="00F93893" w:rsidRDefault="00F93893" w:rsidP="00F93893">
      <w:pPr>
        <w:keepNext/>
        <w:suppressLineNumbers/>
      </w:pPr>
      <w:r>
        <w:rPr>
          <w:noProof/>
        </w:rPr>
        <w:drawing>
          <wp:inline distT="0" distB="0" distL="0" distR="0" wp14:anchorId="6723EC56" wp14:editId="682E8152">
            <wp:extent cx="5892800" cy="2835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17344" cy="2847548"/>
                    </a:xfrm>
                    <a:prstGeom prst="rect">
                      <a:avLst/>
                    </a:prstGeom>
                  </pic:spPr>
                </pic:pic>
              </a:graphicData>
            </a:graphic>
          </wp:inline>
        </w:drawing>
      </w:r>
    </w:p>
    <w:p w14:paraId="7BC9BE16" w14:textId="77777777" w:rsidR="00F93893" w:rsidRPr="000A35A3" w:rsidRDefault="00F93893" w:rsidP="00F93893">
      <w:pPr>
        <w:pStyle w:val="Caption"/>
        <w:suppressLineNumbers/>
        <w:rPr>
          <w:i w:val="0"/>
          <w:iCs w:val="0"/>
          <w:color w:val="000000" w:themeColor="text1"/>
          <w:sz w:val="22"/>
          <w:szCs w:val="22"/>
        </w:rPr>
      </w:pPr>
      <w:r w:rsidRPr="00B53D61">
        <w:rPr>
          <w:b/>
          <w:bCs/>
          <w:i w:val="0"/>
          <w:iCs w:val="0"/>
          <w:color w:val="000000" w:themeColor="text1"/>
          <w:sz w:val="22"/>
          <w:szCs w:val="22"/>
        </w:rPr>
        <w:t xml:space="preserve">Figure </w:t>
      </w:r>
      <w:r>
        <w:rPr>
          <w:b/>
          <w:bCs/>
          <w:i w:val="0"/>
          <w:iCs w:val="0"/>
          <w:color w:val="000000" w:themeColor="text1"/>
          <w:sz w:val="22"/>
          <w:szCs w:val="22"/>
        </w:rPr>
        <w:t>S</w:t>
      </w:r>
      <w:r w:rsidRPr="00B53D61">
        <w:rPr>
          <w:b/>
          <w:bCs/>
          <w:i w:val="0"/>
          <w:iCs w:val="0"/>
          <w:color w:val="000000" w:themeColor="text1"/>
          <w:sz w:val="22"/>
          <w:szCs w:val="22"/>
        </w:rPr>
        <w:t>1:</w:t>
      </w:r>
      <w:r w:rsidRPr="00B53D61">
        <w:rPr>
          <w:i w:val="0"/>
          <w:iCs w:val="0"/>
          <w:color w:val="000000" w:themeColor="text1"/>
          <w:sz w:val="22"/>
          <w:szCs w:val="22"/>
        </w:rPr>
        <w:t xml:space="preserve"> </w:t>
      </w:r>
      <w:r w:rsidRPr="00B04140">
        <w:rPr>
          <w:i w:val="0"/>
          <w:iCs w:val="0"/>
          <w:color w:val="000000" w:themeColor="text1"/>
          <w:sz w:val="22"/>
          <w:szCs w:val="22"/>
        </w:rPr>
        <w:t>Latest year of GHG inventory data submitted by non-Annex I countries (via NCs or BURs) to the UNFCCC. Decision 2/CP.17, created in March 2012, states “that non-Annex I Parties, consistent with their capabilities and the level of support provided for reporting, should submit their first biennial update report by December 2014; the least developed country Parties and small island developing States may submit biennial update reports at their discretion.”</w:t>
      </w:r>
    </w:p>
    <w:p w14:paraId="058E562B" w14:textId="77777777" w:rsidR="00F93893" w:rsidRDefault="00F93893" w:rsidP="00F93893">
      <w:pPr>
        <w:suppressLineNumbers/>
      </w:pPr>
      <w:r>
        <w:rPr>
          <w:noProof/>
        </w:rPr>
        <w:lastRenderedPageBreak/>
        <w:drawing>
          <wp:inline distT="0" distB="0" distL="0" distR="0" wp14:anchorId="5B241E13" wp14:editId="13A29F57">
            <wp:extent cx="5943600" cy="708723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7087235"/>
                    </a:xfrm>
                    <a:prstGeom prst="rect">
                      <a:avLst/>
                    </a:prstGeom>
                  </pic:spPr>
                </pic:pic>
              </a:graphicData>
            </a:graphic>
          </wp:inline>
        </w:drawing>
      </w:r>
    </w:p>
    <w:p w14:paraId="408C72FB" w14:textId="77777777" w:rsidR="00F93893" w:rsidRPr="000A35A3" w:rsidRDefault="00F93893" w:rsidP="00F93893">
      <w:pPr>
        <w:pStyle w:val="Caption"/>
        <w:suppressLineNumbers/>
        <w:rPr>
          <w:i w:val="0"/>
          <w:iCs w:val="0"/>
          <w:color w:val="000000" w:themeColor="text1"/>
          <w:sz w:val="22"/>
          <w:szCs w:val="22"/>
        </w:rPr>
      </w:pPr>
      <w:r w:rsidRPr="000E5269">
        <w:rPr>
          <w:b/>
          <w:bCs/>
          <w:i w:val="0"/>
          <w:iCs w:val="0"/>
          <w:color w:val="000000" w:themeColor="text1"/>
          <w:sz w:val="22"/>
          <w:szCs w:val="22"/>
        </w:rPr>
        <w:t>Figure S</w:t>
      </w:r>
      <w:r>
        <w:rPr>
          <w:b/>
          <w:bCs/>
          <w:i w:val="0"/>
          <w:iCs w:val="0"/>
          <w:color w:val="000000" w:themeColor="text1"/>
          <w:sz w:val="22"/>
          <w:szCs w:val="22"/>
        </w:rPr>
        <w:t>2</w:t>
      </w:r>
      <w:r w:rsidRPr="000E5269">
        <w:rPr>
          <w:b/>
          <w:bCs/>
          <w:i w:val="0"/>
          <w:iCs w:val="0"/>
          <w:color w:val="000000" w:themeColor="text1"/>
          <w:sz w:val="22"/>
          <w:szCs w:val="22"/>
        </w:rPr>
        <w:t>:</w:t>
      </w:r>
      <w:r w:rsidRPr="0074539B">
        <w:rPr>
          <w:i w:val="0"/>
          <w:iCs w:val="0"/>
          <w:color w:val="000000" w:themeColor="text1"/>
          <w:sz w:val="22"/>
          <w:szCs w:val="22"/>
        </w:rPr>
        <w:t xml:space="preserve"> Annual national agricultural emissions (left) and associated top 10 emitters (right) converted to CO</w:t>
      </w:r>
      <w:r w:rsidRPr="0074539B">
        <w:rPr>
          <w:i w:val="0"/>
          <w:iCs w:val="0"/>
          <w:color w:val="000000" w:themeColor="text1"/>
          <w:sz w:val="22"/>
          <w:szCs w:val="22"/>
          <w:vertAlign w:val="subscript"/>
        </w:rPr>
        <w:t>2</w:t>
      </w:r>
      <w:r w:rsidRPr="0074539B">
        <w:rPr>
          <w:i w:val="0"/>
          <w:iCs w:val="0"/>
          <w:color w:val="000000" w:themeColor="text1"/>
          <w:sz w:val="22"/>
          <w:szCs w:val="22"/>
        </w:rPr>
        <w:t>e (CH</w:t>
      </w:r>
      <w:r w:rsidRPr="0074539B">
        <w:rPr>
          <w:i w:val="0"/>
          <w:iCs w:val="0"/>
          <w:color w:val="000000" w:themeColor="text1"/>
          <w:sz w:val="22"/>
          <w:szCs w:val="22"/>
          <w:vertAlign w:val="subscript"/>
        </w:rPr>
        <w:t>4</w:t>
      </w:r>
      <w:r w:rsidRPr="0074539B">
        <w:rPr>
          <w:i w:val="0"/>
          <w:iCs w:val="0"/>
          <w:color w:val="000000" w:themeColor="text1"/>
          <w:sz w:val="22"/>
          <w:szCs w:val="22"/>
        </w:rPr>
        <w:t xml:space="preserve"> GWP</w:t>
      </w:r>
      <w:r w:rsidRPr="0074539B">
        <w:rPr>
          <w:i w:val="0"/>
          <w:iCs w:val="0"/>
          <w:color w:val="000000" w:themeColor="text1"/>
          <w:sz w:val="22"/>
          <w:szCs w:val="22"/>
          <w:vertAlign w:val="subscript"/>
        </w:rPr>
        <w:t xml:space="preserve"> </w:t>
      </w:r>
      <w:r w:rsidRPr="0074539B">
        <w:rPr>
          <w:i w:val="0"/>
          <w:iCs w:val="0"/>
          <w:color w:val="000000" w:themeColor="text1"/>
          <w:sz w:val="22"/>
          <w:szCs w:val="22"/>
        </w:rPr>
        <w:t>= 28; N</w:t>
      </w:r>
      <w:r w:rsidRPr="0074539B">
        <w:rPr>
          <w:i w:val="0"/>
          <w:iCs w:val="0"/>
          <w:color w:val="000000" w:themeColor="text1"/>
          <w:sz w:val="22"/>
          <w:szCs w:val="22"/>
          <w:vertAlign w:val="subscript"/>
        </w:rPr>
        <w:t>2</w:t>
      </w:r>
      <w:r w:rsidRPr="0074539B">
        <w:rPr>
          <w:i w:val="0"/>
          <w:iCs w:val="0"/>
          <w:color w:val="000000" w:themeColor="text1"/>
          <w:sz w:val="22"/>
          <w:szCs w:val="22"/>
        </w:rPr>
        <w:t>O GWP = 265) for (a) UNFCCC, (b) FAOSTAT, (c) WRI-CAIT and (d) EDGAR GHG inventories. Grey countries = no NC or data.</w:t>
      </w:r>
    </w:p>
    <w:p w14:paraId="2F17A9A4" w14:textId="77777777" w:rsidR="00F93893" w:rsidRDefault="00F93893"/>
    <w:sectPr w:rsidR="00F93893" w:rsidSect="00F93893">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542392"/>
      <w:docPartObj>
        <w:docPartGallery w:val="Page Numbers (Bottom of Page)"/>
        <w:docPartUnique/>
      </w:docPartObj>
    </w:sdtPr>
    <w:sdtContent>
      <w:p w14:paraId="60C77750" w14:textId="77777777" w:rsidR="00957A4F" w:rsidRDefault="00000000" w:rsidP="007A4A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F39266E" w14:textId="77777777" w:rsidR="00957A4F" w:rsidRDefault="00000000" w:rsidP="00957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755817"/>
      <w:docPartObj>
        <w:docPartGallery w:val="Page Numbers (Bottom of Page)"/>
        <w:docPartUnique/>
      </w:docPartObj>
    </w:sdtPr>
    <w:sdtContent>
      <w:p w14:paraId="21917C4A" w14:textId="77777777" w:rsidR="00957A4F" w:rsidRDefault="00000000" w:rsidP="007A4A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59E4AB" w14:textId="77777777" w:rsidR="00957A4F" w:rsidRDefault="00000000" w:rsidP="00957A4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93"/>
    <w:rsid w:val="007B0137"/>
    <w:rsid w:val="00F9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AC6B03"/>
  <w15:chartTrackingRefBased/>
  <w15:docId w15:val="{952CEA90-D09D-184A-9759-2BC52BF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9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893"/>
    <w:pPr>
      <w:spacing w:before="100" w:beforeAutospacing="1" w:after="100" w:afterAutospacing="1"/>
    </w:pPr>
  </w:style>
  <w:style w:type="character" w:styleId="Hyperlink">
    <w:name w:val="Hyperlink"/>
    <w:basedOn w:val="DefaultParagraphFont"/>
    <w:uiPriority w:val="99"/>
    <w:unhideWhenUsed/>
    <w:rsid w:val="00F93893"/>
    <w:rPr>
      <w:color w:val="0000FF"/>
      <w:u w:val="single"/>
    </w:rPr>
  </w:style>
  <w:style w:type="paragraph" w:styleId="Footer">
    <w:name w:val="footer"/>
    <w:basedOn w:val="Normal"/>
    <w:link w:val="FooterChar"/>
    <w:uiPriority w:val="99"/>
    <w:unhideWhenUsed/>
    <w:rsid w:val="00F93893"/>
    <w:pPr>
      <w:tabs>
        <w:tab w:val="center" w:pos="4680"/>
        <w:tab w:val="right" w:pos="9360"/>
      </w:tabs>
    </w:pPr>
  </w:style>
  <w:style w:type="character" w:customStyle="1" w:styleId="FooterChar">
    <w:name w:val="Footer Char"/>
    <w:basedOn w:val="DefaultParagraphFont"/>
    <w:link w:val="Footer"/>
    <w:uiPriority w:val="99"/>
    <w:rsid w:val="00F93893"/>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93893"/>
  </w:style>
  <w:style w:type="paragraph" w:styleId="ListParagraph">
    <w:name w:val="List Paragraph"/>
    <w:basedOn w:val="Normal"/>
    <w:uiPriority w:val="34"/>
    <w:qFormat/>
    <w:rsid w:val="00F93893"/>
    <w:pPr>
      <w:ind w:left="720"/>
      <w:contextualSpacing/>
    </w:pPr>
  </w:style>
  <w:style w:type="paragraph" w:styleId="Caption">
    <w:name w:val="caption"/>
    <w:basedOn w:val="Normal"/>
    <w:next w:val="Normal"/>
    <w:uiPriority w:val="35"/>
    <w:unhideWhenUsed/>
    <w:qFormat/>
    <w:rsid w:val="00F93893"/>
    <w:pPr>
      <w:spacing w:after="200"/>
    </w:pPr>
    <w:rPr>
      <w:i/>
      <w:iCs/>
      <w:color w:val="44546A" w:themeColor="text2"/>
      <w:sz w:val="18"/>
      <w:szCs w:val="18"/>
    </w:rPr>
  </w:style>
  <w:style w:type="table" w:styleId="TableGrid">
    <w:name w:val="Table Grid"/>
    <w:basedOn w:val="TableNormal"/>
    <w:uiPriority w:val="39"/>
    <w:rsid w:val="00F9389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9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Dittmer</dc:creator>
  <cp:keywords/>
  <dc:description/>
  <cp:lastModifiedBy>Kyle Dittmer</cp:lastModifiedBy>
  <cp:revision>2</cp:revision>
  <dcterms:created xsi:type="dcterms:W3CDTF">2023-02-01T20:34:00Z</dcterms:created>
  <dcterms:modified xsi:type="dcterms:W3CDTF">2023-02-01T20:36:00Z</dcterms:modified>
</cp:coreProperties>
</file>