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695B" w14:textId="1C53B650" w:rsidR="0084692C" w:rsidRPr="00AA0DC7" w:rsidRDefault="008C0E9A" w:rsidP="00AA0DC7">
      <w:pPr>
        <w:pStyle w:val="Caption"/>
        <w:keepNext/>
        <w:rPr>
          <w:i w:val="0"/>
          <w:iCs w:val="0"/>
          <w:color w:val="auto"/>
          <w:sz w:val="24"/>
          <w:szCs w:val="24"/>
        </w:rPr>
      </w:pPr>
      <w:r w:rsidRPr="00A714F4">
        <w:rPr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="006D66A2">
        <w:rPr>
          <w:b/>
          <w:bCs/>
          <w:i w:val="0"/>
          <w:iCs w:val="0"/>
          <w:color w:val="auto"/>
          <w:sz w:val="24"/>
          <w:szCs w:val="24"/>
        </w:rPr>
        <w:t>S1</w:t>
      </w:r>
      <w:r w:rsidRPr="00A714F4">
        <w:rPr>
          <w:b/>
          <w:bCs/>
          <w:i w:val="0"/>
          <w:iCs w:val="0"/>
          <w:color w:val="auto"/>
          <w:sz w:val="24"/>
          <w:szCs w:val="24"/>
        </w:rPr>
        <w:t xml:space="preserve">: </w:t>
      </w:r>
      <w:r>
        <w:rPr>
          <w:i w:val="0"/>
          <w:iCs w:val="0"/>
          <w:color w:val="auto"/>
          <w:sz w:val="24"/>
          <w:szCs w:val="24"/>
        </w:rPr>
        <w:t xml:space="preserve">Summary of hormone concentration data for </w:t>
      </w:r>
      <w:r w:rsidR="00D8475F">
        <w:rPr>
          <w:i w:val="0"/>
          <w:iCs w:val="0"/>
          <w:color w:val="auto"/>
          <w:sz w:val="24"/>
          <w:szCs w:val="24"/>
        </w:rPr>
        <w:t>8 cats with androgen-secreting adrenal tumors</w:t>
      </w:r>
      <w:r>
        <w:rPr>
          <w:i w:val="0"/>
          <w:iCs w:val="0"/>
          <w:color w:val="auto"/>
          <w:sz w:val="24"/>
          <w:szCs w:val="24"/>
        </w:rPr>
        <w:t>.</w:t>
      </w:r>
    </w:p>
    <w:tbl>
      <w:tblPr>
        <w:tblStyle w:val="TableGrid"/>
        <w:tblW w:w="11700" w:type="dxa"/>
        <w:tblInd w:w="-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1165"/>
        <w:gridCol w:w="1012"/>
        <w:gridCol w:w="1013"/>
        <w:gridCol w:w="1012"/>
        <w:gridCol w:w="1013"/>
        <w:gridCol w:w="1012"/>
        <w:gridCol w:w="1013"/>
        <w:gridCol w:w="1012"/>
        <w:gridCol w:w="1013"/>
      </w:tblGrid>
      <w:tr w:rsidR="0084692C" w14:paraId="714CAF4D" w14:textId="77777777" w:rsidTr="00E518DC">
        <w:tc>
          <w:tcPr>
            <w:tcW w:w="2435" w:type="dxa"/>
          </w:tcPr>
          <w:p w14:paraId="3D22766C" w14:textId="77777777" w:rsidR="0084692C" w:rsidRDefault="0084692C">
            <w:pPr>
              <w:contextualSpacing/>
            </w:pPr>
          </w:p>
        </w:tc>
        <w:tc>
          <w:tcPr>
            <w:tcW w:w="1165" w:type="dxa"/>
          </w:tcPr>
          <w:p w14:paraId="6E25E413" w14:textId="77777777" w:rsidR="0084692C" w:rsidRDefault="0084692C">
            <w:pPr>
              <w:contextualSpacing/>
            </w:pPr>
          </w:p>
        </w:tc>
        <w:tc>
          <w:tcPr>
            <w:tcW w:w="1012" w:type="dxa"/>
          </w:tcPr>
          <w:p w14:paraId="3EAB9ABF" w14:textId="6B9340EF" w:rsidR="0084692C" w:rsidRDefault="0084692C" w:rsidP="00AA0DC7">
            <w:pPr>
              <w:contextualSpacing/>
              <w:jc w:val="center"/>
            </w:pPr>
            <w:r>
              <w:t>Cat 1</w:t>
            </w:r>
          </w:p>
        </w:tc>
        <w:tc>
          <w:tcPr>
            <w:tcW w:w="1013" w:type="dxa"/>
          </w:tcPr>
          <w:p w14:paraId="585C7650" w14:textId="6780E308" w:rsidR="0084692C" w:rsidRDefault="0084692C" w:rsidP="00AA0DC7">
            <w:pPr>
              <w:contextualSpacing/>
              <w:jc w:val="center"/>
            </w:pPr>
            <w:r>
              <w:t>Cat 2</w:t>
            </w:r>
          </w:p>
        </w:tc>
        <w:tc>
          <w:tcPr>
            <w:tcW w:w="1012" w:type="dxa"/>
          </w:tcPr>
          <w:p w14:paraId="6E33CE99" w14:textId="480E8A81" w:rsidR="0084692C" w:rsidRDefault="0084692C" w:rsidP="00AA0DC7">
            <w:pPr>
              <w:contextualSpacing/>
              <w:jc w:val="center"/>
            </w:pPr>
            <w:r>
              <w:t>Cat 3</w:t>
            </w:r>
          </w:p>
        </w:tc>
        <w:tc>
          <w:tcPr>
            <w:tcW w:w="1013" w:type="dxa"/>
          </w:tcPr>
          <w:p w14:paraId="5489C73B" w14:textId="52F82F51" w:rsidR="0084692C" w:rsidRDefault="0084692C" w:rsidP="00AA0DC7">
            <w:pPr>
              <w:contextualSpacing/>
              <w:jc w:val="center"/>
            </w:pPr>
            <w:r>
              <w:t>Cat 4</w:t>
            </w:r>
          </w:p>
        </w:tc>
        <w:tc>
          <w:tcPr>
            <w:tcW w:w="1012" w:type="dxa"/>
          </w:tcPr>
          <w:p w14:paraId="44AD01D1" w14:textId="2A5E0A65" w:rsidR="0084692C" w:rsidRDefault="0084692C" w:rsidP="00AA0DC7">
            <w:pPr>
              <w:contextualSpacing/>
              <w:jc w:val="center"/>
            </w:pPr>
            <w:r>
              <w:t>Cat 5</w:t>
            </w:r>
          </w:p>
        </w:tc>
        <w:tc>
          <w:tcPr>
            <w:tcW w:w="1013" w:type="dxa"/>
          </w:tcPr>
          <w:p w14:paraId="3C2B9188" w14:textId="74C9BD69" w:rsidR="0084692C" w:rsidRDefault="0084692C" w:rsidP="00AA0DC7">
            <w:pPr>
              <w:contextualSpacing/>
              <w:jc w:val="center"/>
            </w:pPr>
            <w:r>
              <w:t>Cat 6</w:t>
            </w:r>
          </w:p>
        </w:tc>
        <w:tc>
          <w:tcPr>
            <w:tcW w:w="1012" w:type="dxa"/>
          </w:tcPr>
          <w:p w14:paraId="6E7AE9BE" w14:textId="66C40893" w:rsidR="0084692C" w:rsidRDefault="0084692C" w:rsidP="00AA0DC7">
            <w:pPr>
              <w:contextualSpacing/>
              <w:jc w:val="center"/>
            </w:pPr>
            <w:r>
              <w:t>Cat 7</w:t>
            </w:r>
          </w:p>
        </w:tc>
        <w:tc>
          <w:tcPr>
            <w:tcW w:w="1013" w:type="dxa"/>
          </w:tcPr>
          <w:p w14:paraId="7C6607F8" w14:textId="3EE5378F" w:rsidR="0084692C" w:rsidRDefault="0084692C" w:rsidP="00AA0DC7">
            <w:pPr>
              <w:contextualSpacing/>
              <w:jc w:val="center"/>
            </w:pPr>
            <w:r>
              <w:t>Cat 8</w:t>
            </w:r>
          </w:p>
        </w:tc>
      </w:tr>
      <w:tr w:rsidR="00AA0DC7" w14:paraId="11E3B296" w14:textId="77777777" w:rsidTr="00E518DC">
        <w:tc>
          <w:tcPr>
            <w:tcW w:w="2435" w:type="dxa"/>
            <w:tcBorders>
              <w:bottom w:val="single" w:sz="12" w:space="0" w:color="auto"/>
            </w:tcBorders>
          </w:tcPr>
          <w:p w14:paraId="37AADB44" w14:textId="77777777" w:rsidR="0084692C" w:rsidRDefault="0084692C">
            <w:pPr>
              <w:contextualSpacing/>
            </w:pPr>
          </w:p>
        </w:tc>
        <w:tc>
          <w:tcPr>
            <w:tcW w:w="1165" w:type="dxa"/>
            <w:tcBorders>
              <w:bottom w:val="single" w:sz="12" w:space="0" w:color="auto"/>
            </w:tcBorders>
          </w:tcPr>
          <w:p w14:paraId="30AA8E61" w14:textId="3A07D3F8" w:rsidR="0084692C" w:rsidRDefault="0084692C" w:rsidP="002608B6">
            <w:pPr>
              <w:contextualSpacing/>
              <w:jc w:val="center"/>
            </w:pPr>
            <w:r w:rsidRPr="0084692C">
              <w:rPr>
                <w:sz w:val="22"/>
                <w:szCs w:val="20"/>
              </w:rPr>
              <w:t>R</w:t>
            </w:r>
            <w:r w:rsidR="00A05680">
              <w:rPr>
                <w:sz w:val="22"/>
                <w:szCs w:val="20"/>
              </w:rPr>
              <w:t>I</w:t>
            </w: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14:paraId="1A24EE71" w14:textId="17FCF17F" w:rsidR="0084692C" w:rsidRPr="0084692C" w:rsidRDefault="0084692C" w:rsidP="002608B6">
            <w:pPr>
              <w:contextualSpacing/>
              <w:jc w:val="center"/>
              <w:rPr>
                <w:sz w:val="22"/>
              </w:rPr>
            </w:pPr>
            <w:r w:rsidRPr="0084692C">
              <w:rPr>
                <w:sz w:val="22"/>
              </w:rPr>
              <w:t>7y M/C</w:t>
            </w:r>
          </w:p>
        </w:tc>
        <w:tc>
          <w:tcPr>
            <w:tcW w:w="1013" w:type="dxa"/>
            <w:tcBorders>
              <w:bottom w:val="single" w:sz="12" w:space="0" w:color="auto"/>
            </w:tcBorders>
          </w:tcPr>
          <w:p w14:paraId="15DC184E" w14:textId="402348A6" w:rsidR="0084692C" w:rsidRPr="0084692C" w:rsidRDefault="0084692C" w:rsidP="002608B6">
            <w:pPr>
              <w:contextualSpacing/>
              <w:jc w:val="center"/>
              <w:rPr>
                <w:sz w:val="22"/>
              </w:rPr>
            </w:pPr>
            <w:r w:rsidRPr="0084692C">
              <w:rPr>
                <w:sz w:val="22"/>
              </w:rPr>
              <w:t>7y M/C</w:t>
            </w: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14:paraId="379D251B" w14:textId="2E129E31" w:rsidR="0084692C" w:rsidRPr="0084692C" w:rsidRDefault="0084692C" w:rsidP="002608B6">
            <w:pPr>
              <w:contextualSpacing/>
              <w:jc w:val="center"/>
              <w:rPr>
                <w:sz w:val="22"/>
              </w:rPr>
            </w:pPr>
            <w:r w:rsidRPr="0084692C">
              <w:rPr>
                <w:sz w:val="22"/>
              </w:rPr>
              <w:t>7y F/S</w:t>
            </w:r>
          </w:p>
        </w:tc>
        <w:tc>
          <w:tcPr>
            <w:tcW w:w="1013" w:type="dxa"/>
            <w:tcBorders>
              <w:bottom w:val="single" w:sz="12" w:space="0" w:color="auto"/>
            </w:tcBorders>
          </w:tcPr>
          <w:p w14:paraId="22A53C33" w14:textId="4F6BC36A" w:rsidR="0084692C" w:rsidRPr="0084692C" w:rsidRDefault="0084692C" w:rsidP="002608B6">
            <w:pPr>
              <w:contextualSpacing/>
              <w:jc w:val="center"/>
              <w:rPr>
                <w:sz w:val="22"/>
              </w:rPr>
            </w:pPr>
            <w:r w:rsidRPr="0084692C">
              <w:rPr>
                <w:sz w:val="22"/>
              </w:rPr>
              <w:t>10y F/S</w:t>
            </w: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14:paraId="38033DA1" w14:textId="45A73163" w:rsidR="0084692C" w:rsidRPr="0084692C" w:rsidRDefault="0084692C" w:rsidP="002608B6">
            <w:pPr>
              <w:contextualSpacing/>
              <w:jc w:val="center"/>
              <w:rPr>
                <w:sz w:val="22"/>
              </w:rPr>
            </w:pPr>
            <w:r w:rsidRPr="0084692C">
              <w:rPr>
                <w:sz w:val="22"/>
              </w:rPr>
              <w:t>8y M/C</w:t>
            </w:r>
          </w:p>
        </w:tc>
        <w:tc>
          <w:tcPr>
            <w:tcW w:w="1013" w:type="dxa"/>
            <w:tcBorders>
              <w:bottom w:val="single" w:sz="12" w:space="0" w:color="auto"/>
            </w:tcBorders>
          </w:tcPr>
          <w:p w14:paraId="6F601FCE" w14:textId="053A5387" w:rsidR="0084692C" w:rsidRPr="0084692C" w:rsidRDefault="0084692C" w:rsidP="002608B6">
            <w:pPr>
              <w:contextualSpacing/>
              <w:jc w:val="center"/>
              <w:rPr>
                <w:sz w:val="22"/>
              </w:rPr>
            </w:pPr>
            <w:r w:rsidRPr="0084692C">
              <w:rPr>
                <w:sz w:val="22"/>
              </w:rPr>
              <w:t>15y F/S</w:t>
            </w: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14:paraId="55B10544" w14:textId="63A01FBE" w:rsidR="0084692C" w:rsidRPr="0084692C" w:rsidRDefault="0084692C" w:rsidP="002608B6">
            <w:pPr>
              <w:contextualSpacing/>
              <w:jc w:val="center"/>
              <w:rPr>
                <w:sz w:val="22"/>
              </w:rPr>
            </w:pPr>
            <w:r w:rsidRPr="0084692C">
              <w:rPr>
                <w:sz w:val="22"/>
              </w:rPr>
              <w:t>11y</w:t>
            </w:r>
            <w:r>
              <w:rPr>
                <w:sz w:val="22"/>
              </w:rPr>
              <w:t xml:space="preserve"> </w:t>
            </w:r>
            <w:r w:rsidRPr="0084692C">
              <w:rPr>
                <w:sz w:val="22"/>
              </w:rPr>
              <w:t>M/C</w:t>
            </w:r>
          </w:p>
        </w:tc>
        <w:tc>
          <w:tcPr>
            <w:tcW w:w="1013" w:type="dxa"/>
            <w:tcBorders>
              <w:bottom w:val="single" w:sz="12" w:space="0" w:color="auto"/>
            </w:tcBorders>
          </w:tcPr>
          <w:p w14:paraId="0323DD0B" w14:textId="488FB71A" w:rsidR="0084692C" w:rsidRPr="0084692C" w:rsidRDefault="0084692C" w:rsidP="002608B6">
            <w:pPr>
              <w:contextualSpacing/>
              <w:jc w:val="center"/>
              <w:rPr>
                <w:sz w:val="22"/>
              </w:rPr>
            </w:pPr>
            <w:r w:rsidRPr="0084692C">
              <w:rPr>
                <w:sz w:val="22"/>
              </w:rPr>
              <w:t>9y M/C</w:t>
            </w:r>
          </w:p>
        </w:tc>
      </w:tr>
      <w:tr w:rsidR="0084692C" w14:paraId="50A11153" w14:textId="77777777" w:rsidTr="00E518DC">
        <w:tc>
          <w:tcPr>
            <w:tcW w:w="2435" w:type="dxa"/>
            <w:tcBorders>
              <w:top w:val="single" w:sz="12" w:space="0" w:color="auto"/>
              <w:bottom w:val="dashSmallGap" w:sz="4" w:space="0" w:color="auto"/>
            </w:tcBorders>
          </w:tcPr>
          <w:p w14:paraId="25EE00B4" w14:textId="5AF934E8" w:rsidR="0084692C" w:rsidRDefault="0084692C">
            <w:pPr>
              <w:contextualSpacing/>
            </w:pPr>
            <w:r>
              <w:t>Aldosterone (pmol/L)</w:t>
            </w:r>
          </w:p>
        </w:tc>
        <w:tc>
          <w:tcPr>
            <w:tcW w:w="1165" w:type="dxa"/>
            <w:tcBorders>
              <w:top w:val="single" w:sz="12" w:space="0" w:color="auto"/>
              <w:bottom w:val="dashSmallGap" w:sz="4" w:space="0" w:color="auto"/>
            </w:tcBorders>
          </w:tcPr>
          <w:p w14:paraId="369DCA3D" w14:textId="45221EF8" w:rsidR="0084692C" w:rsidRDefault="00E518DC" w:rsidP="002608B6">
            <w:pPr>
              <w:contextualSpacing/>
              <w:jc w:val="center"/>
            </w:pPr>
            <w:r>
              <w:t>194-388</w:t>
            </w:r>
          </w:p>
        </w:tc>
        <w:tc>
          <w:tcPr>
            <w:tcW w:w="1012" w:type="dxa"/>
            <w:tcBorders>
              <w:top w:val="single" w:sz="12" w:space="0" w:color="auto"/>
              <w:bottom w:val="dashSmallGap" w:sz="4" w:space="0" w:color="auto"/>
            </w:tcBorders>
          </w:tcPr>
          <w:p w14:paraId="5E645F9F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3" w:type="dxa"/>
            <w:tcBorders>
              <w:top w:val="single" w:sz="12" w:space="0" w:color="auto"/>
              <w:bottom w:val="dashSmallGap" w:sz="4" w:space="0" w:color="auto"/>
            </w:tcBorders>
          </w:tcPr>
          <w:p w14:paraId="4BB55251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2" w:type="dxa"/>
            <w:tcBorders>
              <w:top w:val="single" w:sz="12" w:space="0" w:color="auto"/>
              <w:bottom w:val="dashSmallGap" w:sz="4" w:space="0" w:color="auto"/>
            </w:tcBorders>
          </w:tcPr>
          <w:p w14:paraId="0623DB6D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3" w:type="dxa"/>
            <w:tcBorders>
              <w:top w:val="single" w:sz="12" w:space="0" w:color="auto"/>
              <w:bottom w:val="dashSmallGap" w:sz="4" w:space="0" w:color="auto"/>
            </w:tcBorders>
          </w:tcPr>
          <w:p w14:paraId="28A58A97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2" w:type="dxa"/>
            <w:tcBorders>
              <w:top w:val="single" w:sz="12" w:space="0" w:color="auto"/>
              <w:bottom w:val="dashSmallGap" w:sz="4" w:space="0" w:color="auto"/>
            </w:tcBorders>
          </w:tcPr>
          <w:p w14:paraId="71C279DA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3" w:type="dxa"/>
            <w:tcBorders>
              <w:top w:val="single" w:sz="12" w:space="0" w:color="auto"/>
              <w:bottom w:val="dashSmallGap" w:sz="4" w:space="0" w:color="auto"/>
            </w:tcBorders>
          </w:tcPr>
          <w:p w14:paraId="4CC98679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2" w:type="dxa"/>
            <w:tcBorders>
              <w:top w:val="single" w:sz="12" w:space="0" w:color="auto"/>
              <w:bottom w:val="dashSmallGap" w:sz="4" w:space="0" w:color="auto"/>
            </w:tcBorders>
          </w:tcPr>
          <w:p w14:paraId="6A38A78C" w14:textId="41CA781E" w:rsidR="0084692C" w:rsidRDefault="00AA0DC7" w:rsidP="002608B6">
            <w:pPr>
              <w:contextualSpacing/>
              <w:jc w:val="center"/>
            </w:pPr>
            <w:r>
              <w:t>159</w:t>
            </w:r>
          </w:p>
        </w:tc>
        <w:tc>
          <w:tcPr>
            <w:tcW w:w="1013" w:type="dxa"/>
            <w:tcBorders>
              <w:top w:val="single" w:sz="12" w:space="0" w:color="auto"/>
              <w:bottom w:val="dashSmallGap" w:sz="4" w:space="0" w:color="auto"/>
            </w:tcBorders>
          </w:tcPr>
          <w:p w14:paraId="1A808CAA" w14:textId="4179B3E4" w:rsidR="0084692C" w:rsidRDefault="00AA0DC7" w:rsidP="002608B6">
            <w:pPr>
              <w:contextualSpacing/>
              <w:jc w:val="center"/>
            </w:pPr>
            <w:r>
              <w:t>216</w:t>
            </w:r>
          </w:p>
        </w:tc>
      </w:tr>
      <w:tr w:rsidR="0084692C" w14:paraId="22735182" w14:textId="77777777" w:rsidTr="00E518DC">
        <w:tc>
          <w:tcPr>
            <w:tcW w:w="2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228680" w14:textId="53EE44AA" w:rsidR="0084692C" w:rsidRDefault="0084692C">
            <w:pPr>
              <w:contextualSpacing/>
            </w:pPr>
            <w:r>
              <w:t>Andro (nmol/L)</w:t>
            </w:r>
          </w:p>
        </w:tc>
        <w:tc>
          <w:tcPr>
            <w:tcW w:w="11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EC52D" w14:textId="7A4F5257" w:rsidR="0084692C" w:rsidRDefault="002608B6" w:rsidP="002608B6">
            <w:pPr>
              <w:contextualSpacing/>
              <w:jc w:val="center"/>
            </w:pPr>
            <w:r>
              <w:t>0.35-2.1</w:t>
            </w:r>
          </w:p>
        </w:tc>
        <w:tc>
          <w:tcPr>
            <w:tcW w:w="10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2F1FAD" w14:textId="2137787E" w:rsidR="0084692C" w:rsidRDefault="00AA0DC7" w:rsidP="002608B6">
            <w:pPr>
              <w:contextualSpacing/>
              <w:jc w:val="center"/>
            </w:pPr>
            <w:r>
              <w:t>3.2</w:t>
            </w:r>
          </w:p>
        </w:tc>
        <w:tc>
          <w:tcPr>
            <w:tcW w:w="10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DED888" w14:textId="3BBD1D5E" w:rsidR="0084692C" w:rsidRDefault="00AA0DC7" w:rsidP="002608B6">
            <w:pPr>
              <w:contextualSpacing/>
              <w:jc w:val="center"/>
            </w:pPr>
            <w:r>
              <w:t>3.9</w:t>
            </w:r>
          </w:p>
        </w:tc>
        <w:tc>
          <w:tcPr>
            <w:tcW w:w="10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25CB72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FABFEF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A226C5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B5F942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281A78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C17A2" w14:textId="77777777" w:rsidR="0084692C" w:rsidRDefault="0084692C" w:rsidP="002608B6">
            <w:pPr>
              <w:contextualSpacing/>
              <w:jc w:val="center"/>
            </w:pPr>
          </w:p>
        </w:tc>
      </w:tr>
      <w:tr w:rsidR="0084692C" w14:paraId="06ECF2A5" w14:textId="77777777" w:rsidTr="00E518DC">
        <w:tc>
          <w:tcPr>
            <w:tcW w:w="2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0ABE2B" w14:textId="76BFC73A" w:rsidR="0084692C" w:rsidRDefault="0084692C">
            <w:pPr>
              <w:contextualSpacing/>
            </w:pPr>
            <w:r>
              <w:t>Cortisol (nmol/L)</w:t>
            </w:r>
          </w:p>
        </w:tc>
        <w:tc>
          <w:tcPr>
            <w:tcW w:w="11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2E5E92" w14:textId="212E75EE" w:rsidR="0084692C" w:rsidRDefault="002608B6" w:rsidP="002608B6">
            <w:pPr>
              <w:contextualSpacing/>
              <w:jc w:val="center"/>
            </w:pPr>
            <w:r>
              <w:t>15-97</w:t>
            </w:r>
          </w:p>
        </w:tc>
        <w:tc>
          <w:tcPr>
            <w:tcW w:w="10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EEF6E8" w14:textId="3EBEACB7" w:rsidR="0084692C" w:rsidRDefault="00AA0DC7" w:rsidP="002608B6">
            <w:pPr>
              <w:contextualSpacing/>
              <w:jc w:val="center"/>
            </w:pPr>
            <w:r>
              <w:t>66</w:t>
            </w:r>
          </w:p>
        </w:tc>
        <w:tc>
          <w:tcPr>
            <w:tcW w:w="10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830364" w14:textId="51F77CA1" w:rsidR="0084692C" w:rsidRDefault="00AA0DC7" w:rsidP="002608B6">
            <w:pPr>
              <w:contextualSpacing/>
              <w:jc w:val="center"/>
            </w:pPr>
            <w:r>
              <w:t>66</w:t>
            </w:r>
          </w:p>
        </w:tc>
        <w:tc>
          <w:tcPr>
            <w:tcW w:w="10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25D663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9E839C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2BC3E0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0637CD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977BA0" w14:textId="5A2AA049" w:rsidR="0084692C" w:rsidRDefault="00AA0DC7" w:rsidP="002608B6">
            <w:pPr>
              <w:contextualSpacing/>
              <w:jc w:val="center"/>
            </w:pPr>
            <w:r>
              <w:t>154</w:t>
            </w:r>
          </w:p>
        </w:tc>
        <w:tc>
          <w:tcPr>
            <w:tcW w:w="10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EA641" w14:textId="7601F547" w:rsidR="0084692C" w:rsidRDefault="00AA0DC7" w:rsidP="002608B6">
            <w:pPr>
              <w:contextualSpacing/>
              <w:jc w:val="center"/>
            </w:pPr>
            <w:r>
              <w:t>159</w:t>
            </w:r>
          </w:p>
        </w:tc>
      </w:tr>
      <w:tr w:rsidR="0084692C" w14:paraId="555E71EB" w14:textId="77777777" w:rsidTr="00E518DC">
        <w:tc>
          <w:tcPr>
            <w:tcW w:w="2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254E0D" w14:textId="56B70D20" w:rsidR="0084692C" w:rsidRDefault="0084692C">
            <w:pPr>
              <w:contextualSpacing/>
            </w:pPr>
            <w:r>
              <w:t>Estradiol (pmol/L)</w:t>
            </w:r>
          </w:p>
        </w:tc>
        <w:tc>
          <w:tcPr>
            <w:tcW w:w="11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3025B5" w14:textId="15E06B08" w:rsidR="0084692C" w:rsidRDefault="002608B6" w:rsidP="002608B6">
            <w:pPr>
              <w:contextualSpacing/>
              <w:jc w:val="center"/>
            </w:pPr>
            <w:r>
              <w:t>205-271</w:t>
            </w:r>
          </w:p>
        </w:tc>
        <w:tc>
          <w:tcPr>
            <w:tcW w:w="10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237A8D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215F57" w14:textId="39A09AFA" w:rsidR="0084692C" w:rsidRDefault="00AA0DC7" w:rsidP="002608B6">
            <w:pPr>
              <w:contextualSpacing/>
              <w:jc w:val="center"/>
            </w:pPr>
            <w:r>
              <w:t>183</w:t>
            </w:r>
          </w:p>
        </w:tc>
        <w:tc>
          <w:tcPr>
            <w:tcW w:w="10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5390ED" w14:textId="57C9FFE3" w:rsidR="0084692C" w:rsidRDefault="00AA0DC7" w:rsidP="002608B6">
            <w:pPr>
              <w:contextualSpacing/>
              <w:jc w:val="center"/>
            </w:pPr>
            <w:r>
              <w:t>204</w:t>
            </w:r>
          </w:p>
        </w:tc>
        <w:tc>
          <w:tcPr>
            <w:tcW w:w="10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EBCBE9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FA6E34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62A273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FEDC70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5B732E" w14:textId="77777777" w:rsidR="0084692C" w:rsidRDefault="0084692C" w:rsidP="002608B6">
            <w:pPr>
              <w:contextualSpacing/>
              <w:jc w:val="center"/>
            </w:pPr>
          </w:p>
        </w:tc>
      </w:tr>
      <w:tr w:rsidR="0084692C" w14:paraId="70FC0E9A" w14:textId="77777777" w:rsidTr="00E518DC">
        <w:tc>
          <w:tcPr>
            <w:tcW w:w="2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4525C8" w14:textId="47605E48" w:rsidR="0084692C" w:rsidRDefault="0084692C">
            <w:pPr>
              <w:contextualSpacing/>
            </w:pPr>
            <w:r>
              <w:t>Progesterone (nmol/L)</w:t>
            </w:r>
          </w:p>
        </w:tc>
        <w:tc>
          <w:tcPr>
            <w:tcW w:w="11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C7223A" w14:textId="54A8145E" w:rsidR="0084692C" w:rsidRDefault="002608B6" w:rsidP="002608B6">
            <w:pPr>
              <w:contextualSpacing/>
              <w:jc w:val="center"/>
            </w:pPr>
            <w:r>
              <w:t>&lt; 3</w:t>
            </w:r>
            <w:r w:rsidR="00F635C2">
              <w:t>.0</w:t>
            </w:r>
          </w:p>
        </w:tc>
        <w:tc>
          <w:tcPr>
            <w:tcW w:w="10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78EA3B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BEA722" w14:textId="281C6A01" w:rsidR="0084692C" w:rsidRDefault="00AA0DC7" w:rsidP="002608B6">
            <w:pPr>
              <w:contextualSpacing/>
              <w:jc w:val="center"/>
            </w:pPr>
            <w:r>
              <w:t>2.7</w:t>
            </w:r>
          </w:p>
        </w:tc>
        <w:tc>
          <w:tcPr>
            <w:tcW w:w="10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EAB0D" w14:textId="3E45F9AF" w:rsidR="0084692C" w:rsidRDefault="00AA0DC7" w:rsidP="002608B6">
            <w:pPr>
              <w:contextualSpacing/>
              <w:jc w:val="center"/>
            </w:pPr>
            <w:r>
              <w:t>0.7</w:t>
            </w:r>
          </w:p>
        </w:tc>
        <w:tc>
          <w:tcPr>
            <w:tcW w:w="10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94FA8D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5CAB1F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D8B11" w14:textId="77777777" w:rsidR="0084692C" w:rsidRDefault="0084692C" w:rsidP="002608B6">
            <w:pPr>
              <w:contextualSpacing/>
              <w:jc w:val="center"/>
            </w:pPr>
          </w:p>
        </w:tc>
        <w:tc>
          <w:tcPr>
            <w:tcW w:w="10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6CFDF8" w14:textId="47AD81C6" w:rsidR="0084692C" w:rsidRDefault="00AA0DC7" w:rsidP="002608B6">
            <w:pPr>
              <w:contextualSpacing/>
              <w:jc w:val="center"/>
            </w:pPr>
            <w:r>
              <w:t>1.8</w:t>
            </w:r>
          </w:p>
        </w:tc>
        <w:tc>
          <w:tcPr>
            <w:tcW w:w="10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57D110" w14:textId="77777777" w:rsidR="0084692C" w:rsidRDefault="0084692C" w:rsidP="002608B6">
            <w:pPr>
              <w:contextualSpacing/>
              <w:jc w:val="center"/>
            </w:pPr>
          </w:p>
        </w:tc>
      </w:tr>
      <w:tr w:rsidR="00AA0DC7" w14:paraId="20D852F0" w14:textId="77777777" w:rsidTr="00E518DC">
        <w:tc>
          <w:tcPr>
            <w:tcW w:w="2435" w:type="dxa"/>
            <w:tcBorders>
              <w:top w:val="dashSmallGap" w:sz="4" w:space="0" w:color="auto"/>
              <w:bottom w:val="single" w:sz="12" w:space="0" w:color="auto"/>
            </w:tcBorders>
          </w:tcPr>
          <w:p w14:paraId="4D7A8A73" w14:textId="0D923DD9" w:rsidR="0084692C" w:rsidRDefault="0084692C">
            <w:pPr>
              <w:contextualSpacing/>
            </w:pPr>
            <w:r>
              <w:t>Testosterone (nmol/L</w:t>
            </w:r>
            <w:r w:rsidR="00177CC7">
              <w:t>)</w:t>
            </w:r>
          </w:p>
        </w:tc>
        <w:tc>
          <w:tcPr>
            <w:tcW w:w="1165" w:type="dxa"/>
            <w:tcBorders>
              <w:top w:val="dashSmallGap" w:sz="4" w:space="0" w:color="auto"/>
              <w:bottom w:val="single" w:sz="12" w:space="0" w:color="auto"/>
            </w:tcBorders>
          </w:tcPr>
          <w:p w14:paraId="711E3C1C" w14:textId="10D5D338" w:rsidR="0084692C" w:rsidRDefault="002608B6" w:rsidP="002608B6">
            <w:pPr>
              <w:contextualSpacing/>
              <w:jc w:val="center"/>
            </w:pPr>
            <w:r>
              <w:t xml:space="preserve">&lt; </w:t>
            </w:r>
            <w:r w:rsidR="00F635C2">
              <w:t>1.</w:t>
            </w:r>
            <w:r w:rsidR="002612E5">
              <w:t>2</w:t>
            </w:r>
          </w:p>
        </w:tc>
        <w:tc>
          <w:tcPr>
            <w:tcW w:w="1012" w:type="dxa"/>
            <w:tcBorders>
              <w:top w:val="dashSmallGap" w:sz="4" w:space="0" w:color="auto"/>
              <w:bottom w:val="single" w:sz="12" w:space="0" w:color="auto"/>
            </w:tcBorders>
          </w:tcPr>
          <w:p w14:paraId="2FF4F250" w14:textId="172EF7ED" w:rsidR="0084692C" w:rsidRDefault="00AA0DC7" w:rsidP="002608B6">
            <w:pPr>
              <w:contextualSpacing/>
              <w:jc w:val="center"/>
            </w:pPr>
            <w:r>
              <w:t>&lt; 0.7</w:t>
            </w:r>
          </w:p>
        </w:tc>
        <w:tc>
          <w:tcPr>
            <w:tcW w:w="1013" w:type="dxa"/>
            <w:tcBorders>
              <w:top w:val="dashSmallGap" w:sz="4" w:space="0" w:color="auto"/>
              <w:bottom w:val="single" w:sz="12" w:space="0" w:color="auto"/>
            </w:tcBorders>
          </w:tcPr>
          <w:p w14:paraId="6300AF84" w14:textId="41249985" w:rsidR="0084692C" w:rsidRDefault="00AA0DC7" w:rsidP="002608B6">
            <w:pPr>
              <w:contextualSpacing/>
              <w:jc w:val="center"/>
            </w:pPr>
            <w:r>
              <w:t>2.7</w:t>
            </w:r>
          </w:p>
        </w:tc>
        <w:tc>
          <w:tcPr>
            <w:tcW w:w="1012" w:type="dxa"/>
            <w:tcBorders>
              <w:top w:val="dashSmallGap" w:sz="4" w:space="0" w:color="auto"/>
              <w:bottom w:val="single" w:sz="12" w:space="0" w:color="auto"/>
            </w:tcBorders>
          </w:tcPr>
          <w:p w14:paraId="2C5A4D98" w14:textId="1F75DD55" w:rsidR="0084692C" w:rsidRDefault="00AA0DC7" w:rsidP="002608B6">
            <w:pPr>
              <w:contextualSpacing/>
              <w:jc w:val="center"/>
            </w:pPr>
            <w:r>
              <w:t>3.7</w:t>
            </w:r>
          </w:p>
        </w:tc>
        <w:tc>
          <w:tcPr>
            <w:tcW w:w="1013" w:type="dxa"/>
            <w:tcBorders>
              <w:top w:val="dashSmallGap" w:sz="4" w:space="0" w:color="auto"/>
              <w:bottom w:val="single" w:sz="12" w:space="0" w:color="auto"/>
            </w:tcBorders>
          </w:tcPr>
          <w:p w14:paraId="1F5F969D" w14:textId="131F5B86" w:rsidR="0084692C" w:rsidRDefault="00AA0DC7" w:rsidP="002608B6">
            <w:pPr>
              <w:contextualSpacing/>
              <w:jc w:val="center"/>
            </w:pPr>
            <w:r>
              <w:t>6.3</w:t>
            </w:r>
          </w:p>
        </w:tc>
        <w:tc>
          <w:tcPr>
            <w:tcW w:w="1012" w:type="dxa"/>
            <w:tcBorders>
              <w:top w:val="dashSmallGap" w:sz="4" w:space="0" w:color="auto"/>
              <w:bottom w:val="single" w:sz="12" w:space="0" w:color="auto"/>
            </w:tcBorders>
          </w:tcPr>
          <w:p w14:paraId="3121C912" w14:textId="1A2ECA30" w:rsidR="0084692C" w:rsidRDefault="00AA0DC7" w:rsidP="002608B6">
            <w:pPr>
              <w:contextualSpacing/>
              <w:jc w:val="center"/>
            </w:pPr>
            <w:r>
              <w:t>3.5</w:t>
            </w:r>
          </w:p>
        </w:tc>
        <w:tc>
          <w:tcPr>
            <w:tcW w:w="1013" w:type="dxa"/>
            <w:tcBorders>
              <w:top w:val="dashSmallGap" w:sz="4" w:space="0" w:color="auto"/>
              <w:bottom w:val="single" w:sz="12" w:space="0" w:color="auto"/>
            </w:tcBorders>
          </w:tcPr>
          <w:p w14:paraId="782B8EAD" w14:textId="64232C7E" w:rsidR="0084692C" w:rsidRDefault="00AA0DC7" w:rsidP="002608B6">
            <w:pPr>
              <w:contextualSpacing/>
              <w:jc w:val="center"/>
            </w:pPr>
            <w:r>
              <w:t>5</w:t>
            </w:r>
          </w:p>
        </w:tc>
        <w:tc>
          <w:tcPr>
            <w:tcW w:w="1012" w:type="dxa"/>
            <w:tcBorders>
              <w:top w:val="dashSmallGap" w:sz="4" w:space="0" w:color="auto"/>
              <w:bottom w:val="single" w:sz="12" w:space="0" w:color="auto"/>
            </w:tcBorders>
          </w:tcPr>
          <w:p w14:paraId="3A0D8C91" w14:textId="10AD51AE" w:rsidR="0084692C" w:rsidRDefault="00AA0DC7" w:rsidP="002608B6">
            <w:pPr>
              <w:contextualSpacing/>
              <w:jc w:val="center"/>
            </w:pPr>
            <w:r>
              <w:t>3.7</w:t>
            </w:r>
          </w:p>
        </w:tc>
        <w:tc>
          <w:tcPr>
            <w:tcW w:w="1013" w:type="dxa"/>
            <w:tcBorders>
              <w:top w:val="dashSmallGap" w:sz="4" w:space="0" w:color="auto"/>
              <w:bottom w:val="single" w:sz="12" w:space="0" w:color="auto"/>
            </w:tcBorders>
          </w:tcPr>
          <w:p w14:paraId="34D66B1F" w14:textId="19DF0A94" w:rsidR="0084692C" w:rsidRDefault="00AA0DC7" w:rsidP="002608B6">
            <w:pPr>
              <w:contextualSpacing/>
              <w:jc w:val="center"/>
            </w:pPr>
            <w:r>
              <w:t>3.2</w:t>
            </w:r>
          </w:p>
        </w:tc>
      </w:tr>
    </w:tbl>
    <w:p w14:paraId="3AE5AD45" w14:textId="77777777" w:rsidR="003D4D9F" w:rsidRDefault="003D4D9F">
      <w:pPr>
        <w:contextualSpacing/>
      </w:pPr>
    </w:p>
    <w:p w14:paraId="4DD26EDA" w14:textId="780F0B6D" w:rsidR="00235355" w:rsidRPr="0081177B" w:rsidRDefault="006E7E50">
      <w:pPr>
        <w:contextualSpacing/>
      </w:pPr>
      <w:r w:rsidRPr="0081177B">
        <w:t xml:space="preserve">All data in the table reflect baseline hormone concentrations. </w:t>
      </w:r>
      <w:r w:rsidR="00D92D55" w:rsidRPr="0081177B">
        <w:t xml:space="preserve">Androstenedione (Andro) concentrations were high in both cats (cases 1 and 2) in which this </w:t>
      </w:r>
      <w:r w:rsidR="00DC6067" w:rsidRPr="0081177B">
        <w:t xml:space="preserve">hormone </w:t>
      </w:r>
      <w:r w:rsidR="00D92D55" w:rsidRPr="0081177B">
        <w:t xml:space="preserve">was assessed. </w:t>
      </w:r>
      <w:r w:rsidR="00EE31D0" w:rsidRPr="0081177B">
        <w:t>Two ca</w:t>
      </w:r>
      <w:r w:rsidRPr="0081177B">
        <w:t>ts</w:t>
      </w:r>
      <w:r w:rsidR="00EE31D0" w:rsidRPr="0081177B">
        <w:t xml:space="preserve"> (ca</w:t>
      </w:r>
      <w:r w:rsidRPr="0081177B">
        <w:t>ses</w:t>
      </w:r>
      <w:r w:rsidR="00EE31D0" w:rsidRPr="0081177B">
        <w:t xml:space="preserve"> </w:t>
      </w:r>
      <w:r w:rsidRPr="0081177B">
        <w:t>1</w:t>
      </w:r>
      <w:r w:rsidR="00EE31D0" w:rsidRPr="0081177B">
        <w:t xml:space="preserve"> and </w:t>
      </w:r>
      <w:r w:rsidRPr="0081177B">
        <w:t>8</w:t>
      </w:r>
      <w:r w:rsidR="00EE31D0" w:rsidRPr="0081177B">
        <w:t>)</w:t>
      </w:r>
      <w:r w:rsidRPr="0081177B">
        <w:t xml:space="preserve"> underwent complete ACTH stimulation testing, and post-ACTH stimulated (</w:t>
      </w:r>
      <w:r w:rsidR="00D92D55" w:rsidRPr="0081177B">
        <w:t>reference interval [</w:t>
      </w:r>
      <w:r w:rsidRPr="0081177B">
        <w:t>RI</w:t>
      </w:r>
      <w:r w:rsidR="00D92D55" w:rsidRPr="0081177B">
        <w:t>]</w:t>
      </w:r>
      <w:r w:rsidRPr="0081177B">
        <w:t>, 97-207 nmol/L) cortisol concentrations in these 2 cats were normal at 139 nmol/L (case 1) and 159 nmol/L (case 8). One cat (case 2) underwent dexamethasone suppression testing, and cortisol concentration in this cat were &lt; 27.5 nmol/L at both 4 and 8 hours after the administration of 0.1 mg/k</w:t>
      </w:r>
      <w:r w:rsidR="000F6D20" w:rsidRPr="0081177B">
        <w:t>g</w:t>
      </w:r>
      <w:r w:rsidRPr="0081177B">
        <w:t xml:space="preserve"> dexamethasone IV.</w:t>
      </w:r>
      <w:r w:rsidR="002D3C44">
        <w:t xml:space="preserve"> More detailed assay descriptions can be found in </w:t>
      </w:r>
      <w:r w:rsidR="00013A1E">
        <w:t>the</w:t>
      </w:r>
      <w:r w:rsidR="002D3C44">
        <w:t xml:space="preserve"> Appendix at the end of this document.</w:t>
      </w:r>
    </w:p>
    <w:p w14:paraId="270B39A7" w14:textId="77777777" w:rsidR="005F7468" w:rsidRDefault="005F7468">
      <w:pPr>
        <w:contextualSpacing/>
        <w:rPr>
          <w:b/>
          <w:bCs/>
        </w:rPr>
      </w:pPr>
    </w:p>
    <w:p w14:paraId="4001731E" w14:textId="77777777" w:rsidR="002D3C44" w:rsidRDefault="002D3C44">
      <w:pPr>
        <w:spacing w:before="0" w:after="0" w:line="259" w:lineRule="auto"/>
        <w:rPr>
          <w:b/>
          <w:bCs/>
        </w:rPr>
      </w:pPr>
      <w:r>
        <w:rPr>
          <w:b/>
          <w:bCs/>
        </w:rPr>
        <w:br w:type="page"/>
      </w:r>
    </w:p>
    <w:p w14:paraId="432B80CC" w14:textId="0AC02B64" w:rsidR="00235355" w:rsidRDefault="002D3C44">
      <w:pPr>
        <w:contextualSpacing/>
        <w:rPr>
          <w:b/>
          <w:bCs/>
        </w:rPr>
      </w:pPr>
      <w:r>
        <w:rPr>
          <w:b/>
          <w:bCs/>
        </w:rPr>
        <w:lastRenderedPageBreak/>
        <w:t xml:space="preserve">Appendix: </w:t>
      </w:r>
      <w:r w:rsidR="00427029">
        <w:rPr>
          <w:b/>
          <w:bCs/>
        </w:rPr>
        <w:t xml:space="preserve">Corticosteroid </w:t>
      </w:r>
      <w:r w:rsidR="00645E2C" w:rsidRPr="005F7468">
        <w:rPr>
          <w:b/>
          <w:bCs/>
        </w:rPr>
        <w:t>Assay Descriptions.</w:t>
      </w:r>
    </w:p>
    <w:p w14:paraId="568A5F34" w14:textId="77777777" w:rsidR="002D3C44" w:rsidRPr="005F7468" w:rsidRDefault="002D3C44">
      <w:pPr>
        <w:contextualSpacing/>
        <w:rPr>
          <w:b/>
          <w:bCs/>
        </w:rPr>
      </w:pPr>
    </w:p>
    <w:p w14:paraId="400ACA1B" w14:textId="53DE81AE" w:rsidR="00500EE5" w:rsidRDefault="00500EE5" w:rsidP="0081177B">
      <w:pPr>
        <w:shd w:val="clear" w:color="auto" w:fill="FFFFFF"/>
        <w:spacing w:before="0" w:after="160"/>
        <w:ind w:firstLine="720"/>
        <w:contextualSpacing/>
        <w:textAlignment w:val="baseline"/>
      </w:pPr>
      <w:r w:rsidRPr="005F7468">
        <w:rPr>
          <w:rFonts w:eastAsia="Times New Roman" w:cs="Times New Roman"/>
          <w:szCs w:val="24"/>
        </w:rPr>
        <w:t>All samples for adrenal corticosteroids measurements were analyzed by American Association of Veterinary Laboratory Diagnosticians (AAVLD) accredited laboratories.</w:t>
      </w:r>
      <w:r w:rsidR="0081177B">
        <w:rPr>
          <w:rFonts w:eastAsia="Times New Roman" w:cs="Times New Roman"/>
          <w:szCs w:val="24"/>
        </w:rPr>
        <w:t xml:space="preserve"> </w:t>
      </w:r>
      <w:r w:rsidR="001B2419">
        <w:rPr>
          <w:rFonts w:eastAsia="Times New Roman" w:cs="Times New Roman"/>
          <w:szCs w:val="24"/>
        </w:rPr>
        <w:t>Serum t</w:t>
      </w:r>
      <w:r w:rsidRPr="005F7468">
        <w:rPr>
          <w:rFonts w:eastAsia="Times New Roman" w:cs="Times New Roman"/>
          <w:szCs w:val="24"/>
        </w:rPr>
        <w:t xml:space="preserve">estosterone concentrations </w:t>
      </w:r>
      <w:r w:rsidR="005F7468">
        <w:rPr>
          <w:rFonts w:eastAsia="Times New Roman" w:cs="Times New Roman"/>
          <w:szCs w:val="24"/>
        </w:rPr>
        <w:t xml:space="preserve">in </w:t>
      </w:r>
      <w:r w:rsidR="003D4D9F" w:rsidRPr="00187EE9">
        <w:rPr>
          <w:rFonts w:eastAsia="Times New Roman" w:cs="Times New Roman"/>
          <w:szCs w:val="24"/>
        </w:rPr>
        <w:t>4</w:t>
      </w:r>
      <w:r w:rsidR="005F7468" w:rsidRPr="00187EE9">
        <w:rPr>
          <w:rFonts w:eastAsia="Times New Roman" w:cs="Times New Roman"/>
          <w:szCs w:val="24"/>
        </w:rPr>
        <w:t xml:space="preserve"> c</w:t>
      </w:r>
      <w:r w:rsidR="003D673A" w:rsidRPr="00187EE9">
        <w:rPr>
          <w:rFonts w:eastAsia="Times New Roman" w:cs="Times New Roman"/>
          <w:szCs w:val="24"/>
        </w:rPr>
        <w:t>at</w:t>
      </w:r>
      <w:r w:rsidR="005F7468" w:rsidRPr="00187EE9">
        <w:rPr>
          <w:rFonts w:eastAsia="Times New Roman" w:cs="Times New Roman"/>
          <w:szCs w:val="24"/>
        </w:rPr>
        <w:t xml:space="preserve">s (cases </w:t>
      </w:r>
      <w:r w:rsidR="00700DD7" w:rsidRPr="00187EE9">
        <w:rPr>
          <w:rFonts w:eastAsia="Times New Roman" w:cs="Times New Roman"/>
          <w:szCs w:val="24"/>
        </w:rPr>
        <w:t xml:space="preserve">1, 4, </w:t>
      </w:r>
      <w:r w:rsidR="003D4D9F" w:rsidRPr="00187EE9">
        <w:rPr>
          <w:rFonts w:eastAsia="Times New Roman" w:cs="Times New Roman"/>
          <w:szCs w:val="24"/>
        </w:rPr>
        <w:t xml:space="preserve">7, and </w:t>
      </w:r>
      <w:r w:rsidR="00700DD7" w:rsidRPr="00187EE9">
        <w:rPr>
          <w:rFonts w:eastAsia="Times New Roman" w:cs="Times New Roman"/>
          <w:szCs w:val="24"/>
        </w:rPr>
        <w:t>8</w:t>
      </w:r>
      <w:r w:rsidR="005F7468" w:rsidRPr="00187EE9">
        <w:rPr>
          <w:rFonts w:eastAsia="Times New Roman" w:cs="Times New Roman"/>
          <w:szCs w:val="24"/>
        </w:rPr>
        <w:t>)</w:t>
      </w:r>
      <w:r w:rsidR="005F7468" w:rsidRPr="005F7468">
        <w:rPr>
          <w:rFonts w:eastAsia="Times New Roman" w:cs="Times New Roman"/>
          <w:szCs w:val="24"/>
        </w:rPr>
        <w:t xml:space="preserve"> </w:t>
      </w:r>
      <w:r w:rsidR="005F7468">
        <w:t>were measured</w:t>
      </w:r>
      <w:r w:rsidR="005F7468" w:rsidRPr="005F7468">
        <w:t xml:space="preserve"> </w:t>
      </w:r>
      <w:r w:rsidR="005F7468">
        <w:t xml:space="preserve">at the Michigan State University Veterinary Diagnostic Laboratory </w:t>
      </w:r>
      <w:r w:rsidR="003D673A">
        <w:t xml:space="preserve">(MSU-VDL) </w:t>
      </w:r>
      <w:r w:rsidR="005F7468">
        <w:t>using</w:t>
      </w:r>
      <w:r w:rsidR="005F7468" w:rsidRPr="005F7468">
        <w:t xml:space="preserve"> a commercially available competitive chemiluminescent immunoassay</w:t>
      </w:r>
      <w:r w:rsidR="005F7468" w:rsidRPr="005F7468">
        <w:rPr>
          <w:vertAlign w:val="superscript"/>
        </w:rPr>
        <w:t xml:space="preserve"> </w:t>
      </w:r>
      <w:r w:rsidR="005F7468" w:rsidRPr="005F7468">
        <w:t xml:space="preserve">(Immulite 2000 Testosterone, Siemens Healthcare Diagnostics, Gwynedd, UK). </w:t>
      </w:r>
      <w:r w:rsidR="005F7468">
        <w:t xml:space="preserve">The manufacturer reports 0.6% cross-reactivity with androstenedione, 0.5% cross-reactivity with 5 </w:t>
      </w:r>
      <w:r w:rsidR="005F7468">
        <w:rPr>
          <w:rFonts w:cstheme="minorHAnsi"/>
        </w:rPr>
        <w:t>α</w:t>
      </w:r>
      <w:r w:rsidR="005F7468">
        <w:t>-Androstan-3</w:t>
      </w:r>
      <w:r w:rsidR="005F7468">
        <w:rPr>
          <w:rFonts w:cstheme="minorHAnsi"/>
        </w:rPr>
        <w:t>β</w:t>
      </w:r>
      <w:r w:rsidR="005F7468">
        <w:t>, 17</w:t>
      </w:r>
      <w:r w:rsidR="005F7468">
        <w:rPr>
          <w:rFonts w:cstheme="minorHAnsi"/>
        </w:rPr>
        <w:t>β</w:t>
      </w:r>
      <w:r w:rsidR="005F7468">
        <w:t>-diol, 2% cross-reactivity with 5</w:t>
      </w:r>
      <w:r w:rsidR="005F7468">
        <w:rPr>
          <w:rFonts w:cstheme="minorHAnsi"/>
        </w:rPr>
        <w:t>α</w:t>
      </w:r>
      <w:r w:rsidR="005F7468">
        <w:t>-Dihydrotestosterone, 0.7% cross-reactivity with methyltestosterone, and 0.1% cross-reactivity with progesterone. The manufacturer reports an analytical sensitivity of 0.5 nmol/L.</w:t>
      </w:r>
      <w:r w:rsidR="005F7468" w:rsidRPr="005F7468">
        <w:t xml:space="preserve"> </w:t>
      </w:r>
      <w:r w:rsidR="005F7468">
        <w:t>Additional performance metrics were assessed at the MSU-VDL. Aliquots of feline serum samples of 0.4 and 15.3 nmol/L were mixed at volume combinations of 9:1, 3:1, 1:1, 1:3, and 1:9 and ran as samples in an assay. Recovery rates, expressed as % observed/expected, for the combinations were 89%, 100%, 109%, 98%, and 98% respectively. Assay repeatability was assessed with 3 pools of feline serum concentrations of 0.7, 4.4, and 26.8 nmol/L. The respective intraassay % coefficients of variation (CV) for 10 replicates of these pools were 20%, 9%, and 5%. Inter-assay repeatability %CVs for feline serum pools with mean testosterone concentrations of 0.8, 6.0, and 26.6 nmol/L were 39%, 17%, and 10%, respectively (n=10 assays).</w:t>
      </w:r>
      <w:r w:rsidR="0081177B">
        <w:t xml:space="preserve"> The reference interval </w:t>
      </w:r>
      <w:r w:rsidR="0082672C">
        <w:t xml:space="preserve">of &lt; </w:t>
      </w:r>
      <w:r w:rsidR="009E3568">
        <w:t>1.</w:t>
      </w:r>
      <w:r w:rsidR="002612E5">
        <w:t>2</w:t>
      </w:r>
      <w:r w:rsidR="0082672C">
        <w:t xml:space="preserve"> nmol/L </w:t>
      </w:r>
      <w:r w:rsidR="00DC5F28">
        <w:t xml:space="preserve">was derived from </w:t>
      </w:r>
      <w:r w:rsidR="009E3568">
        <w:t>evaluation of over 2</w:t>
      </w:r>
      <w:r w:rsidR="00351FD9">
        <w:t>0</w:t>
      </w:r>
      <w:r w:rsidR="009E3568">
        <w:t xml:space="preserve">0 serum specimens from neutered </w:t>
      </w:r>
      <w:r w:rsidR="00351FD9">
        <w:t xml:space="preserve">male and female </w:t>
      </w:r>
      <w:r w:rsidR="009E3568">
        <w:t xml:space="preserve">cats between the ages of 1 and 8 years </w:t>
      </w:r>
      <w:r w:rsidR="00351FD9">
        <w:t xml:space="preserve">that were </w:t>
      </w:r>
      <w:r w:rsidR="009E3568">
        <w:t>submitted to the MSU-VDL</w:t>
      </w:r>
      <w:r w:rsidR="00351FD9">
        <w:t xml:space="preserve"> endocrinology section</w:t>
      </w:r>
      <w:r w:rsidR="003D673A">
        <w:t>.</w:t>
      </w:r>
      <w:r w:rsidR="009E3568">
        <w:t xml:space="preserve"> </w:t>
      </w:r>
      <w:r w:rsidR="003D673A">
        <w:t xml:space="preserve">Serum testosterone concentrations in </w:t>
      </w:r>
      <w:r w:rsidR="00700DD7" w:rsidRPr="00187EE9">
        <w:t>3</w:t>
      </w:r>
      <w:r w:rsidR="003D673A" w:rsidRPr="00187EE9">
        <w:t xml:space="preserve"> cats</w:t>
      </w:r>
      <w:r w:rsidR="003D673A">
        <w:t xml:space="preserve"> were measured </w:t>
      </w:r>
      <w:r w:rsidR="00724DFD">
        <w:t xml:space="preserve">by </w:t>
      </w:r>
      <w:r w:rsidR="00700DD7">
        <w:t xml:space="preserve">either </w:t>
      </w:r>
      <w:r w:rsidR="00724DFD">
        <w:t>the Endocrinology Service at the</w:t>
      </w:r>
      <w:r w:rsidR="003D673A">
        <w:t xml:space="preserve"> University of Tennessee College of Veterinary Medicine</w:t>
      </w:r>
      <w:r w:rsidR="003D4D9F">
        <w:t xml:space="preserve"> Diagnostic Laboratory Services</w:t>
      </w:r>
      <w:r w:rsidR="00700DD7">
        <w:t xml:space="preserve"> (UTCVM</w:t>
      </w:r>
      <w:r w:rsidR="003D4D9F">
        <w:t>-DLS, cases 2 and 3</w:t>
      </w:r>
      <w:r w:rsidR="00700DD7">
        <w:t>)</w:t>
      </w:r>
      <w:r w:rsidR="00724DFD">
        <w:t xml:space="preserve"> </w:t>
      </w:r>
      <w:r w:rsidR="00700DD7">
        <w:t xml:space="preserve">or IDEXX Laboratories </w:t>
      </w:r>
      <w:r w:rsidR="003D4D9F">
        <w:t xml:space="preserve">(case 5) </w:t>
      </w:r>
      <w:r w:rsidR="00724DFD">
        <w:t xml:space="preserve">using the same </w:t>
      </w:r>
      <w:r w:rsidR="00724DFD" w:rsidRPr="005F7468">
        <w:t>competitive chemiluminescent immunoassay</w:t>
      </w:r>
      <w:r w:rsidR="00724DFD">
        <w:t xml:space="preserve"> described above.  The upper-end of the reference interval</w:t>
      </w:r>
      <w:r w:rsidR="00700DD7">
        <w:t xml:space="preserve"> </w:t>
      </w:r>
      <w:r w:rsidR="00724DFD">
        <w:t xml:space="preserve">for serum testosterone concentrations in neutered cats </w:t>
      </w:r>
      <w:r w:rsidR="00351FD9">
        <w:t xml:space="preserve">established </w:t>
      </w:r>
      <w:r w:rsidR="00700DD7">
        <w:t xml:space="preserve">in these laboratories </w:t>
      </w:r>
      <w:r w:rsidR="00006A7E" w:rsidRPr="009E3568">
        <w:t xml:space="preserve">is </w:t>
      </w:r>
      <w:r w:rsidR="00AA064B" w:rsidRPr="009E3568">
        <w:t>0.7</w:t>
      </w:r>
      <w:r w:rsidR="00006A7E" w:rsidRPr="009E3568">
        <w:t xml:space="preserve"> nmol/L</w:t>
      </w:r>
      <w:r w:rsidR="00AA064B" w:rsidRPr="009E3568">
        <w:t xml:space="preserve"> for females and 1.7 nmol/L for males</w:t>
      </w:r>
      <w:r w:rsidR="00724DFD" w:rsidRPr="00187EE9">
        <w:t>.</w:t>
      </w:r>
      <w:r w:rsidR="00700DD7" w:rsidRPr="00187EE9">
        <w:t xml:space="preserve"> Serum testosterone concentrations in the remaining cat (case </w:t>
      </w:r>
      <w:r w:rsidR="003D4D9F" w:rsidRPr="00187EE9">
        <w:t>6</w:t>
      </w:r>
      <w:r w:rsidR="00700DD7" w:rsidRPr="00187EE9">
        <w:t>) were measured using a previously available radioimmunoassay kit (Coat-a-Count, Siemens</w:t>
      </w:r>
      <w:r w:rsidR="00700DD7">
        <w:t xml:space="preserve"> Medical Solutions Diagnostics, Los Angeles, California, USA) that has been described elsewhere (1).</w:t>
      </w:r>
      <w:r w:rsidR="003D4D9F">
        <w:t xml:space="preserve"> </w:t>
      </w:r>
    </w:p>
    <w:p w14:paraId="326E6FCE" w14:textId="03D99D9D" w:rsidR="003D4D9F" w:rsidRPr="00BB0528" w:rsidRDefault="003D4D9F" w:rsidP="0081177B">
      <w:pPr>
        <w:shd w:val="clear" w:color="auto" w:fill="FFFFFF"/>
        <w:spacing w:before="0" w:after="160"/>
        <w:ind w:firstLine="720"/>
        <w:contextualSpacing/>
        <w:textAlignment w:val="baseline"/>
        <w:rPr>
          <w:rFonts w:eastAsia="Times New Roman" w:cs="Times New Roman"/>
          <w:szCs w:val="24"/>
        </w:rPr>
      </w:pPr>
      <w:r w:rsidRPr="00BB0528">
        <w:t xml:space="preserve">Serum androstenedione concentrations </w:t>
      </w:r>
      <w:r w:rsidRPr="00187EE9">
        <w:t>(cases 1 and 2)</w:t>
      </w:r>
      <w:r w:rsidRPr="00BB0528">
        <w:t xml:space="preserve"> were measured at UTCVM-DLS using </w:t>
      </w:r>
      <w:r w:rsidRPr="00BB0528">
        <w:rPr>
          <w:rFonts w:eastAsia="Times New Roman" w:cs="Times New Roman"/>
          <w:szCs w:val="24"/>
        </w:rPr>
        <w:t xml:space="preserve">a commercially available radioimmunoassay kit (ImmuChem Double Antibody </w:t>
      </w:r>
      <w:r w:rsidR="00BB0528" w:rsidRPr="00BB0528">
        <w:rPr>
          <w:rFonts w:eastAsia="Times New Roman" w:cs="Times New Roman"/>
          <w:szCs w:val="24"/>
        </w:rPr>
        <w:t xml:space="preserve">Androstenedione </w:t>
      </w:r>
      <w:r w:rsidRPr="00BB0528">
        <w:rPr>
          <w:rFonts w:eastAsia="Times New Roman" w:cs="Times New Roman"/>
          <w:szCs w:val="24"/>
        </w:rPr>
        <w:t>RIA Kit, MP Biomedicals, LLC, Orangeburg, New York), which has been previously described for use in captive felids (2).</w:t>
      </w:r>
      <w:r w:rsidR="001B2419" w:rsidRPr="00BB0528">
        <w:rPr>
          <w:rFonts w:eastAsia="Times New Roman" w:cs="Times New Roman"/>
          <w:szCs w:val="24"/>
        </w:rPr>
        <w:t xml:space="preserve"> </w:t>
      </w:r>
      <w:r w:rsidR="00187EE9">
        <w:rPr>
          <w:rFonts w:eastAsia="Times New Roman" w:cs="Times New Roman"/>
          <w:szCs w:val="24"/>
        </w:rPr>
        <w:t>S</w:t>
      </w:r>
      <w:r w:rsidR="00BB0528" w:rsidRPr="00BB0528">
        <w:rPr>
          <w:rFonts w:eastAsia="Times New Roman" w:cs="Times New Roman"/>
          <w:szCs w:val="24"/>
        </w:rPr>
        <w:t xml:space="preserve">erum estradiol concentrations were measured in 2 cats </w:t>
      </w:r>
      <w:r w:rsidR="00BB0528" w:rsidRPr="00187EE9">
        <w:rPr>
          <w:rFonts w:eastAsia="Times New Roman" w:cs="Times New Roman"/>
          <w:szCs w:val="24"/>
        </w:rPr>
        <w:t>(cases 2 and 3)</w:t>
      </w:r>
      <w:r w:rsidR="00BB0528" w:rsidRPr="00BB0528">
        <w:rPr>
          <w:rFonts w:eastAsia="Times New Roman" w:cs="Times New Roman"/>
          <w:szCs w:val="24"/>
        </w:rPr>
        <w:t xml:space="preserve"> </w:t>
      </w:r>
      <w:r w:rsidR="00867B55">
        <w:rPr>
          <w:rFonts w:eastAsia="Times New Roman" w:cs="Times New Roman"/>
          <w:szCs w:val="24"/>
        </w:rPr>
        <w:t xml:space="preserve">at UTCVM-DLS </w:t>
      </w:r>
      <w:r w:rsidR="00BB0528" w:rsidRPr="00BB0528">
        <w:t xml:space="preserve">using </w:t>
      </w:r>
      <w:r w:rsidR="00867B55">
        <w:rPr>
          <w:rFonts w:eastAsia="Times New Roman" w:cs="Times New Roman"/>
          <w:szCs w:val="24"/>
        </w:rPr>
        <w:t xml:space="preserve">a </w:t>
      </w:r>
      <w:r w:rsidR="00BB0528" w:rsidRPr="00BB0528">
        <w:rPr>
          <w:rFonts w:eastAsia="Times New Roman" w:cs="Times New Roman"/>
          <w:szCs w:val="24"/>
        </w:rPr>
        <w:t>commercially available radioimmunoassay kit (ImmuChem Double Antibody Estradiol RIA Kit, MP Biomedicals, LLC, Orangeburg, New York) that was descri</w:t>
      </w:r>
      <w:r w:rsidR="00187EE9">
        <w:rPr>
          <w:rFonts w:eastAsia="Times New Roman" w:cs="Times New Roman"/>
          <w:szCs w:val="24"/>
        </w:rPr>
        <w:t>b</w:t>
      </w:r>
      <w:r w:rsidR="00BB0528" w:rsidRPr="00BB0528">
        <w:rPr>
          <w:rFonts w:eastAsia="Times New Roman" w:cs="Times New Roman"/>
          <w:szCs w:val="24"/>
        </w:rPr>
        <w:t>ed in the same report (2).</w:t>
      </w:r>
    </w:p>
    <w:p w14:paraId="779F3589" w14:textId="4A2B01BF" w:rsidR="001B2419" w:rsidRPr="00187EE9" w:rsidRDefault="001B2419" w:rsidP="00187EE9">
      <w:pPr>
        <w:shd w:val="clear" w:color="auto" w:fill="FFFFFF"/>
        <w:spacing w:before="0" w:after="160"/>
        <w:ind w:firstLine="720"/>
        <w:contextualSpacing/>
        <w:textAlignment w:val="baseline"/>
        <w:rPr>
          <w:rFonts w:eastAsia="Times New Roman" w:cs="Times New Roman"/>
          <w:color w:val="FF0000"/>
          <w:szCs w:val="24"/>
        </w:rPr>
      </w:pPr>
      <w:r w:rsidRPr="00187EE9">
        <w:rPr>
          <w:rFonts w:eastAsia="Times New Roman" w:cs="Times New Roman"/>
          <w:szCs w:val="24"/>
        </w:rPr>
        <w:t>Serum cortisol concentrations in in 3 cats (cases 1, 7, and 8) were measured at the MSU-VDL using a commercially available</w:t>
      </w:r>
      <w:r w:rsidRPr="00187EE9">
        <w:rPr>
          <w:rFonts w:cs="Times New Roman"/>
          <w:kern w:val="2"/>
          <w:szCs w:val="24"/>
          <w14:ligatures w14:val="standardContextual"/>
        </w:rPr>
        <w:t xml:space="preserve"> </w:t>
      </w:r>
      <w:bookmarkStart w:id="0" w:name="_Hlk133234294"/>
      <w:r w:rsidRPr="00187EE9">
        <w:rPr>
          <w:rFonts w:cs="Times New Roman"/>
          <w:kern w:val="2"/>
          <w:szCs w:val="24"/>
          <w14:ligatures w14:val="standardContextual"/>
        </w:rPr>
        <w:t xml:space="preserve">chemiluminescent immunoassay </w:t>
      </w:r>
      <w:bookmarkEnd w:id="0"/>
      <w:r w:rsidRPr="00187EE9">
        <w:rPr>
          <w:rFonts w:cs="Times New Roman"/>
          <w:kern w:val="2"/>
          <w:szCs w:val="24"/>
          <w14:ligatures w14:val="standardContextual"/>
        </w:rPr>
        <w:t xml:space="preserve">(Immulite 2000 Cortisol, Siemens Healthcare Diagnostics, Gwynedd, UK) </w:t>
      </w:r>
      <w:r w:rsidR="00187EE9" w:rsidRPr="00187EE9">
        <w:rPr>
          <w:rFonts w:cs="Times New Roman"/>
          <w:kern w:val="2"/>
          <w:szCs w:val="24"/>
          <w14:ligatures w14:val="standardContextual"/>
        </w:rPr>
        <w:t>that has been</w:t>
      </w:r>
      <w:r w:rsidRPr="00187EE9">
        <w:rPr>
          <w:rFonts w:cs="Times New Roman"/>
          <w:kern w:val="2"/>
          <w:szCs w:val="24"/>
          <w14:ligatures w14:val="standardContextual"/>
        </w:rPr>
        <w:t xml:space="preserve"> described </w:t>
      </w:r>
      <w:r w:rsidR="00187EE9">
        <w:rPr>
          <w:rFonts w:cs="Times New Roman"/>
          <w:kern w:val="2"/>
          <w:szCs w:val="24"/>
          <w14:ligatures w14:val="standardContextual"/>
        </w:rPr>
        <w:t xml:space="preserve">for cortisol measurements in cats </w:t>
      </w:r>
      <w:r w:rsidRPr="00187EE9">
        <w:rPr>
          <w:rFonts w:cs="Times New Roman"/>
          <w:kern w:val="2"/>
          <w:szCs w:val="24"/>
          <w14:ligatures w14:val="standardContextual"/>
        </w:rPr>
        <w:t>elsewhere (3). Cortisol concentrations in 1 cat (case 2) were measured using the same methodology, but at the UTCVM-DLS.</w:t>
      </w:r>
      <w:r w:rsidR="00BB0528" w:rsidRPr="00187EE9">
        <w:rPr>
          <w:rFonts w:cs="Times New Roman"/>
          <w:kern w:val="2"/>
          <w:szCs w:val="24"/>
          <w14:ligatures w14:val="standardContextual"/>
        </w:rPr>
        <w:t xml:space="preserve"> Serum progesterone concentrations were measured in 1 cat </w:t>
      </w:r>
      <w:r w:rsidR="00187EE9" w:rsidRPr="00187EE9">
        <w:rPr>
          <w:rFonts w:cs="Times New Roman"/>
          <w:kern w:val="2"/>
          <w:szCs w:val="24"/>
          <w14:ligatures w14:val="standardContextual"/>
        </w:rPr>
        <w:t xml:space="preserve">(case 7) </w:t>
      </w:r>
      <w:r w:rsidR="00BB0528" w:rsidRPr="00187EE9">
        <w:rPr>
          <w:rFonts w:cs="Times New Roman"/>
          <w:kern w:val="2"/>
          <w:szCs w:val="24"/>
          <w14:ligatures w14:val="standardContextual"/>
        </w:rPr>
        <w:t>at the MSU-VDL</w:t>
      </w:r>
      <w:r w:rsidR="00187EE9" w:rsidRPr="00187EE9">
        <w:t xml:space="preserve"> using a commercially available competitive chemiluminescent immunoassay</w:t>
      </w:r>
      <w:r w:rsidR="00187EE9" w:rsidRPr="00187EE9">
        <w:rPr>
          <w:vertAlign w:val="superscript"/>
        </w:rPr>
        <w:t xml:space="preserve"> </w:t>
      </w:r>
      <w:r w:rsidR="00187EE9" w:rsidRPr="00187EE9">
        <w:t xml:space="preserve">(Immulite 2000 Progesterone, Siemens Healthcare Diagnostics, Gwynedd, UK), which has been described </w:t>
      </w:r>
      <w:r w:rsidR="00187EE9">
        <w:t xml:space="preserve">for use in cats </w:t>
      </w:r>
      <w:r w:rsidR="00187EE9" w:rsidRPr="00187EE9">
        <w:t>elsewhere (3)</w:t>
      </w:r>
      <w:r w:rsidR="00187EE9">
        <w:t xml:space="preserve">. Progesterone </w:t>
      </w:r>
      <w:r w:rsidR="00187EE9" w:rsidRPr="00187EE9">
        <w:t xml:space="preserve">concentrations in 2 cats (cases 2 and 3) were measured at the UTCVM-DLS using the same </w:t>
      </w:r>
      <w:r w:rsidR="00187EE9" w:rsidRPr="00187EE9">
        <w:lastRenderedPageBreak/>
        <w:t>methodology.</w:t>
      </w:r>
      <w:r w:rsidR="00187EE9" w:rsidRPr="00187EE9">
        <w:rPr>
          <w:rFonts w:eastAsia="Times New Roman" w:cs="Times New Roman"/>
          <w:szCs w:val="24"/>
        </w:rPr>
        <w:t xml:space="preserve"> </w:t>
      </w:r>
      <w:r w:rsidRPr="00187EE9">
        <w:rPr>
          <w:rFonts w:eastAsia="Times New Roman" w:cs="Times New Roman"/>
          <w:szCs w:val="24"/>
        </w:rPr>
        <w:t>Serum aldosterone concentrations in 2 cats (cases 7 and 8) were measured using a commercially available radioimmunoassay kit (</w:t>
      </w:r>
      <w:r w:rsidRPr="00187EE9">
        <w:rPr>
          <w:rFonts w:cs="Times New Roman"/>
          <w:kern w:val="2"/>
          <w:szCs w:val="24"/>
          <w14:ligatures w14:val="standardContextual"/>
        </w:rPr>
        <w:t>ACTIVE® Aldosterone RIA, Beckman Coulter, IMMUNOTECH s.r.o., Prague, Czech) that has been described in detail elsewhere (3).</w:t>
      </w:r>
    </w:p>
    <w:p w14:paraId="01316ED0" w14:textId="77777777" w:rsidR="009568A2" w:rsidRDefault="009568A2"/>
    <w:p w14:paraId="3ED8361A" w14:textId="77777777" w:rsidR="00432DDA" w:rsidRPr="00187EE9" w:rsidRDefault="00432DDA" w:rsidP="00432DDA">
      <w:pPr>
        <w:rPr>
          <w:u w:val="single"/>
        </w:rPr>
      </w:pPr>
      <w:r w:rsidRPr="00187EE9">
        <w:rPr>
          <w:u w:val="single"/>
        </w:rPr>
        <w:t>References for Assay Descriptions</w:t>
      </w:r>
    </w:p>
    <w:p w14:paraId="0BB8F42B" w14:textId="77777777" w:rsidR="00432DDA" w:rsidRDefault="00432DDA" w:rsidP="00432DDA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432DDA">
        <w:rPr>
          <w:rFonts w:eastAsia="Times New Roman" w:cs="Times New Roman"/>
        </w:rPr>
        <w:t xml:space="preserve">Levy JK, Miller LA, Crawford PC, Ritchey JW, Ross MK, Fagerstone KA. GnRH immunocontraception of male cats. </w:t>
      </w:r>
      <w:r w:rsidRPr="00432DDA">
        <w:rPr>
          <w:rFonts w:eastAsia="Times New Roman" w:cs="Times New Roman"/>
          <w:i/>
          <w:iCs/>
        </w:rPr>
        <w:t>Theriogenology</w:t>
      </w:r>
      <w:r w:rsidRPr="00432DDA">
        <w:rPr>
          <w:rFonts w:eastAsia="Times New Roman" w:cs="Times New Roman"/>
        </w:rPr>
        <w:t xml:space="preserve">. (2004) 62(6):1116-1130. doi: </w:t>
      </w:r>
      <w:r w:rsidRPr="00432DDA">
        <w:rPr>
          <w:rFonts w:eastAsia="Times New Roman" w:cs="Times New Roman"/>
          <w:szCs w:val="24"/>
        </w:rPr>
        <w:t>10.1016/j.theriogenology.2003.12.025.</w:t>
      </w:r>
    </w:p>
    <w:p w14:paraId="454B3ED6" w14:textId="77777777" w:rsidR="00432DDA" w:rsidRDefault="00432DDA" w:rsidP="00432DDA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432DDA">
        <w:rPr>
          <w:rFonts w:eastAsia="Times New Roman" w:cs="Times New Roman"/>
          <w:noProof/>
          <w:kern w:val="2"/>
          <w14:ligatures w14:val="standardContextual"/>
        </w:rPr>
        <w:t>Fecteau KA, Giori L, Cushing A, Price JM, Zhu X. Comparison of steroid and thyroid hormone concentrations in blood serum andplasma of captive tigers.</w:t>
      </w:r>
      <w:r w:rsidRPr="00432DDA">
        <w:rPr>
          <w:rFonts w:eastAsia="Times New Roman" w:cs="Times New Roman"/>
          <w:i/>
          <w:iCs/>
          <w:noProof/>
          <w:kern w:val="2"/>
          <w14:ligatures w14:val="standardContextual"/>
        </w:rPr>
        <w:t xml:space="preserve"> J Vet Diagn Invest</w:t>
      </w:r>
      <w:r w:rsidRPr="00432DDA">
        <w:rPr>
          <w:rFonts w:eastAsia="Times New Roman" w:cs="Times New Roman"/>
          <w:noProof/>
          <w:kern w:val="2"/>
          <w14:ligatures w14:val="standardContextual"/>
        </w:rPr>
        <w:t xml:space="preserve">. (2022) 34(3):547-551. doi: </w:t>
      </w:r>
      <w:r w:rsidRPr="00432DDA">
        <w:rPr>
          <w:rFonts w:eastAsia="Times New Roman" w:cs="Times New Roman"/>
          <w:noProof/>
          <w:szCs w:val="24"/>
        </w:rPr>
        <w:t>10.1177/10406387221090538.</w:t>
      </w:r>
    </w:p>
    <w:p w14:paraId="111E0FA8" w14:textId="772443D5" w:rsidR="00432DDA" w:rsidRPr="00432DDA" w:rsidRDefault="00432DDA" w:rsidP="00432DDA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432DDA">
        <w:rPr>
          <w:rFonts w:eastAsia="Times New Roman" w:cs="Times New Roman"/>
          <w:noProof/>
          <w:kern w:val="2"/>
          <w14:ligatures w14:val="standardContextual"/>
        </w:rPr>
        <w:t>Harro CC, Refsal KR, Shaw N, Alston SM, Folger W, Gross C, Cousins MW, Monahan CF, Mazaki-Tovi M, Langlois DK. Retrospective study of aldosterone and progesterone secreting adrenal tumors in 10 cats.</w:t>
      </w:r>
      <w:r w:rsidRPr="00432DDA">
        <w:rPr>
          <w:rFonts w:eastAsia="Times New Roman" w:cs="Times New Roman"/>
          <w:i/>
          <w:iCs/>
          <w:noProof/>
          <w:kern w:val="2"/>
          <w14:ligatures w14:val="standardContextual"/>
        </w:rPr>
        <w:t xml:space="preserve"> J Vet Intern Med</w:t>
      </w:r>
      <w:r w:rsidRPr="00432DDA">
        <w:rPr>
          <w:rFonts w:eastAsia="Times New Roman" w:cs="Times New Roman"/>
          <w:noProof/>
          <w:kern w:val="2"/>
          <w14:ligatures w14:val="standardContextual"/>
        </w:rPr>
        <w:t xml:space="preserve">. (2021) 35(5):2159-2166. doi: </w:t>
      </w:r>
      <w:r w:rsidRPr="00432DDA">
        <w:rPr>
          <w:rFonts w:eastAsia="Times New Roman" w:cs="Times New Roman"/>
          <w:noProof/>
          <w:szCs w:val="24"/>
        </w:rPr>
        <w:t>10.1111/jvim.16256.</w:t>
      </w:r>
    </w:p>
    <w:p w14:paraId="25DA32B6" w14:textId="77777777" w:rsidR="00432DDA" w:rsidRDefault="00432DDA"/>
    <w:sectPr w:rsidR="00432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2CAB"/>
    <w:multiLevelType w:val="hybridMultilevel"/>
    <w:tmpl w:val="CD70FF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531086"/>
    <w:multiLevelType w:val="hybridMultilevel"/>
    <w:tmpl w:val="D36C4C74"/>
    <w:lvl w:ilvl="0" w:tplc="7C0C73B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44382">
    <w:abstractNumId w:val="0"/>
  </w:num>
  <w:num w:numId="2" w16cid:durableId="196341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9A"/>
    <w:rsid w:val="00006A7E"/>
    <w:rsid w:val="00013A1E"/>
    <w:rsid w:val="000F6D20"/>
    <w:rsid w:val="00177CC7"/>
    <w:rsid w:val="00187EE9"/>
    <w:rsid w:val="001B2419"/>
    <w:rsid w:val="001F275B"/>
    <w:rsid w:val="00235355"/>
    <w:rsid w:val="002608B6"/>
    <w:rsid w:val="002612E5"/>
    <w:rsid w:val="00263CF7"/>
    <w:rsid w:val="002D3C44"/>
    <w:rsid w:val="00305990"/>
    <w:rsid w:val="00351FD9"/>
    <w:rsid w:val="003D4D9F"/>
    <w:rsid w:val="003D673A"/>
    <w:rsid w:val="00427029"/>
    <w:rsid w:val="00432DDA"/>
    <w:rsid w:val="004441B8"/>
    <w:rsid w:val="00497998"/>
    <w:rsid w:val="004D2D63"/>
    <w:rsid w:val="00500EE5"/>
    <w:rsid w:val="0052419C"/>
    <w:rsid w:val="005C4AAE"/>
    <w:rsid w:val="005F7468"/>
    <w:rsid w:val="00645E2C"/>
    <w:rsid w:val="006D66A2"/>
    <w:rsid w:val="006E7E50"/>
    <w:rsid w:val="00700DD7"/>
    <w:rsid w:val="00724DFD"/>
    <w:rsid w:val="00786F50"/>
    <w:rsid w:val="0081177B"/>
    <w:rsid w:val="0082672C"/>
    <w:rsid w:val="0084692C"/>
    <w:rsid w:val="00863AA7"/>
    <w:rsid w:val="00867B55"/>
    <w:rsid w:val="00887F69"/>
    <w:rsid w:val="008B6753"/>
    <w:rsid w:val="008C0E9A"/>
    <w:rsid w:val="009374A5"/>
    <w:rsid w:val="009568A2"/>
    <w:rsid w:val="009E3568"/>
    <w:rsid w:val="00A05680"/>
    <w:rsid w:val="00A26C78"/>
    <w:rsid w:val="00A576A8"/>
    <w:rsid w:val="00AA064B"/>
    <w:rsid w:val="00AA0DC7"/>
    <w:rsid w:val="00BB0528"/>
    <w:rsid w:val="00C95EF4"/>
    <w:rsid w:val="00C97F74"/>
    <w:rsid w:val="00CA22E9"/>
    <w:rsid w:val="00D21BCE"/>
    <w:rsid w:val="00D8475F"/>
    <w:rsid w:val="00D92D55"/>
    <w:rsid w:val="00DC5F28"/>
    <w:rsid w:val="00DC6067"/>
    <w:rsid w:val="00E518DC"/>
    <w:rsid w:val="00EC06BE"/>
    <w:rsid w:val="00EE31D0"/>
    <w:rsid w:val="00F635C2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45FD"/>
  <w15:chartTrackingRefBased/>
  <w15:docId w15:val="{FC642456-082F-4D6D-9F94-50A8290C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E9A"/>
    <w:pPr>
      <w:spacing w:before="120" w:after="240" w:line="240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0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E9A"/>
    <w:rPr>
      <w:rFonts w:cstheme="minorBid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C0E9A"/>
    <w:pPr>
      <w:spacing w:before="0"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8469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998"/>
    <w:rPr>
      <w:rFonts w:cstheme="minorBid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32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Erger, Caylen</dc:creator>
  <cp:keywords/>
  <dc:description/>
  <cp:lastModifiedBy>Langlois, Daniel</cp:lastModifiedBy>
  <cp:revision>18</cp:revision>
  <dcterms:created xsi:type="dcterms:W3CDTF">2023-04-24T19:40:00Z</dcterms:created>
  <dcterms:modified xsi:type="dcterms:W3CDTF">2023-04-25T01:07:00Z</dcterms:modified>
</cp:coreProperties>
</file>