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textAlignment w:val="center"/>
        <w:rPr>
          <w:rFonts w:hint="eastAsia" w:ascii="Times New Roman" w:hAnsi="Times New Roman" w:eastAsia="宋体" w:cs="宋体"/>
          <w:b/>
          <w:bCs/>
          <w:color w:val="000000"/>
          <w:sz w:val="24"/>
          <w:szCs w:val="20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0"/>
          <w:lang w:val="en-US" w:eastAsia="zh-CN" w:bidi="ar"/>
        </w:rPr>
        <w:t>T</w:t>
      </w:r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0"/>
          <w:lang w:bidi="ar"/>
        </w:rPr>
        <w:t xml:space="preserve">ool </w:t>
      </w:r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0"/>
          <w:lang w:val="en-US" w:eastAsia="zh-CN" w:bidi="ar"/>
        </w:rPr>
        <w:t>D</w:t>
      </w:r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0"/>
          <w:lang w:bidi="ar"/>
        </w:rPr>
        <w:t>etails</w:t>
      </w:r>
    </w:p>
    <w:p>
      <w:pPr>
        <w:widowControl/>
        <w:spacing w:after="0" w:line="240" w:lineRule="auto"/>
        <w:jc w:val="center"/>
        <w:textAlignment w:val="center"/>
        <w:rPr>
          <w:rFonts w:hint="eastAsia" w:ascii="Times New Roman" w:hAnsi="Times New Roman" w:eastAsia="宋体" w:cs="宋体"/>
          <w:b/>
          <w:bCs/>
          <w:color w:val="000000"/>
          <w:sz w:val="24"/>
          <w:szCs w:val="20"/>
          <w:lang w:bidi="ar"/>
        </w:rPr>
      </w:pPr>
    </w:p>
    <w:tbl>
      <w:tblPr>
        <w:tblStyle w:val="9"/>
        <w:tblW w:w="1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91"/>
        <w:gridCol w:w="7026"/>
        <w:gridCol w:w="306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 xml:space="preserve">Name or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 xml:space="preserve"> a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cronym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Use of the tool</w:t>
            </w:r>
          </w:p>
        </w:tc>
        <w:tc>
          <w:tcPr>
            <w:tcW w:w="7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R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eferences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 xml:space="preserve"> (description/introduction of the tool)</w:t>
            </w:r>
          </w:p>
        </w:tc>
        <w:tc>
          <w:tcPr>
            <w:tcW w:w="306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Study types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 xml:space="preserve"> included in the 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systematic reviews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 xml:space="preserve">Number of systematic reviews using the tool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（n,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ROB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(Randomized Controlled Trial)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its updates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Lundh A, Gøtzsche P. Recommendations by Cochrane Review Groups for assessment of the risk of bias in studies. BMC Med Res Methodol. 2008 Apr 21;8:22.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Higgins , Altman DG, Gøtzsche P,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et al.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The Cochrane Collaboration's tool for assessing risk of bias in randomised trials. BMJ. 2011 Oct 18;343:d5928.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Sterne J, Savović J, Page M,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RoB 2: a revised tool for assessing risk of bias in randomised trials. BMJ. 2019 Aug 28;366:l4898.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Ma L, Wang Y, Yang Z,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Methodological quality (risk of bias) assessment tools for primary and secondary medical studies: what are they and which is better? Mil Med Res. 2020 Feb 29;7(1):7.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Higgins J, Green S.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Cochrane handbook for systematic reviews of interventions:cochrane book series. Chichester: Wiley, 2008.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single-case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group design study, non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equivalent control study, single group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-intervention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 RCT</w:t>
            </w:r>
            <w:r>
              <w:rPr>
                <w:rStyle w:val="12"/>
                <w:rFonts w:hint="eastAsia" w:cstheme="minorBidi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(R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andomized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ontrolled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rial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observational study, non‐randomized study, cross-sectional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longitudinal study, quantitative study, qualitative study, mixed design study, quasi experiment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al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control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led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trial, pre-/post-test, randomized comparative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re-/post-session self-assessment, longitudinal survey study, observational cohort,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evaluation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self-reported questionnaire after teaching,  pre-/post-teaching questionnaire,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evaluation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self-reported questionnaires before and after, pilot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focus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evaluation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survey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conducted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after each workshop, post-hoc interviews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1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5.4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MERSQI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 Medical Education Research Quality Instrument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Reed D, Cook D, Beckman T,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Association between funding and quality of published medical education research. JAMA. 2007 Sep 5;298(9):1002-9. 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Reed D, Beckman T, Wright S,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Predictive validity evidence for medical education research study quality instrument scores: quality of submissions to JGIM's Medical Education Special Issue. J Gen Intern Med. 2008 Jul;23(7):903-7.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Cook D, Reed D. Appraising the quality of medical education research methods: the Medical Education Research Study Quality Instrument and the Newcastle-Ottawa Scale-Education. Acad Med. 2015 Aug;90(8):1067-76.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cohort study, RCT,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test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control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led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 randomized trial, cluster randomized trial, time-series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before‐after study, preoperative and postoperative study, pilot study, letters, brief reports/innovations, articles/commentaries, cross-sectional study, quantitative descriptive study, mixed-methods study, quasi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experimental study, proof-of-concept trial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9,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8.7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CASP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 Critical Appraisal Skills Programme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its updates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Zeng X, Liu H, Chen X, et al.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Meta-analysis series 4: Quality evaluation tools for observational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Chinese Journal of evidence based cardiovascular medicine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2012,4(04):297-299.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Critical Appraisal Skills Programme . Making sense of evidence about clinical effectiveness. 10 questions to help you make sense of qualitative research. Oxford: CASP; 2018.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Critical Appraisal Skills Programme . CASP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ab/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Checklist: 12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questions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to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ab/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help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you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m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ake sense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of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Cohort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Study. Oxford: CASP; 2018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trial, grounded theory, focus group discussion, semi-structured interviews, open questionnaire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quantitative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evaluation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before and after control, focus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survey, cross-sectional study, quasi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experiment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al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test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post test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cohort study, intervention study, observational study, descriptive study, case series,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henomenolog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ical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case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g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round theory,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arrative inquiry,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articipatory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8,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7.7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JBI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 Joanna Briggs Institute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Dixon-Woods M, Sutton A, Shaw R,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Appraising qualitative research for inclusion in systematic reviews: a quantitative and qualitative comparison of three methods. J Health Serv Res Policy. 2007 Jan;12(1):42-7. 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The Joanna Briggs Institute Critical Appraisal tools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for use in JBI Systematic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eviews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Checklist for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Quasi-Experimental Studies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(non-randomized experimental studies)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 2017.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The Joanna Briggs Institute Critical Appraisal tools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for use in JBI Systematic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eviews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Checklist for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Controlled Trials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 2017.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trial, cohort study,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-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and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test quasi experimental study, mixed methods research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(theme analysis）, qualitative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grounded theory, constant comparative analysis,  interpretive phenomenological analysis, basic interpretive approach, quasi experimental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RCT, crossover trial, comparative study,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8,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7.7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PEDro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Physiotherapy Evidence Database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Maher C, Sherrington C, Herbert R,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Reliability of the PEDro scale for rating quality of randomized controlled trials. Phys Ther. 2003 Aug;83(8):713-21.  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Elkins M, Moseley A, Sherrington C,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Growth in the Physiotherapy Evidence Database (PEDro) and use of the PEDro scale. Br J Sports Med. 2013 Mar;47(4):188-9.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quasi-experimental designs,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pre-post intervention testing,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descriptive study, intervention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 observational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7,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6.7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MMAT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 Mixed Methods Appraisal Tool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Pace R, Pluye P, Bartlett G,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. Testing the reliability and efficiency of the pilot Mixed Methods Appraisal Tool (MMAT) for systematic mixed studies review. Int J Nurs Stud. 2012 Jan;49(1):47-53.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Hong Q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Fàbregues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Bartlett G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et al.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The Mixed Methods Appraisal Tool (MMAT) version 2018 for information professionals and researchers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Education for Information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2018;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34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):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285-291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Hong Q, Pluye P, Fàbregues S,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Improving the content validity of the mixed methods appraisal tool: a modified e-Delphi study. J Clin Epidemiol. 2019 Jul;111:49-59.e1.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cross-sectional study, randomized trial, cluster randomized trial, time-series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post control study, preoperative-postoperative study, pilot study, quasi experimental pre-test and post-test single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descriptive study, mixed method study, qualitative study, RCT,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study, quantitative descriptive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5.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ROBINS-I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 Risk of Bias in Non-Randomized Studies of Interventions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Sterne J, Hernán M, Reeves B,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ROBINS-I: a tool for assessing risk of bias in non-randomised studies of interventions. BMJ. 2016 Oct 12;355:i4919.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trial,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equivalent control study, single group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-intervention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evaluation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before and after control, focus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survey, descriptive study, quasi experiment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al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trial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post test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4.8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CEC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Council for Exceptional Children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Cook B, Buysse V, Klingner J, et al. Council for Exceptional Children: Standards for evidence-based practices in special education. Teaching Exceptional Children, 2014, 46(6): 206.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Cook B, Buysse V, Klingner J, et al. CEC’s standards for classifying the evidence base of practices in special education. Remedial and Special Education, 2015, 36(4): 220-234..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crossover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intervention study,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quasi-experimental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single-case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group design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4.8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STROBE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Strengthening the Reporting of Observational Studies in Epidemiology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Reporting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V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on Elm E, Altman D, Egger M,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et al.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The Strengthening the Reporting of Observational Studies in Epidemiology (STROBE) Statement: guidelines for reporting observational studies. Int J Surg. 2014 Dec;12(12):1495-9.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ouralajal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J, 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ajik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P, Yazdizadeh B, et al. Quality assessment of the reporting of cohort studies before STROBE statement. 2009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Vandenbroucke J, von Elm E, Altman D,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Strengthening the Reporting of Observational Studies in Epidemiology (STROBE): explanation and elaboration. Int J Surg. 2014 Dec;12(12):1500-24.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ross-sectional study, self-report questionnaire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semi-structured interviews, focus group interviews,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evaluation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researchers’ field notes,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re-/post-test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randomized comparative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re-/post-session self-assessment,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longitudinal survey study, observational cohort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evaluation of 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re-/post-teaching questionnaires, survey, randomized comparative study, pilot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observational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focus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evaluation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survey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after each workshop,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ost-hoc interviews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3,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2.9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Cochrane 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Higgins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J,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Green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S.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Cochrane handbook for systematic 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v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iew of intervention V 5.20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2008.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RCT, quasi-randomized control trial,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non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-equivalent randomized controlled trial, cluster randomized controlled trial, quasi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experimental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3,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2.9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QATSDD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 Quality Assessment Tool for Studies with Diverse Designs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Sirriyeh R, Lawton R, Gardner P,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Reviewing studies with diverse designs: the development and evaluation of a new tool. J Eval Clin Pract. 2012 Aug;18(4):746-52.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randomized intervention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study,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observational study, qualitative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1.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RAG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Red-Amber-Green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Reporting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Reed D, Cook D, Beckman T,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Association between funding and quality of published medical education research. JAMA. 2007 Sep 5;298(9):1002-9.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Gordon M, Gibbs T. STORIES statement: publication standards for healthcare education evidence synthesis. BMC Med. 2014 Sep 3;12:143.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questionnaire investigation,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-/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-intervention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 interview, focus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observation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al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audit, progress report analysis,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presentations and reflective journals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report, comment, letter, innovation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1.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CONSORT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Consolidated Standards of Reporting Trials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Reporting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Moher D, Schulz K, Altman 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The CONSORT statement: revised recommendations for improving the quality of reports of parallel-group randomized trials. JAMA. 2001 Apr 18;285(15):1987-91.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elf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report questionnaire, semi-structured interview, focus group interview, researchers' field notes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1.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WWC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hat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orks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learinghouse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Institute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ducation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ciences.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hat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orks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learinghouse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standards hand book (Ver. 4.1)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 2020.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RCT 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1.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WOE 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Gough, David. Weight of Evidence: a framework for the appraisal of the quality and relevance of evidence. Research Papers in Education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22 (2007): 213 - 228., 22(2), 213–228.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</w:t>
            </w:r>
            <w:r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and </w:t>
            </w:r>
            <w:r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quasi-experimental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1.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Levels of Evidence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Evidence grading 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Randall R. Levels of Evidence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ASHA Leader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2004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crossover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intervention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GRADE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bidi="ar"/>
              </w:rPr>
              <w:t>Grading of Recommendations Assessment, Development and Evaluation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Evidence grading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Balshem H, Helfand M, Schünemann H,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. GRADE guidelines: 3. Rating the quality of evidence. J Clin Epidemiol. 2011 Apr;64(4):401-6. 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GRADE-CERQual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Grading of Recommendations Assessment, Development and Evaluation- Confidence in the Evidence from Reviews of Qualitative Research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Evidence grading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Lewin S, Booth A, Glenton C,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Applying GRADE-CERQual to qualitative evidence synthesis findings: introduction to the series. Implement Sci. 2018 Jan 25;13(Suppl 1):2.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escriptive study, multi-case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henomenolog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ical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case study, grounded theory, narrative inquiry,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articipatory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ISPOR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he International Society for Pharmacoeconomics and Outcomes Research  checklist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Quality assessment</w:t>
            </w:r>
          </w:p>
        </w:tc>
        <w:tc>
          <w:tcPr>
            <w:tcW w:w="7026" w:type="dxa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quantitative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Self-created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cross-sectional study, longitudinal study, experimental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rating system adapted from Siebes, Wijnroks, and Vermeer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Siebes R, Wijnroks L, Vermeer A. Qualitative analysis of therapeutic motor intervention programmes for children with cerebral palsy: an update. Dev Med Child Neurol. 2002 Sep;44(9):593-603.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studies other than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AIRE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Appraisal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ndicators through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esearch and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valuation (AIRE)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http://allie.dbcls.jp/cooccur/AIRE;Appraisal+of+Indicators+through+Research+and+Evaluation.html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iterature review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 q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ualitative interview with field visit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orkshop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 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xperts’ panel consensus techniques</w:t>
            </w:r>
            <w:r>
              <w:rPr>
                <w:rStyle w:val="10"/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onceptual map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 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ogical theoretical model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2-round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elphi consensus techniques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An adapted version of the Downs and Black instrument 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Downs S, Black N. The feasibility of creating a checklist for the assessment of the methodological quality both of randomised and non-randomised studies of health care interventions. J Epidemiol Community Health. 1998 Jun;52(6):377-84.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cohort study, prospective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-intervention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cross-sectional study, mixed methods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An adapted version of the OHAT tool 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Rooney A, Boyles A, Wolfe M,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. Systematic review and evidence integration for literature-based environmental health science assessments. Environ Health Perspect. 2014 Jul;122(7):711-8.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cross-sectional study, retrospective cohort study, longitudinal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Delphi List Verhagen et al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Verhagen A,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Vet HC,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Bie R,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. The Delphi list: a criteria list for quality assessment of randomized clinical trials for conducting systematic reviews developed by Delphi consensus. J Clin Epidemiol. 1998 Dec;51(12):1235-41.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controlled trial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Dixon-Woods et al.’s (2007) criteria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Lockwood C, Munn Z, Porritt K. Qualitative research synthesis: methodological guidance for systematic reviewers utilizing meta-aggregation. Int J Evid Based Healthc. 2015 Sep;13(3):179-87.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mixed method research (subject analysis), qualitative study, grounded theory, constant comparative analysis, interpretive phenomenological analysis, basic interpretive approach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EPHPP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(T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he Effective Public Health Practice Project  Quality Assessment Tool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Thomas B, Ciliska D, Dobbins M,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 process for systematically reviewing the literature: providing the research evidence for public health nursing interventions. Worldviews Evid Based Nurs. 2004;1(3):176-84.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controlled clinical trial,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studies with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pre-post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 control group and acute interventions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nstruments developed for single-case experimental methods/group designs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Romeiser L, Hickman R, Harris S,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Single-subject research design: recommendations for levels of evidence and quality rating. Dev Med Child Neurol. 2008 Feb;50(2):99-103. 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Downs S, Black N. The feasibility of creating a checklist for the assessment of the methodological quality both of randomised and non-randomised studies of health care interventions. J Epidemiol Community Health. 1998 Jun;52(6):377-84.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case study, supply chain management study, group-comparison analys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NICE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National Institute for Health and Care Excellence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National Institute for Health and Care Excellence (2012). Appendix F Quality appraisal checklist – quantitative intervention studies. National Institute for Health and Care Excellence.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wo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arm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intervention study, single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arm intervention study, three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arm randomized intervention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QATQS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bidi="ar"/>
              </w:rPr>
              <w:t>Quality Assessment Tool for Quantitative Studies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Thomas B, Ciliska D, Dobbins M,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. A process for systematically reviewing the literature: providing the research evidence for public health nursing interventions. Worldviews Evid Based Nurs. 2004;1(3):176-84.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RCT, quasi-randomized experimental study, pre-post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with a control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group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observational study 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QUADAS-2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bidi="ar"/>
              </w:rPr>
              <w:t>the Quality of Diagnostic Accuracy Studies version 2  checklist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Whiting P, Rutjes A, Westwood M,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et al.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QUADAS-2 Group. QUADAS-2: a revised tool for the quality assessment of diagnostic accuracy studies. Ann Intern Med. 2011 Oct 18;155(8):529-36.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z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ed trial, controlled before-after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before-after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intervention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 exploratory pilot stud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SURE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Specialist Unit for Review Evidence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Specialist Unit for Review Evidence (SURE) (2018). Questions to assist with the critical appraisal of cross-sectional studies. Available at: http://www.cardiff.ac.uk/insrv/libraries/sure/checklists.ht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cross-sectional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the adapted version of the Cochrane Collaboration tool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Higgins J, Altman D, Gøtzsche P,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. The Cochrane Collaboration's tool for assessing risk of bias in randomised trials. BMJ. 2011 Oct 18;343:d5928.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cohort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rospective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pre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and 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-intervention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cross-sectional study, mix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-methods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he tool developed by Reichow et al. (2018),SCD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Reichow B, Barton E, Maggin D. Development and applications of the single-case design risk of bias tool for evaluating single-case design research study reports. Res Dev Disabil. 2018 Aug;79:53-64.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single-case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group design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Self-created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Maher C, Sherrington C, Herbert R,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et al.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Reliability of the PEDro scale for rating quality of randomized controlled trials. Phys Ther. 2003 Aug;83(8):713-21.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 with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pre-post design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ad a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control group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n adaptation of the De Lange et al. (2003) evaluation tool.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Taris T, Kompier M, Houtman I,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"The very best of the millennium": longitudinal research and the demand-control-(support) model. J Occup Health Psychol. 2003 Oct;8(4):282-305.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longitudinal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Tufanaru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Munn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Z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Aromataris 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 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. Chapter 3: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Systematic reviews of effectiveness. In: Aromataris 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Munn Z. (Eds.)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JBI Manual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for Evidence Synthesis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JBI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2020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randomized controlled trial, quasi experimental study,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post control study, mix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-methods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NOS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 Newcastle-Ottawa Scale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Wells G, Shea B, Connell D, et al.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The Newcastle-Ottawa Scale (NOS) for Assessing the Quality of Nonrandomised Studies in Meta-Analyses (2021). Available from: http://www.ohri.ca/programs/clinical_epidemiology/oxford.asp 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observational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Q-SSP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he Quality of Survey Studies in Psychology checklist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Protogerou 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Hagger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M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 checklist to assess the quality of survey studies in psychology. Methods in Psychology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2020. available at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https://doi.org/10.1016/j.metip.2020.100031.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ind w:left="200" w:hanging="200" w:hangingChars="10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grounded theory, focus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semi-structured interview, questionnaire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Adapted an 8-item quality assessment tool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https://www.ncbi.nlm.nih.gov/pmc/articles/PMC5745693/table/tab1/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 22-item quality assessment tool based on work by Tong, Sainsbury, and Craig (2007), Mager and Nowak (2012), and Major et al. (2018)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Reporting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Tong A, Sainsbury P, Craig J. Consolidated criteria for reporting qualitative research (COREQ): a 32-item checklist for interviews and focus groups. Int J Qual Health Care. 2007 Dec;19(6):349-57.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ag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U,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Nowak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P.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Effects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tudent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articipation in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ecision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m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aking at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chool.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ystematic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eview and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ynthesis of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mpirical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esearch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Educational Research Review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. 2012; 1(7): 38-61.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Major L, Warwick P, Rasmussen I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 et al. Classroom dialogue and digital technologies: A scoping review. Educ Inf Technol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2018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23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: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1995–2028.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quantitative study, qualitative study, mixed-methods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F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ive criteria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12 criteria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crossover trial, comparative study, prospective cohort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dichotomous nominal scale of two unique values (yes/no)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lind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ed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cluster-randomized field trial,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ongitudinal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cluster randomized 3-arm controlled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trial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luster randomized controlled trial,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-/post-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test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evaluation,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ongitudinal quasi-experimental,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-/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test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 total of 33 items indicating study quality were rated using a binary system (yes/no)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AHRQ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(Agency for Health Research Quality)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Sanderson S, Tatt I, Higgins J. Tools for assessing quality and susceptibility to bias in observational studies in epidemiology: a systematic review and annotated bibliography. Int J Epidemiol. 2007 Jun;36(3):666-76.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cross-sectional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Ardoin and Bowers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Ardoin N, Bowers A. Early childhood environmental education: A systematic review of the research literature. Educ Res Rev. 2020 Nov;31:100353. 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quantitative study, qualitative study, mixed-methods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Cochrane 5.1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quasi-experimental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Cochranefor qualitative study quality assessment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Lewin S, Bohren M, Rashidian A,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Applying GRADE-CERQual to qualitative evidence synthesis findings-paper 2: how to make an overall CERQual assessment of confidence and create a Summary of Qualitative Findings table. Implement Sci. 2018 Jan 25;13(Suppl 1):10.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Kirkpatrick's Hierarchy of Evaluation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Donald 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Evaluating Training Programs: The Four Levels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American Journal of Evaluation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1998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August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;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19(2):25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9-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261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cohort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Likert scale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Proceedings of the 19th International Conference on Evaluation and Assessment in Software Engineering, 2015, vol.27-29-April-2015, pp.14-1-14-14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MQS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methodological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Q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uality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core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Goodson P, Buhi E, Dunsmore S. Self-esteem and adolescent sexual behaviors, attitudes, and intentions: a systematic review. J Adolesc Health. 2006 Mar;38(3):310-9.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cross-sectional study, pre-experimental research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randomi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z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ed cross-over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quasi-experimental research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QRT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 (Q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uality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 xml:space="preserve">ating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ool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observational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RoBANs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 (T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he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isk of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ias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ool for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on-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andomized studies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RCT, non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randomized 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The QualSyst tool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instrText xml:space="preserve"> HYPERLINK "https://www.researchgate.net/figure/Checklist-for-assessing-the-quality-of-quantitative-studies_tbl1_284812166."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fldChar w:fldCharType="separate"/>
            </w:r>
            <w:r>
              <w:rPr>
                <w:rStyle w:val="11"/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https://www.researchgate.net/figure/Checklist-for-assessing-the-quality-of-quantitative-studies_tbl1_284812166</w:t>
            </w:r>
            <w:r>
              <w:rPr>
                <w:rStyle w:val="11"/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fldChar w:fldCharType="end"/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Kmet L, Lee R, Cook L. Standard quality assessment criteria for evaluating primary research papers from a variety of fields. Edmonton: Alberta Heritage Foundation for Medical Research (AHFMR). AHFMR - HTA Initiative #13. 2004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study with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before and after design,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study with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retrospective before and after design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post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-intervention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evaluation, qualitative research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Refer to Valentine and Cooper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Conn V, Valentine J, Cooper H,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Grey literature in meta-analyses. Nurs Res. 2003 Jul-Aug;52(4):256-61.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Adapted risk-of-bias quality form of 7 items validated and adjusted for the specific context of co-educational research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Pfirrmann D, Herbst M, Ingelfinger P,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. Analysis of Injury Incidences in Male Professional Adult and Elite Youth Soccer Players: A Systematic Review. J Athl Train. 2016 May;51(5):410-24.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dapted14 criteria adapted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from Petticrew and Roberts (2006) and Randolph (2009)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non-empirical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empirical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Adapted 15 criteria adapted from Hirschheim (2008) and Randolph (2009)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non-empirical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, empirical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study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Modified Jadad rating scale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Customized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ind w:left="200" w:hanging="200" w:hangingChars="10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RISMA (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Preferred Reporting Items for Systematic reviews and Meta-Analyses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（self-created）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Table see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instrText xml:space="preserve"> HYPERLINK "https://www.mdpi.com/2079-9292/10/14/1611/htm" </w:instrTex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fldChar w:fldCharType="separate"/>
            </w:r>
            <w:r>
              <w:rPr>
                <w:rStyle w:val="11"/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https://www.mdpi.com/2079-9292/10/14/1611/htm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fldChar w:fldCharType="end"/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Rethlefsen M, Kirtley S, Waffenschmidt S,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. PRISMA-S: an extension to the PRISMA Statement for Reporting Literature Searches in Systematic Reviews. Syst Rev. 2021 Jan 26;10(1):39.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WWC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What Works Clearinghouse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)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Pilot Single-Case Design Standards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research 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with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excluded group</w:t>
            </w:r>
            <w:r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 xml:space="preserve"> design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Z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hou et al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/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/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BE2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Evidence garding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Hinton, D. 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Robinson, M.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Assessing the Strength of Evidence in the Education Sector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. 2015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(p. 52).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RCT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able2  Quality Assessment Rubric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/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bidi="ar"/>
              </w:rPr>
              <w:t>Brenda K. Davis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bidi="ar"/>
              </w:rPr>
              <w:t>Influences on Academic Talent Development of Black Girls in K-12: A Systematic Review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bidi="ar"/>
              </w:rPr>
              <w:t>Journal of Advanced Academics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. 2021, 32(4), 435-468.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case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regression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mixture modeling with auxiliary variables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phenomenological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latent class analysis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descriptive and correlational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correlational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linear mixed models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multiple regression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thematic analysis and multiple regression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hierarchical multiple regression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correlational and regression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a priori probability tests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including chi-square and correlation analysis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structural equation modeling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hierarchical cluster analysis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correlational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effect matrices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multivariate analysis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thematic content analysis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experimental crossover repeated measures design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systematic review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logistic regression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focus groups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latent variable structural equation modeling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ethnographic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exploratory case study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multilevel modeling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bidi="ar"/>
              </w:rPr>
              <w:t>ethnography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1, 1.0%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QATSSD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Methodological quality</w:t>
            </w:r>
          </w:p>
        </w:tc>
        <w:tc>
          <w:tcPr>
            <w:tcW w:w="7026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Sirriyeh, R., Lawton, R., Gardner, P.,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>et al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. Reviewing studies with diverse designs: the development and evaluation of a new tool. Journal of Evaluation in Clinical Practice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>2012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  <w:t xml:space="preserve">18, 746–752. 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group studies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, RCT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, single case experimental design studies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case series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bidi="ar"/>
              </w:rPr>
              <w:t>multiple case studies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"/>
              </w:rPr>
              <w:t>1, 1.0%</w:t>
            </w:r>
          </w:p>
        </w:tc>
      </w:tr>
    </w:tbl>
    <w:p>
      <w:r>
        <w:rPr>
          <w:rFonts w:ascii="Times New Roman" w:hAnsi="Times New Roman" w:cs="Times New Roman"/>
          <w:lang w:val="en-US"/>
        </w:rPr>
        <w:t>Note:</w:t>
      </w:r>
      <w:r>
        <w:rPr>
          <w:rFonts w:hint="eastAsia" w:ascii="Times New Roman" w:hAnsi="Times New Roman" w:cs="Times New Roman"/>
          <w:lang w:val="en-US"/>
        </w:rPr>
        <w:t>"/"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represents a lack of relevant information</w:t>
      </w:r>
      <w:r>
        <w:rPr>
          <w:rFonts w:ascii="Times New Roman" w:hAnsi="Times New Roman" w:cs="Times New Roman"/>
          <w:lang w:val="en-US"/>
        </w:rPr>
        <w:t xml:space="preserve"> in the systematic reviews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</w:p>
    <w:p/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NDU2NjU3ZjJmM2I1NDY5ODJmYTg3YjM4ZjJhMWIifQ=="/>
  </w:docVars>
  <w:rsids>
    <w:rsidRoot w:val="00DB186E"/>
    <w:rsid w:val="00244AD9"/>
    <w:rsid w:val="002D36B2"/>
    <w:rsid w:val="003650B4"/>
    <w:rsid w:val="005B6EBF"/>
    <w:rsid w:val="005F3D63"/>
    <w:rsid w:val="00843DF7"/>
    <w:rsid w:val="009A5E8B"/>
    <w:rsid w:val="00A04F00"/>
    <w:rsid w:val="00A46D95"/>
    <w:rsid w:val="00C970E0"/>
    <w:rsid w:val="00DB186E"/>
    <w:rsid w:val="00EE0586"/>
    <w:rsid w:val="09ED1F92"/>
    <w:rsid w:val="18A86B56"/>
    <w:rsid w:val="1D864E5D"/>
    <w:rsid w:val="1F1A4D3D"/>
    <w:rsid w:val="1FF01E74"/>
    <w:rsid w:val="21CF2E2B"/>
    <w:rsid w:val="4A8F1064"/>
    <w:rsid w:val="580B70F1"/>
    <w:rsid w:val="5A6A41DA"/>
    <w:rsid w:val="5C6B0F23"/>
    <w:rsid w:val="5D7D439A"/>
    <w:rsid w:val="5F2A4C45"/>
    <w:rsid w:val="6B25317F"/>
    <w:rsid w:val="6E655D32"/>
    <w:rsid w:val="7040034C"/>
    <w:rsid w:val="7A8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3">
    <w:name w:val="Balloon Text Char"/>
    <w:basedOn w:val="10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Comment Text Char"/>
    <w:basedOn w:val="10"/>
    <w:link w:val="3"/>
    <w:semiHidden/>
    <w:qFormat/>
    <w:uiPriority w:val="99"/>
    <w:rPr>
      <w:sz w:val="20"/>
      <w:szCs w:val="20"/>
    </w:rPr>
  </w:style>
  <w:style w:type="character" w:customStyle="1" w:styleId="15">
    <w:name w:val="Comment Subject Char"/>
    <w:basedOn w:val="14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UniGE</Company>
  <Pages>14</Pages>
  <Words>3431</Words>
  <Characters>22079</Characters>
  <Lines>133</Lines>
  <Paragraphs>37</Paragraphs>
  <TotalTime>19</TotalTime>
  <ScaleCrop>false</ScaleCrop>
  <LinksUpToDate>false</LinksUpToDate>
  <CharactersWithSpaces>25163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2022-07-09T20:07:00Z</dcterms:created>
  <dc:creator>Janne Anton Markus Estill</dc:creator>
  <cp:lastModifiedBy>兰慧</cp:lastModifiedBy>
  <dcterms:modified xsi:type="dcterms:W3CDTF">2022-09-30T02:18:42Z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FE84541E23E5437C83312C2740B6E856</vt:lpwstr>
  </property>
</Properties>
</file>