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EB3" w:rsidRPr="00082EB3" w:rsidRDefault="00082EB3" w:rsidP="00082EB3">
      <w:pPr>
        <w:widowControl/>
        <w:spacing w:before="100" w:beforeAutospacing="1" w:after="100" w:afterAutospacing="1" w:line="360" w:lineRule="auto"/>
        <w:jc w:val="left"/>
        <w:outlineLvl w:val="0"/>
        <w:rPr>
          <w:rFonts w:ascii="Times New Roman" w:eastAsia="Cambria" w:hAnsi="Times New Roman" w:cs="Times New Roman"/>
          <w:b/>
          <w:kern w:val="0"/>
          <w:sz w:val="28"/>
          <w:szCs w:val="28"/>
          <w:lang w:eastAsia="en-US"/>
        </w:rPr>
      </w:pPr>
      <w:bookmarkStart w:id="0" w:name="_Hlk126599053"/>
      <w:r w:rsidRPr="00082EB3">
        <w:rPr>
          <w:rFonts w:ascii="Times New Roman" w:eastAsia="Cambria" w:hAnsi="Times New Roman" w:cs="Times New Roman"/>
          <w:b/>
          <w:kern w:val="0"/>
          <w:sz w:val="28"/>
          <w:szCs w:val="28"/>
          <w:lang w:eastAsia="en-US"/>
        </w:rPr>
        <w:t>Supplementary Material</w:t>
      </w:r>
    </w:p>
    <w:p w:rsidR="00082EB3" w:rsidRPr="00082EB3" w:rsidRDefault="00082EB3" w:rsidP="00082EB3">
      <w:pPr>
        <w:rPr>
          <w:rFonts w:ascii="Times New Roman" w:eastAsia="等线" w:hAnsi="Times New Roman" w:cs="Times New Roman"/>
          <w:bCs/>
          <w:sz w:val="24"/>
          <w:szCs w:val="24"/>
        </w:rPr>
      </w:pPr>
      <w:bookmarkStart w:id="1" w:name="_Hlk126599108"/>
      <w:bookmarkEnd w:id="0"/>
      <w:r w:rsidRPr="00082EB3">
        <w:rPr>
          <w:rFonts w:ascii="Times New Roman" w:eastAsia="等线" w:hAnsi="Times New Roman" w:cs="Times New Roman"/>
          <w:b/>
          <w:bCs/>
          <w:sz w:val="24"/>
          <w:szCs w:val="24"/>
        </w:rPr>
        <w:t>T</w:t>
      </w:r>
      <w:r w:rsidRPr="00082EB3">
        <w:rPr>
          <w:rFonts w:ascii="Times New Roman" w:eastAsia="等线" w:hAnsi="Times New Roman" w:cs="Times New Roman" w:hint="eastAsia"/>
          <w:b/>
          <w:bCs/>
          <w:sz w:val="24"/>
          <w:szCs w:val="24"/>
        </w:rPr>
        <w:t>able</w:t>
      </w:r>
      <w:r w:rsidRPr="00082EB3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S1</w:t>
      </w:r>
      <w:r w:rsidRPr="00082EB3">
        <w:rPr>
          <w:rFonts w:ascii="Times New Roman" w:eastAsia="等线" w:hAnsi="Times New Roman" w:cs="Times New Roman" w:hint="eastAsia"/>
          <w:bCs/>
          <w:sz w:val="24"/>
          <w:szCs w:val="24"/>
        </w:rPr>
        <w:t xml:space="preserve"> </w:t>
      </w:r>
      <w:r w:rsidRPr="00082EB3">
        <w:rPr>
          <w:rFonts w:ascii="Times New Roman" w:eastAsia="等线" w:hAnsi="Times New Roman" w:cs="Times New Roman"/>
          <w:bCs/>
          <w:sz w:val="24"/>
          <w:szCs w:val="24"/>
        </w:rPr>
        <w:t>Dillon–Goldstein’s rho (</w:t>
      </w:r>
      <w:proofErr w:type="spellStart"/>
      <w:r w:rsidRPr="00082EB3">
        <w:rPr>
          <w:rFonts w:ascii="Times New Roman" w:eastAsia="等线" w:hAnsi="Times New Roman" w:cs="Times New Roman" w:hint="eastAsia"/>
          <w:bCs/>
          <w:sz w:val="24"/>
          <w:szCs w:val="24"/>
        </w:rPr>
        <w:t>D</w:t>
      </w:r>
      <w:r w:rsidRPr="00082EB3">
        <w:rPr>
          <w:rFonts w:ascii="Times New Roman" w:eastAsia="等线" w:hAnsi="Times New Roman" w:cs="Times New Roman"/>
          <w:bCs/>
          <w:sz w:val="24"/>
          <w:szCs w:val="24"/>
        </w:rPr>
        <w:t>G.rho</w:t>
      </w:r>
      <w:proofErr w:type="spellEnd"/>
      <w:r w:rsidRPr="00082EB3">
        <w:rPr>
          <w:rFonts w:ascii="Times New Roman" w:eastAsia="等线" w:hAnsi="Times New Roman" w:cs="Times New Roman"/>
          <w:bCs/>
          <w:sz w:val="24"/>
          <w:szCs w:val="24"/>
        </w:rPr>
        <w:t xml:space="preserve">) for </w:t>
      </w:r>
      <w:r w:rsidRPr="00082EB3">
        <w:rPr>
          <w:rFonts w:ascii="Times New Roman" w:eastAsia="等线" w:hAnsi="Times New Roman" w:cs="Times New Roman" w:hint="eastAsia"/>
          <w:bCs/>
          <w:sz w:val="24"/>
          <w:szCs w:val="24"/>
        </w:rPr>
        <w:t xml:space="preserve">a </w:t>
      </w:r>
      <w:r w:rsidRPr="00082EB3">
        <w:rPr>
          <w:rFonts w:ascii="Times New Roman" w:eastAsia="等线" w:hAnsi="Times New Roman" w:cs="Times New Roman"/>
          <w:bCs/>
          <w:sz w:val="24"/>
          <w:szCs w:val="24"/>
        </w:rPr>
        <w:t xml:space="preserve">latent variable and loading of each manifest variable for its latent variable in the partial least squares path modeling for </w:t>
      </w:r>
      <w:r w:rsidRPr="00082EB3">
        <w:rPr>
          <w:rFonts w:ascii="Times New Roman" w:eastAsia="宋体" w:hAnsi="Times New Roman" w:cs="Times New Roman" w:hint="eastAsia"/>
          <w:kern w:val="0"/>
          <w:sz w:val="24"/>
          <w:szCs w:val="24"/>
        </w:rPr>
        <w:t>plant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growth</w:t>
      </w:r>
      <w:r w:rsidRPr="00082EB3">
        <w:rPr>
          <w:rFonts w:ascii="Times New Roman" w:eastAsia="等线" w:hAnsi="Times New Roman" w:cs="Times New Roman"/>
          <w:bCs/>
          <w:sz w:val="24"/>
          <w:szCs w:val="24"/>
        </w:rPr>
        <w:t xml:space="preserve"> and the growth advantage of </w:t>
      </w:r>
      <w:r w:rsidRPr="00082EB3">
        <w:rPr>
          <w:rFonts w:ascii="Times New Roman" w:eastAsia="等线" w:hAnsi="Times New Roman" w:cs="Times New Roman"/>
          <w:bCs/>
          <w:i/>
          <w:sz w:val="24"/>
          <w:szCs w:val="24"/>
        </w:rPr>
        <w:t>S. canadensis</w:t>
      </w:r>
      <w:r w:rsidRPr="00082EB3">
        <w:rPr>
          <w:rFonts w:ascii="Times New Roman" w:eastAsia="等线" w:hAnsi="Times New Roman" w:cs="Times New Roman"/>
          <w:bCs/>
          <w:sz w:val="24"/>
          <w:szCs w:val="24"/>
        </w:rPr>
        <w:t>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25"/>
        <w:gridCol w:w="2535"/>
        <w:gridCol w:w="2854"/>
        <w:gridCol w:w="1269"/>
        <w:gridCol w:w="1356"/>
      </w:tblGrid>
      <w:tr w:rsidR="00082EB3" w:rsidRPr="00082EB3" w:rsidTr="00465F95">
        <w:tc>
          <w:tcPr>
            <w:tcW w:w="799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Path models</w:t>
            </w:r>
          </w:p>
        </w:tc>
        <w:tc>
          <w:tcPr>
            <w:tcW w:w="1329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Latent variables</w:t>
            </w:r>
          </w:p>
        </w:tc>
        <w:tc>
          <w:tcPr>
            <w:tcW w:w="1496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Manifest variables</w:t>
            </w:r>
          </w:p>
        </w:tc>
        <w:tc>
          <w:tcPr>
            <w:tcW w:w="665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DG.rho</w:t>
            </w:r>
            <w:proofErr w:type="spellEnd"/>
          </w:p>
        </w:tc>
        <w:tc>
          <w:tcPr>
            <w:tcW w:w="711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  <w:t>Loading</w:t>
            </w:r>
          </w:p>
        </w:tc>
      </w:tr>
      <w:tr w:rsidR="00082EB3" w:rsidRPr="00082EB3" w:rsidTr="00465F95">
        <w:tc>
          <w:tcPr>
            <w:tcW w:w="799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Total biomass</w:t>
            </w:r>
          </w:p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(GoF:0.345</w:t>
            </w:r>
          </w:p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R</w:t>
            </w: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>2</w:t>
            </w: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:0.510)</w:t>
            </w:r>
          </w:p>
        </w:tc>
        <w:tc>
          <w:tcPr>
            <w:tcW w:w="1329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Ranking of P use efficacy</w:t>
            </w:r>
          </w:p>
        </w:tc>
        <w:tc>
          <w:tcPr>
            <w:tcW w:w="665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Alpha diversity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Richness</w:t>
            </w:r>
          </w:p>
        </w:tc>
        <w:tc>
          <w:tcPr>
            <w:tcW w:w="665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0.937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0.967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Shannon</w:t>
            </w:r>
          </w:p>
        </w:tc>
        <w:tc>
          <w:tcPr>
            <w:tcW w:w="665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0.903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Community structure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Diversisporaceae</w:t>
            </w:r>
            <w:proofErr w:type="spellEnd"/>
          </w:p>
        </w:tc>
        <w:tc>
          <w:tcPr>
            <w:tcW w:w="665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Keystone species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ASV609</w:t>
            </w:r>
          </w:p>
        </w:tc>
        <w:tc>
          <w:tcPr>
            <w:tcW w:w="665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0.832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0.763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ASV240</w:t>
            </w:r>
          </w:p>
        </w:tc>
        <w:tc>
          <w:tcPr>
            <w:tcW w:w="665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0.839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ASV28</w:t>
            </w:r>
          </w:p>
        </w:tc>
        <w:tc>
          <w:tcPr>
            <w:tcW w:w="665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0.760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Total biomass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Biomass</w:t>
            </w:r>
          </w:p>
        </w:tc>
        <w:tc>
          <w:tcPr>
            <w:tcW w:w="665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082EB3" w:rsidRPr="00082EB3" w:rsidTr="00465F95">
        <w:tc>
          <w:tcPr>
            <w:tcW w:w="799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Growth advantage (GoF:0.415</w:t>
            </w:r>
          </w:p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R</w:t>
            </w: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>2</w:t>
            </w: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:0.448)</w:t>
            </w:r>
          </w:p>
        </w:tc>
        <w:tc>
          <w:tcPr>
            <w:tcW w:w="1329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Ranking of P use efficacy</w:t>
            </w:r>
          </w:p>
        </w:tc>
        <w:tc>
          <w:tcPr>
            <w:tcW w:w="665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Alpha diversity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Richness</w:t>
            </w:r>
          </w:p>
        </w:tc>
        <w:tc>
          <w:tcPr>
            <w:tcW w:w="665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0.940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0.952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Shannon</w:t>
            </w:r>
          </w:p>
        </w:tc>
        <w:tc>
          <w:tcPr>
            <w:tcW w:w="665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0.931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Community structure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Glomeraceae</w:t>
            </w:r>
            <w:proofErr w:type="spellEnd"/>
          </w:p>
        </w:tc>
        <w:tc>
          <w:tcPr>
            <w:tcW w:w="665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Keystone species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ASV354</w:t>
            </w:r>
          </w:p>
        </w:tc>
        <w:tc>
          <w:tcPr>
            <w:tcW w:w="665" w:type="pct"/>
            <w:vMerge w:val="restar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0.879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0.923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ASV240</w:t>
            </w:r>
          </w:p>
        </w:tc>
        <w:tc>
          <w:tcPr>
            <w:tcW w:w="665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0.844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ASV28</w:t>
            </w:r>
          </w:p>
        </w:tc>
        <w:tc>
          <w:tcPr>
            <w:tcW w:w="665" w:type="pct"/>
            <w:vMerge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0.750</w:t>
            </w:r>
          </w:p>
        </w:tc>
      </w:tr>
      <w:tr w:rsidR="00082EB3" w:rsidRPr="00082EB3" w:rsidTr="00465F95">
        <w:tc>
          <w:tcPr>
            <w:tcW w:w="799" w:type="pct"/>
            <w:vMerge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Growth advantage</w:t>
            </w:r>
          </w:p>
        </w:tc>
        <w:tc>
          <w:tcPr>
            <w:tcW w:w="1496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Growth advantage</w:t>
            </w:r>
          </w:p>
        </w:tc>
        <w:tc>
          <w:tcPr>
            <w:tcW w:w="665" w:type="pct"/>
            <w:vAlign w:val="center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" w:type="pct"/>
          </w:tcPr>
          <w:p w:rsidR="00082EB3" w:rsidRPr="00082EB3" w:rsidRDefault="00082EB3" w:rsidP="00082EB3">
            <w:pPr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</w:tbl>
    <w:p w:rsidR="00082EB3" w:rsidRPr="00082EB3" w:rsidRDefault="00082EB3" w:rsidP="00082EB3">
      <w:pPr>
        <w:widowControl/>
        <w:spacing w:before="120" w:after="240"/>
        <w:jc w:val="left"/>
        <w:rPr>
          <w:rFonts w:ascii="Times New Roman" w:eastAsia="宋体" w:hAnsi="Times New Roman" w:cs="Times New Roman"/>
          <w:kern w:val="0"/>
          <w:sz w:val="24"/>
          <w:lang w:eastAsia="en-US"/>
        </w:rPr>
        <w:sectPr w:rsidR="00082EB3" w:rsidRPr="00082EB3" w:rsidSect="00C81096">
          <w:pgSz w:w="11907" w:h="16840" w:code="9"/>
          <w:pgMar w:top="1140" w:right="1179" w:bottom="1140" w:left="1179" w:header="850" w:footer="992" w:gutter="0"/>
          <w:cols w:space="720"/>
          <w:docGrid w:linePitch="360"/>
        </w:sectPr>
      </w:pPr>
    </w:p>
    <w:p w:rsidR="00082EB3" w:rsidRPr="00082EB3" w:rsidRDefault="00082EB3" w:rsidP="00082EB3">
      <w:pPr>
        <w:spacing w:before="240"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082EB3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lastRenderedPageBreak/>
        <w:t>Table S2</w:t>
      </w:r>
      <w:r w:rsidRPr="00082EB3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Dissimilarity analysis (PERMANOVA) of AMF community under five P treatments across two </w:t>
      </w:r>
      <w:r w:rsidRPr="00082EB3">
        <w:rPr>
          <w:rFonts w:ascii="Times New Roman" w:eastAsia="等线" w:hAnsi="Times New Roman" w:cs="Times New Roman"/>
          <w:i/>
          <w:iCs/>
          <w:sz w:val="24"/>
          <w:szCs w:val="24"/>
        </w:rPr>
        <w:t>Solidago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 species</w:t>
      </w:r>
      <w:r w:rsidRPr="00082EB3">
        <w:rPr>
          <w:rFonts w:ascii="Times New Roman" w:eastAsia="等线" w:hAnsi="Times New Roman" w:cs="Times New Roman"/>
          <w:i/>
          <w:iCs/>
          <w:color w:val="000000"/>
          <w:kern w:val="0"/>
          <w:sz w:val="24"/>
          <w:szCs w:val="24"/>
        </w:rPr>
        <w:t xml:space="preserve">. </w:t>
      </w:r>
      <w:r w:rsidRPr="00082EB3">
        <w:rPr>
          <w:rFonts w:ascii="Times New Roman" w:eastAsia="等线" w:hAnsi="Times New Roman" w:cs="Times New Roman"/>
          <w:sz w:val="24"/>
          <w:szCs w:val="24"/>
        </w:rPr>
        <w:t>Significant effects are shown in bold (</w:t>
      </w:r>
      <w:r w:rsidRPr="00082EB3">
        <w:rPr>
          <w:rFonts w:ascii="Times New Roman" w:eastAsia="等线" w:hAnsi="Times New Roman" w:cs="Times New Roman"/>
          <w:i/>
          <w:iCs/>
          <w:sz w:val="24"/>
          <w:szCs w:val="24"/>
        </w:rPr>
        <w:t>P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 &lt; 0.05).</w:t>
      </w:r>
    </w:p>
    <w:tbl>
      <w:tblPr>
        <w:tblW w:w="4140" w:type="dxa"/>
        <w:tblLook w:val="04A0" w:firstRow="1" w:lastRow="0" w:firstColumn="1" w:lastColumn="0" w:noHBand="0" w:noVBand="1"/>
      </w:tblPr>
      <w:tblGrid>
        <w:gridCol w:w="2100"/>
        <w:gridCol w:w="1020"/>
        <w:gridCol w:w="1020"/>
      </w:tblGrid>
      <w:tr w:rsidR="00082EB3" w:rsidRPr="00082EB3" w:rsidTr="00465F95">
        <w:trPr>
          <w:trHeight w:val="315"/>
        </w:trPr>
        <w:tc>
          <w:tcPr>
            <w:tcW w:w="21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Dissimilarity based on Bray-Curtis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PERMANOVA</w:t>
            </w:r>
          </w:p>
        </w:tc>
      </w:tr>
      <w:tr w:rsidR="00082EB3" w:rsidRPr="00082EB3" w:rsidTr="00465F95">
        <w:trPr>
          <w:trHeight w:val="315"/>
        </w:trPr>
        <w:tc>
          <w:tcPr>
            <w:tcW w:w="21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082EB3" w:rsidRPr="00082EB3" w:rsidTr="00465F95">
        <w:trPr>
          <w:trHeight w:val="30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Species (S)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2.59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&lt;0.001</w:t>
            </w:r>
          </w:p>
        </w:tc>
      </w:tr>
      <w:tr w:rsidR="00082EB3" w:rsidRPr="00082EB3" w:rsidTr="00465F95">
        <w:trPr>
          <w:trHeight w:val="30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Phosphorus (P)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&lt;0.001</w:t>
            </w:r>
          </w:p>
        </w:tc>
      </w:tr>
      <w:tr w:rsidR="00082EB3" w:rsidRPr="00082EB3" w:rsidTr="00465F95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 × 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1.01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0.460</w:t>
            </w:r>
          </w:p>
        </w:tc>
      </w:tr>
    </w:tbl>
    <w:p w:rsidR="00082EB3" w:rsidRPr="00082EB3" w:rsidRDefault="00082EB3" w:rsidP="00082EB3">
      <w:pPr>
        <w:widowControl/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  <w:sectPr w:rsidR="00082EB3" w:rsidRPr="00082EB3" w:rsidSect="00C81096">
          <w:pgSz w:w="11907" w:h="16840" w:code="9"/>
          <w:pgMar w:top="1140" w:right="1179" w:bottom="1140" w:left="1179" w:header="851" w:footer="992" w:gutter="0"/>
          <w:cols w:space="425"/>
          <w:docGrid w:linePitch="326"/>
        </w:sectPr>
      </w:pPr>
    </w:p>
    <w:p w:rsidR="00082EB3" w:rsidRPr="00082EB3" w:rsidRDefault="00082EB3" w:rsidP="00082EB3">
      <w:pPr>
        <w:widowControl/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082EB3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lastRenderedPageBreak/>
        <w:t xml:space="preserve">Table S3 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Dissimilarity analysis (PERMANOVA) of AMF community under five P treatments across </w:t>
      </w:r>
      <w:r w:rsidRPr="00082EB3">
        <w:rPr>
          <w:rFonts w:ascii="Times New Roman" w:eastAsia="等线" w:hAnsi="Times New Roman" w:cs="Times New Roman"/>
          <w:i/>
          <w:iCs/>
          <w:sz w:val="24"/>
          <w:szCs w:val="24"/>
        </w:rPr>
        <w:t>S.</w:t>
      </w:r>
      <w:r w:rsidRPr="00082EB3">
        <w:rPr>
          <w:rFonts w:ascii="Times New Roman" w:eastAsia="等线" w:hAnsi="Times New Roman" w:cs="Times New Roman"/>
          <w:i/>
          <w:iCs/>
          <w:color w:val="000000"/>
          <w:kern w:val="0"/>
          <w:sz w:val="22"/>
        </w:rPr>
        <w:t xml:space="preserve"> </w:t>
      </w:r>
      <w:proofErr w:type="spellStart"/>
      <w:r w:rsidRPr="00082EB3">
        <w:rPr>
          <w:rFonts w:ascii="Times New Roman" w:eastAsia="等线" w:hAnsi="Times New Roman" w:cs="Times New Roman"/>
          <w:i/>
          <w:iCs/>
          <w:color w:val="000000"/>
          <w:kern w:val="0"/>
          <w:sz w:val="22"/>
        </w:rPr>
        <w:t>decurrens</w:t>
      </w:r>
      <w:proofErr w:type="spellEnd"/>
      <w:r w:rsidRPr="00082EB3">
        <w:rPr>
          <w:rFonts w:ascii="Times New Roman" w:eastAsia="等线" w:hAnsi="Times New Roman" w:cs="Times New Roman"/>
          <w:i/>
          <w:iCs/>
          <w:sz w:val="24"/>
          <w:szCs w:val="24"/>
        </w:rPr>
        <w:t xml:space="preserve"> and S. </w:t>
      </w:r>
      <w:r w:rsidRPr="00082EB3">
        <w:rPr>
          <w:rFonts w:ascii="Times New Roman" w:eastAsia="等线" w:hAnsi="Times New Roman" w:cs="Times New Roman"/>
          <w:i/>
          <w:iCs/>
          <w:color w:val="000000"/>
          <w:kern w:val="0"/>
          <w:sz w:val="24"/>
          <w:szCs w:val="24"/>
        </w:rPr>
        <w:t>canadensis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. CK: no P addition;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NaP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: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sodium dihydrogen phosphate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CaP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 xml:space="preserve">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hydroxyapatite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AMP: adenosine monophosphate; PA: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myo-inositol </w:t>
      </w:r>
      <w:proofErr w:type="spellStart"/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hexakisphosphate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. Significant effects are shown in bold (</w:t>
      </w:r>
      <w:r w:rsidRPr="00082EB3">
        <w:rPr>
          <w:rFonts w:ascii="Times New Roman" w:eastAsia="等线" w:hAnsi="Times New Roman" w:cs="Times New Roman"/>
          <w:i/>
          <w:iCs/>
          <w:sz w:val="24"/>
          <w:szCs w:val="24"/>
        </w:rPr>
        <w:t>P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 &lt; 0.05).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3"/>
        <w:gridCol w:w="3183"/>
        <w:gridCol w:w="409"/>
        <w:gridCol w:w="1387"/>
        <w:gridCol w:w="1387"/>
      </w:tblGrid>
      <w:tr w:rsidR="00082EB3" w:rsidRPr="00082EB3" w:rsidTr="00465F95">
        <w:trPr>
          <w:trHeight w:val="285"/>
        </w:trPr>
        <w:tc>
          <w:tcPr>
            <w:tcW w:w="166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Species</w:t>
            </w:r>
          </w:p>
        </w:tc>
        <w:tc>
          <w:tcPr>
            <w:tcW w:w="166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Dissimilarity based on Bray-Curtis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PERMANOVA</w:t>
            </w:r>
          </w:p>
        </w:tc>
      </w:tr>
      <w:tr w:rsidR="00082EB3" w:rsidRPr="00082EB3" w:rsidTr="00465F95">
        <w:trPr>
          <w:trHeight w:val="285"/>
        </w:trPr>
        <w:tc>
          <w:tcPr>
            <w:tcW w:w="166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082EB3" w:rsidRPr="00082EB3" w:rsidTr="00465F95">
        <w:trPr>
          <w:trHeight w:val="285"/>
        </w:trPr>
        <w:tc>
          <w:tcPr>
            <w:tcW w:w="16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S. </w:t>
            </w: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decurrens</w:t>
            </w:r>
            <w:proofErr w:type="spellEnd"/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CK vs </w:t>
            </w: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NaP</w:t>
            </w:r>
            <w:proofErr w:type="spellEnd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3.10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0.001 </w:t>
            </w:r>
          </w:p>
        </w:tc>
      </w:tr>
      <w:tr w:rsidR="00082EB3" w:rsidRPr="00082EB3" w:rsidTr="00465F95">
        <w:trPr>
          <w:trHeight w:val="278"/>
        </w:trPr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CK vs </w:t>
            </w: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CaP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0.94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0.48 </w:t>
            </w:r>
          </w:p>
        </w:tc>
      </w:tr>
      <w:tr w:rsidR="00082EB3" w:rsidRPr="00082EB3" w:rsidTr="00465F95">
        <w:trPr>
          <w:trHeight w:val="330"/>
        </w:trPr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CK vs AMP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2.68 </w:t>
            </w:r>
          </w:p>
        </w:tc>
        <w:tc>
          <w:tcPr>
            <w:tcW w:w="7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0.003 </w:t>
            </w:r>
          </w:p>
        </w:tc>
      </w:tr>
      <w:tr w:rsidR="00082EB3" w:rsidRPr="00082EB3" w:rsidTr="00465F95">
        <w:trPr>
          <w:trHeight w:val="278"/>
        </w:trPr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CK vs PA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3.51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0.002 </w:t>
            </w:r>
          </w:p>
        </w:tc>
      </w:tr>
      <w:tr w:rsidR="00082EB3" w:rsidRPr="00082EB3" w:rsidTr="00465F95">
        <w:trPr>
          <w:trHeight w:val="278"/>
        </w:trPr>
        <w:tc>
          <w:tcPr>
            <w:tcW w:w="16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S. canadensis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CK vs </w:t>
            </w: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NaP</w:t>
            </w:r>
            <w:proofErr w:type="spellEnd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2.65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0.005 </w:t>
            </w:r>
          </w:p>
        </w:tc>
      </w:tr>
      <w:tr w:rsidR="00082EB3" w:rsidRPr="00082EB3" w:rsidTr="00465F95">
        <w:trPr>
          <w:trHeight w:val="278"/>
        </w:trPr>
        <w:tc>
          <w:tcPr>
            <w:tcW w:w="16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CK vs </w:t>
            </w: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CaP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0.85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0.61 </w:t>
            </w:r>
          </w:p>
        </w:tc>
      </w:tr>
      <w:tr w:rsidR="00082EB3" w:rsidRPr="00082EB3" w:rsidTr="00465F95">
        <w:trPr>
          <w:trHeight w:val="278"/>
        </w:trPr>
        <w:tc>
          <w:tcPr>
            <w:tcW w:w="16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CK vs AMP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2.27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0.01 </w:t>
            </w:r>
          </w:p>
        </w:tc>
      </w:tr>
      <w:tr w:rsidR="00082EB3" w:rsidRPr="00082EB3" w:rsidTr="00465F95">
        <w:trPr>
          <w:trHeight w:val="285"/>
        </w:trPr>
        <w:tc>
          <w:tcPr>
            <w:tcW w:w="16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CK vs PA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3.11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0.006 </w:t>
            </w:r>
          </w:p>
        </w:tc>
      </w:tr>
    </w:tbl>
    <w:p w:rsidR="00082EB3" w:rsidRPr="00082EB3" w:rsidRDefault="00082EB3" w:rsidP="00082EB3">
      <w:pPr>
        <w:rPr>
          <w:rFonts w:ascii="Times New Roman" w:eastAsia="等线" w:hAnsi="Times New Roman" w:cs="Times New Roman"/>
          <w:b/>
          <w:bCs/>
          <w:sz w:val="24"/>
          <w:szCs w:val="24"/>
        </w:rPr>
        <w:sectPr w:rsidR="00082EB3" w:rsidRPr="00082EB3" w:rsidSect="00C81096">
          <w:pgSz w:w="11907" w:h="16840" w:code="9"/>
          <w:pgMar w:top="1140" w:right="1179" w:bottom="1140" w:left="1179" w:header="851" w:footer="992" w:gutter="0"/>
          <w:cols w:space="425"/>
          <w:docGrid w:linePitch="326"/>
        </w:sectPr>
      </w:pPr>
    </w:p>
    <w:p w:rsidR="00082EB3" w:rsidRPr="00082EB3" w:rsidRDefault="00082EB3" w:rsidP="00082EB3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082EB3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lastRenderedPageBreak/>
        <w:t>Table S4</w:t>
      </w:r>
      <w:r w:rsidRPr="00082EB3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Dissimilarity analysis (PERMANOVA) of AMF communities of </w:t>
      </w:r>
      <w:r w:rsidRPr="00082EB3">
        <w:rPr>
          <w:rFonts w:ascii="Times New Roman" w:eastAsia="等线" w:hAnsi="Times New Roman" w:cs="Times New Roman"/>
          <w:i/>
          <w:iCs/>
          <w:sz w:val="24"/>
          <w:szCs w:val="24"/>
        </w:rPr>
        <w:t>S.</w:t>
      </w:r>
      <w:r w:rsidRPr="00082EB3">
        <w:rPr>
          <w:rFonts w:ascii="Times New Roman" w:eastAsia="等线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 w:rsidRPr="00082EB3">
        <w:rPr>
          <w:rFonts w:ascii="Times New Roman" w:eastAsia="等线" w:hAnsi="Times New Roman" w:cs="Times New Roman"/>
          <w:i/>
          <w:iCs/>
          <w:color w:val="000000"/>
          <w:kern w:val="0"/>
          <w:sz w:val="24"/>
          <w:szCs w:val="24"/>
        </w:rPr>
        <w:t>decurrens</w:t>
      </w:r>
      <w:proofErr w:type="spellEnd"/>
      <w:r w:rsidRPr="00082EB3">
        <w:rPr>
          <w:rFonts w:ascii="Times New Roman" w:eastAsia="等线" w:hAnsi="Times New Roman" w:cs="Times New Roman"/>
          <w:i/>
          <w:iCs/>
          <w:sz w:val="24"/>
          <w:szCs w:val="24"/>
        </w:rPr>
        <w:t xml:space="preserve"> and S. </w:t>
      </w:r>
      <w:r w:rsidRPr="00082EB3">
        <w:rPr>
          <w:rFonts w:ascii="Times New Roman" w:eastAsia="等线" w:hAnsi="Times New Roman" w:cs="Times New Roman"/>
          <w:i/>
          <w:iCs/>
          <w:color w:val="000000"/>
          <w:kern w:val="0"/>
          <w:sz w:val="24"/>
          <w:szCs w:val="24"/>
        </w:rPr>
        <w:t>canadensis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 under five P treatments. CK: no P addition;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NaP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: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sodium dihydrogen phosphate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CaP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 xml:space="preserve">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hydroxyapatite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AMP: adenosine monophosphate; PA: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myo-inositol </w:t>
      </w:r>
      <w:proofErr w:type="spellStart"/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hexakisphosphate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. Significant effects are shown in bold (</w:t>
      </w:r>
      <w:r w:rsidRPr="00082EB3">
        <w:rPr>
          <w:rFonts w:ascii="Times New Roman" w:eastAsia="等线" w:hAnsi="Times New Roman" w:cs="Times New Roman"/>
          <w:i/>
          <w:iCs/>
          <w:sz w:val="24"/>
          <w:szCs w:val="24"/>
        </w:rPr>
        <w:t>P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 &lt; 0.05).</w:t>
      </w:r>
    </w:p>
    <w:tbl>
      <w:tblPr>
        <w:tblW w:w="8063" w:type="dxa"/>
        <w:tblLook w:val="04A0" w:firstRow="1" w:lastRow="0" w:firstColumn="1" w:lastColumn="0" w:noHBand="0" w:noVBand="1"/>
      </w:tblPr>
      <w:tblGrid>
        <w:gridCol w:w="2139"/>
        <w:gridCol w:w="3174"/>
        <w:gridCol w:w="352"/>
        <w:gridCol w:w="1199"/>
        <w:gridCol w:w="1199"/>
      </w:tblGrid>
      <w:tr w:rsidR="00082EB3" w:rsidRPr="00082EB3" w:rsidTr="00465F95">
        <w:trPr>
          <w:trHeight w:val="276"/>
        </w:trPr>
        <w:tc>
          <w:tcPr>
            <w:tcW w:w="21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Phosphorous (P)</w:t>
            </w:r>
          </w:p>
        </w:tc>
        <w:tc>
          <w:tcPr>
            <w:tcW w:w="31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Dissimilarity based on Bray-Curtis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PERMANOVA</w:t>
            </w:r>
          </w:p>
        </w:tc>
      </w:tr>
      <w:tr w:rsidR="00082EB3" w:rsidRPr="00082EB3" w:rsidTr="00465F95">
        <w:trPr>
          <w:trHeight w:val="276"/>
        </w:trPr>
        <w:tc>
          <w:tcPr>
            <w:tcW w:w="21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082EB3" w:rsidRPr="00082EB3" w:rsidTr="00465F95">
        <w:trPr>
          <w:trHeight w:val="269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CK 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S. </w:t>
            </w: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decurrens</w:t>
            </w:r>
            <w:proofErr w:type="spellEnd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vs </w:t>
            </w: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S. canadensis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0.98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0.44 </w:t>
            </w:r>
          </w:p>
        </w:tc>
      </w:tr>
      <w:tr w:rsidR="00082EB3" w:rsidRPr="00082EB3" w:rsidTr="00465F95">
        <w:trPr>
          <w:trHeight w:val="269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NaP</w:t>
            </w:r>
            <w:proofErr w:type="spell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S. </w:t>
            </w: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decurrens</w:t>
            </w:r>
            <w:proofErr w:type="spellEnd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vs </w:t>
            </w: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S. canadensis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3.70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 </w:t>
            </w:r>
          </w:p>
        </w:tc>
      </w:tr>
      <w:tr w:rsidR="00082EB3" w:rsidRPr="00082EB3" w:rsidTr="00465F95">
        <w:trPr>
          <w:trHeight w:val="269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CaP</w:t>
            </w:r>
            <w:proofErr w:type="spell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S. </w:t>
            </w: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decurrens</w:t>
            </w:r>
            <w:proofErr w:type="spellEnd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vs </w:t>
            </w: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S. canadensis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2.36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0.01 </w:t>
            </w:r>
          </w:p>
        </w:tc>
      </w:tr>
      <w:tr w:rsidR="00082EB3" w:rsidRPr="00082EB3" w:rsidTr="00465F95">
        <w:trPr>
          <w:trHeight w:val="269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AMP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S. </w:t>
            </w: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decurrens</w:t>
            </w:r>
            <w:proofErr w:type="spellEnd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vs </w:t>
            </w: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S. canadensis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2.40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0.01 </w:t>
            </w:r>
          </w:p>
        </w:tc>
      </w:tr>
      <w:tr w:rsidR="00082EB3" w:rsidRPr="00082EB3" w:rsidTr="00465F95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PA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 xml:space="preserve">S. </w:t>
            </w: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decurrens</w:t>
            </w:r>
            <w:proofErr w:type="spellEnd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vs </w:t>
            </w:r>
            <w:r w:rsidRPr="00082EB3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S. canadensis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3.91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 </w:t>
            </w:r>
          </w:p>
        </w:tc>
      </w:tr>
    </w:tbl>
    <w:p w:rsidR="00082EB3" w:rsidRPr="00082EB3" w:rsidRDefault="00082EB3" w:rsidP="00082EB3">
      <w:pPr>
        <w:rPr>
          <w:rFonts w:ascii="Times New Roman" w:eastAsia="等线" w:hAnsi="Times New Roman" w:cs="Times New Roman"/>
          <w:b/>
          <w:bCs/>
          <w:sz w:val="24"/>
          <w:szCs w:val="24"/>
        </w:rPr>
        <w:sectPr w:rsidR="00082EB3" w:rsidRPr="00082EB3" w:rsidSect="00C81096">
          <w:pgSz w:w="11907" w:h="16840" w:code="9"/>
          <w:pgMar w:top="1140" w:right="1179" w:bottom="1140" w:left="1179" w:header="851" w:footer="992" w:gutter="0"/>
          <w:cols w:space="425"/>
          <w:docGrid w:linePitch="326"/>
        </w:sectPr>
      </w:pPr>
    </w:p>
    <w:p w:rsidR="00082EB3" w:rsidRPr="00082EB3" w:rsidRDefault="00082EB3" w:rsidP="00082EB3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082EB3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lastRenderedPageBreak/>
        <w:t>Table S5</w:t>
      </w:r>
      <w:r w:rsidRPr="00082EB3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One-way analysis of variance (ANOVA) for the relative abundance of AMF at the family level. CK: no P addition;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NaP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: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sodium dihydrogen phosphate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CaP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 xml:space="preserve">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hydroxyapatite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AMP: adenosine monophosphate; PA: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myo-inositol </w:t>
      </w:r>
      <w:proofErr w:type="spellStart"/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hexakisphosphate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.</w:t>
      </w:r>
    </w:p>
    <w:tbl>
      <w:tblPr>
        <w:tblW w:w="14754" w:type="dxa"/>
        <w:tblLook w:val="04A0" w:firstRow="1" w:lastRow="0" w:firstColumn="1" w:lastColumn="0" w:noHBand="0" w:noVBand="1"/>
      </w:tblPr>
      <w:tblGrid>
        <w:gridCol w:w="2135"/>
        <w:gridCol w:w="1242"/>
        <w:gridCol w:w="1242"/>
        <w:gridCol w:w="1242"/>
        <w:gridCol w:w="1242"/>
        <w:gridCol w:w="1247"/>
        <w:gridCol w:w="287"/>
        <w:gridCol w:w="1242"/>
        <w:gridCol w:w="1242"/>
        <w:gridCol w:w="1242"/>
        <w:gridCol w:w="1244"/>
        <w:gridCol w:w="1147"/>
      </w:tblGrid>
      <w:tr w:rsidR="00082EB3" w:rsidRPr="00082EB3" w:rsidTr="00465F95">
        <w:trPr>
          <w:trHeight w:val="266"/>
        </w:trPr>
        <w:tc>
          <w:tcPr>
            <w:tcW w:w="2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AMF family</w:t>
            </w: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S. </w:t>
            </w: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decurrens</w:t>
            </w:r>
            <w:proofErr w:type="spellEnd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1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S. canadensis</w:t>
            </w:r>
          </w:p>
        </w:tc>
      </w:tr>
      <w:tr w:rsidR="00082EB3" w:rsidRPr="00082EB3" w:rsidTr="00465F95">
        <w:trPr>
          <w:trHeight w:val="266"/>
        </w:trPr>
        <w:tc>
          <w:tcPr>
            <w:tcW w:w="213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NaP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NaP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AMP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</w:t>
            </w:r>
          </w:p>
        </w:tc>
      </w:tr>
      <w:tr w:rsidR="00082EB3" w:rsidRPr="00082EB3" w:rsidTr="00465F95">
        <w:trPr>
          <w:trHeight w:val="17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Glomeraceae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53.3± 6.5abc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36.8 ± 10.0bc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58.2 ± 8.9ab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36.5± 7.8c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41.2 ± 7.6bc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40.0 ± 6.5bc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36.5 ± 8.3c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47.9 ± 8.2abc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64.8 ± 6.8a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40.9 ± 2.5bc</w:t>
            </w:r>
          </w:p>
        </w:tc>
      </w:tr>
      <w:tr w:rsidR="00082EB3" w:rsidRPr="00082EB3" w:rsidTr="00465F95">
        <w:trPr>
          <w:trHeight w:val="17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Claroideoglomeraceae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22.5 ± 4.3cd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44.0 ± 9.0a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10.7 ± 2.7d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48.2 ± 6.8a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39.2 ± 4.6ab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22.6 ± 4.1cd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26.3 ± 3.6bc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15.6 ± 3.6cd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25.1 ± 4.7c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28.9 ± 2.1bc</w:t>
            </w:r>
          </w:p>
        </w:tc>
      </w:tr>
      <w:tr w:rsidR="00082EB3" w:rsidRPr="00082EB3" w:rsidTr="00465F95">
        <w:trPr>
          <w:trHeight w:val="170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Diversisporaceae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19.1 ± 4.3a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18.4 ± 8.6ab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26.5 ± 8.4a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13.6 ± 3.1ab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17.6 ± 3.4a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15.0 ± 3.5ab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12.4 ± 3.3ab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7.2 ± 2.4b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 ± 2.4b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12.9 ± 2.7ab</w:t>
            </w:r>
          </w:p>
        </w:tc>
      </w:tr>
      <w:tr w:rsidR="00082EB3" w:rsidRPr="00082EB3" w:rsidTr="00465F95">
        <w:trPr>
          <w:trHeight w:val="170"/>
        </w:trPr>
        <w:tc>
          <w:tcPr>
            <w:tcW w:w="21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Acaulosporaceae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5.0 ± 1.1b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 ± 0.3d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4.4 ± 1.5bc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 ± 0.3cd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 ± 0.9d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21.8 ± 4.8a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24.5 ± 4.4a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29.1 ± 7.2a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2.9 ± 0.7bcd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17.2 ± 2.4a</w:t>
            </w:r>
          </w:p>
        </w:tc>
      </w:tr>
      <w:tr w:rsidR="00082EB3" w:rsidRPr="00082EB3" w:rsidTr="00465F95">
        <w:trPr>
          <w:trHeight w:val="170"/>
        </w:trPr>
        <w:tc>
          <w:tcPr>
            <w:tcW w:w="21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Gigasporaceae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 ± 0.05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 ± 0.1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 ± 0.05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 ± 0.4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 ± 0.6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 ± 0.3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 ± 0.1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 ± 0.08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 ± 0.1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 ± 0.02</w:t>
            </w:r>
          </w:p>
        </w:tc>
      </w:tr>
      <w:tr w:rsidR="00082EB3" w:rsidRPr="00082EB3" w:rsidTr="00465F95">
        <w:trPr>
          <w:trHeight w:val="170"/>
        </w:trPr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Paraglomeraceae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 ± 0.07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 ± 0.03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 ± 0.05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 ± 0.03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 ± 0.01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 ± 0.03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 ± 0.1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0.01±0.01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 ± 0.03</w:t>
            </w:r>
          </w:p>
        </w:tc>
      </w:tr>
    </w:tbl>
    <w:p w:rsidR="00082EB3" w:rsidRPr="00082EB3" w:rsidRDefault="00082EB3" w:rsidP="00082EB3">
      <w:pPr>
        <w:rPr>
          <w:rFonts w:ascii="Times New Roman" w:eastAsia="等线" w:hAnsi="Times New Roman" w:cs="Times New Roman"/>
          <w:szCs w:val="21"/>
        </w:rPr>
        <w:sectPr w:rsidR="00082EB3" w:rsidRPr="00082EB3" w:rsidSect="00C81096">
          <w:pgSz w:w="16838" w:h="11906" w:orient="landscape" w:code="9"/>
          <w:pgMar w:top="1140" w:right="1179" w:bottom="1140" w:left="1179" w:header="851" w:footer="992" w:gutter="0"/>
          <w:cols w:space="425"/>
          <w:docGrid w:linePitch="326"/>
        </w:sectPr>
      </w:pPr>
      <w:r w:rsidRPr="00082EB3">
        <w:rPr>
          <w:rFonts w:ascii="Times New Roman" w:eastAsia="等线" w:hAnsi="Times New Roman" w:cs="Times New Roman"/>
          <w:szCs w:val="21"/>
        </w:rPr>
        <w:t xml:space="preserve">Values are means </w:t>
      </w:r>
      <w:r w:rsidRPr="00082EB3">
        <w:rPr>
          <w:rFonts w:ascii="Times New Roman" w:eastAsia="等线" w:hAnsi="Times New Roman" w:cs="Times New Roman"/>
          <w:kern w:val="0"/>
          <w:sz w:val="18"/>
          <w:szCs w:val="18"/>
        </w:rPr>
        <w:t>±</w:t>
      </w:r>
      <w:r w:rsidRPr="00082EB3">
        <w:rPr>
          <w:rFonts w:ascii="Times New Roman" w:eastAsia="等线" w:hAnsi="Times New Roman" w:cs="Times New Roman"/>
          <w:szCs w:val="21"/>
        </w:rPr>
        <w:t xml:space="preserve"> SE (n = 8). Different letters in the same row indicate a significant difference at </w:t>
      </w:r>
      <w:r w:rsidRPr="00082EB3">
        <w:rPr>
          <w:rFonts w:ascii="Times New Roman" w:eastAsia="等线" w:hAnsi="Times New Roman" w:cs="Times New Roman"/>
          <w:i/>
          <w:iCs/>
          <w:szCs w:val="21"/>
        </w:rPr>
        <w:t>P</w:t>
      </w:r>
      <w:r w:rsidRPr="00082EB3">
        <w:rPr>
          <w:rFonts w:ascii="Times New Roman" w:eastAsia="等线" w:hAnsi="Times New Roman" w:cs="Times New Roman"/>
          <w:szCs w:val="21"/>
        </w:rPr>
        <w:t xml:space="preserve"> &lt; 0.05.</w:t>
      </w:r>
    </w:p>
    <w:p w:rsidR="00082EB3" w:rsidRPr="00082EB3" w:rsidRDefault="00082EB3" w:rsidP="00082EB3">
      <w:pPr>
        <w:spacing w:before="240" w:line="360" w:lineRule="auto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082EB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eastAsia="en-US"/>
        </w:rPr>
        <w:lastRenderedPageBreak/>
        <w:t xml:space="preserve">Table </w:t>
      </w:r>
      <w:r w:rsidRPr="00082EB3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t>S6</w:t>
      </w:r>
      <w:r w:rsidRPr="00082EB3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eastAsia="en-US"/>
        </w:rPr>
        <w:t xml:space="preserve"> 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P</w:t>
      </w:r>
      <w:r w:rsidRPr="00082EB3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earson</w:t>
      </w:r>
      <w:r w:rsidRPr="00082EB3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correlations between the relative abundance of AMF at the family level and </w:t>
      </w:r>
      <w:r w:rsidRPr="00082EB3">
        <w:rPr>
          <w:rFonts w:ascii="Times New Roman" w:eastAsia="宋体" w:hAnsi="Times New Roman" w:cs="Times New Roman" w:hint="eastAsia"/>
          <w:kern w:val="0"/>
          <w:sz w:val="24"/>
          <w:szCs w:val="24"/>
        </w:rPr>
        <w:t>plant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growth, growth advantage of </w:t>
      </w:r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 xml:space="preserve">S. canadensis 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over </w:t>
      </w:r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 xml:space="preserve">S. </w:t>
      </w:r>
      <w:proofErr w:type="spellStart"/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>decurrens</w:t>
      </w:r>
      <w:proofErr w:type="spellEnd"/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 xml:space="preserve">. </w:t>
      </w:r>
      <w:bookmarkStart w:id="2" w:name="OLE_LINK3"/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Significant correlations are shown in bold (</w:t>
      </w:r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>P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&lt; 0.05).</w:t>
      </w:r>
      <w:bookmarkEnd w:id="2"/>
    </w:p>
    <w:tbl>
      <w:tblPr>
        <w:tblW w:w="8799" w:type="dxa"/>
        <w:tblLook w:val="04A0" w:firstRow="1" w:lastRow="0" w:firstColumn="1" w:lastColumn="0" w:noHBand="0" w:noVBand="1"/>
      </w:tblPr>
      <w:tblGrid>
        <w:gridCol w:w="2698"/>
        <w:gridCol w:w="1393"/>
        <w:gridCol w:w="1222"/>
        <w:gridCol w:w="871"/>
        <w:gridCol w:w="1121"/>
        <w:gridCol w:w="1494"/>
      </w:tblGrid>
      <w:tr w:rsidR="00082EB3" w:rsidRPr="00082EB3" w:rsidTr="00465F95">
        <w:trPr>
          <w:trHeight w:val="263"/>
        </w:trPr>
        <w:tc>
          <w:tcPr>
            <w:tcW w:w="26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Relative abundance (%)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Total biomass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Growth advantage</w:t>
            </w:r>
          </w:p>
        </w:tc>
      </w:tr>
      <w:tr w:rsidR="00082EB3" w:rsidRPr="00082EB3" w:rsidTr="00465F95">
        <w:trPr>
          <w:trHeight w:val="263"/>
        </w:trPr>
        <w:tc>
          <w:tcPr>
            <w:tcW w:w="26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082EB3" w:rsidRPr="00082EB3" w:rsidTr="00465F95">
        <w:trPr>
          <w:trHeight w:val="256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Glomeraceae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082EB3" w:rsidRPr="00082EB3" w:rsidTr="00465F95">
        <w:trPr>
          <w:trHeight w:val="256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Claroideoglomeraceae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-0.008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</w:t>
            </w:r>
          </w:p>
        </w:tc>
      </w:tr>
      <w:tr w:rsidR="00082EB3" w:rsidRPr="00082EB3" w:rsidTr="00465F95">
        <w:trPr>
          <w:trHeight w:val="256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Diversisporaceae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-0.34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-0.49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082EB3" w:rsidRPr="00082EB3" w:rsidTr="00465F95">
        <w:trPr>
          <w:trHeight w:val="256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Acaulosporaceae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-0.34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0.03</w:t>
            </w:r>
          </w:p>
        </w:tc>
      </w:tr>
      <w:tr w:rsidR="00082EB3" w:rsidRPr="00082EB3" w:rsidTr="00465F95">
        <w:trPr>
          <w:trHeight w:val="256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Gigasporaceae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</w:tr>
      <w:tr w:rsidR="00082EB3" w:rsidRPr="00082EB3" w:rsidTr="00465F95">
        <w:trPr>
          <w:trHeight w:val="263"/>
        </w:trPr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Paraglomeraceae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</w:tr>
    </w:tbl>
    <w:p w:rsidR="00082EB3" w:rsidRPr="00082EB3" w:rsidRDefault="00082EB3" w:rsidP="00082EB3">
      <w:pPr>
        <w:spacing w:before="240"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  <w:sectPr w:rsidR="00082EB3" w:rsidRPr="00082EB3" w:rsidSect="00C81096">
          <w:headerReference w:type="first" r:id="rId6"/>
          <w:pgSz w:w="11907" w:h="16840" w:code="9"/>
          <w:pgMar w:top="1140" w:right="1179" w:bottom="1140" w:left="1179" w:header="850" w:footer="992" w:gutter="0"/>
          <w:cols w:space="720"/>
          <w:docGrid w:linePitch="360"/>
        </w:sectPr>
      </w:pPr>
    </w:p>
    <w:p w:rsidR="00082EB3" w:rsidRPr="00082EB3" w:rsidRDefault="00082EB3" w:rsidP="00082EB3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082EB3">
        <w:rPr>
          <w:rFonts w:ascii="Times New Roman" w:eastAsia="等线" w:hAnsi="Times New Roman" w:cs="Times New Roman"/>
          <w:b/>
          <w:bCs/>
          <w:color w:val="000000"/>
          <w:sz w:val="24"/>
          <w:szCs w:val="24"/>
        </w:rPr>
        <w:lastRenderedPageBreak/>
        <w:t>Table S7</w:t>
      </w:r>
      <w:r w:rsidRPr="00082EB3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AM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F community composition of the keystone species of two </w:t>
      </w:r>
      <w:r w:rsidRPr="00082EB3">
        <w:rPr>
          <w:rFonts w:ascii="Times New Roman" w:eastAsia="等线" w:hAnsi="Times New Roman" w:cs="Times New Roman"/>
          <w:i/>
          <w:iCs/>
          <w:sz w:val="24"/>
          <w:szCs w:val="24"/>
        </w:rPr>
        <w:t>Solidago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 species under five P treatments. CK: no P addition;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NaP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: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sodium dihydrogen phosphate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CaP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 xml:space="preserve">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hydroxyapatite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AMP: adenosine monophosphate; PA: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myo-inositol </w:t>
      </w:r>
      <w:proofErr w:type="spellStart"/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hexakisphosphate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.</w:t>
      </w:r>
    </w:p>
    <w:tbl>
      <w:tblPr>
        <w:tblW w:w="9824" w:type="dxa"/>
        <w:tblLook w:val="04A0" w:firstRow="1" w:lastRow="0" w:firstColumn="1" w:lastColumn="0" w:noHBand="0" w:noVBand="1"/>
      </w:tblPr>
      <w:tblGrid>
        <w:gridCol w:w="1965"/>
        <w:gridCol w:w="1267"/>
        <w:gridCol w:w="1931"/>
        <w:gridCol w:w="2846"/>
        <w:gridCol w:w="1815"/>
      </w:tblGrid>
      <w:tr w:rsidR="00082EB3" w:rsidRPr="00082EB3" w:rsidTr="00465F95">
        <w:trPr>
          <w:trHeight w:val="113"/>
        </w:trPr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Treatment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ASVID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Category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Family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S. </w:t>
            </w: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decurrens</w:t>
            </w:r>
            <w:proofErr w:type="spellEnd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ASV31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ASV405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ASV616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ASV90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NaP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ASV122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Diversisporaceae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Diversispora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ASV151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Claroideoglomeraceae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Claroideoglomus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ASV721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CaP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ASV202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Claroideoglomeraceae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Claroideoglomus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AMP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ASV126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ASV181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ASV390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Claroideoglomeraceae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Claroideoglomus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ASV392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ASV368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Module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Acaulosporaceae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Acaulospora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ASV109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ASV122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Diversisporaceae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Diversispora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ASV126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ASV141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Diversisporaceae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Diversispora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ASV201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Diversisporaceae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Diversispora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ASV238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Claroideoglomeraceae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Claroideoglomus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ASV307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ASV276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Module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Claroideoglomeraceae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Claroideoglomus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S. canadensis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CK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Module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NaP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ASV126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ASV1538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ASV1668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ASV473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ASV63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Claroideoglomeraceae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Claroideoglomus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ASV830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ASV95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CaP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ASV109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ASV163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Diversisporaceae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Diversispora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ASV570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ASV608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ASV63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Claroideoglomeraceae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Claroideoglomus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ASV66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Diversisporaceae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Diversispora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ASV72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Diversisporaceae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Diversispora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AMP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ASV181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ASV240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ASV354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ASV560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ASV574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ASV63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Claroideoglomeraceae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Claroideoglomus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ASV773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Module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Claroideoglomeraceae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Claroideoglomus</w:t>
            </w:r>
            <w:proofErr w:type="spellEnd"/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ASV597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Module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ASV160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ASV28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ASV354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ASV560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ASV609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ASV704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Connector hubs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Glomeraceae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Glomus</w:t>
            </w:r>
          </w:p>
        </w:tc>
      </w:tr>
      <w:tr w:rsidR="00082EB3" w:rsidRPr="00082EB3" w:rsidTr="00465F95">
        <w:trPr>
          <w:trHeight w:val="156"/>
        </w:trPr>
        <w:tc>
          <w:tcPr>
            <w:tcW w:w="19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ASV872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Module hubs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Diversisporaceae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EB3" w:rsidRPr="00082EB3" w:rsidRDefault="00082EB3" w:rsidP="00082EB3">
            <w:pPr>
              <w:widowControl/>
              <w:spacing w:line="2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082EB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Diversispora</w:t>
            </w:r>
            <w:proofErr w:type="spellEnd"/>
          </w:p>
        </w:tc>
      </w:tr>
    </w:tbl>
    <w:p w:rsidR="00082EB3" w:rsidRPr="00082EB3" w:rsidRDefault="00082EB3" w:rsidP="00082EB3">
      <w:pPr>
        <w:widowControl/>
        <w:spacing w:before="12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sectPr w:rsidR="00082EB3" w:rsidRPr="00082EB3" w:rsidSect="00C81096">
          <w:pgSz w:w="11907" w:h="16840" w:code="9"/>
          <w:pgMar w:top="1140" w:right="1179" w:bottom="1140" w:left="1179" w:header="850" w:footer="992" w:gutter="0"/>
          <w:cols w:space="720"/>
          <w:docGrid w:linePitch="360"/>
        </w:sectPr>
      </w:pPr>
    </w:p>
    <w:p w:rsidR="007E2EC5" w:rsidRPr="00082EB3" w:rsidRDefault="00082EB3" w:rsidP="00082EB3">
      <w:pPr>
        <w:widowControl/>
        <w:spacing w:before="120" w:line="360" w:lineRule="auto"/>
        <w:jc w:val="left"/>
        <w:rPr>
          <w:rFonts w:ascii="Times New Roman" w:eastAsia="宋体" w:hAnsi="Times New Roman" w:cs="Times New Roman"/>
          <w:kern w:val="0"/>
          <w:sz w:val="24"/>
          <w:lang w:eastAsia="en-US"/>
        </w:rPr>
      </w:pPr>
      <w:bookmarkStart w:id="3" w:name="_Hlk126599148"/>
      <w:bookmarkEnd w:id="1"/>
      <w:r w:rsidRPr="00082EB3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lang w:eastAsia="en-US"/>
        </w:rPr>
        <w:lastRenderedPageBreak/>
        <w:t>Figure</w:t>
      </w:r>
      <w:r w:rsidRPr="00082EB3">
        <w:rPr>
          <w:rFonts w:ascii="Times New Roman" w:eastAsia="宋体" w:hAnsi="Times New Roman" w:cs="Times New Roman"/>
          <w:b/>
          <w:bCs/>
          <w:kern w:val="0"/>
          <w:sz w:val="24"/>
          <w:szCs w:val="24"/>
          <w:lang w:eastAsia="en-US"/>
        </w:rPr>
        <w:t xml:space="preserve"> S1 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Within-module (</w:t>
      </w:r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>Zi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) and among-module (</w:t>
      </w:r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>Pi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) connectivity plots showing the distribution of AMF based on their topological roles of </w:t>
      </w:r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 xml:space="preserve">S. </w:t>
      </w:r>
      <w:proofErr w:type="spellStart"/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>decurrens</w:t>
      </w:r>
      <w:proofErr w:type="spellEnd"/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 xml:space="preserve"> </w:t>
      </w:r>
      <w:r w:rsidRPr="00082EB3">
        <w:rPr>
          <w:rFonts w:ascii="Times New Roman" w:eastAsia="宋体" w:hAnsi="Times New Roman" w:cs="Times New Roman" w:hint="eastAsia"/>
          <w:kern w:val="0"/>
          <w:sz w:val="24"/>
          <w:szCs w:val="24"/>
        </w:rPr>
        <w:t>under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</w:rPr>
        <w:t xml:space="preserve"> (A) 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CK, (B) </w:t>
      </w:r>
      <w:proofErr w:type="spellStart"/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NaP</w:t>
      </w:r>
      <w:proofErr w:type="spellEnd"/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(C) </w:t>
      </w:r>
      <w:proofErr w:type="spellStart"/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CaP</w:t>
      </w:r>
      <w:proofErr w:type="spellEnd"/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(D) AMP, and (E) PA, and of </w:t>
      </w:r>
      <w:r w:rsidRPr="00082EB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eastAsia="en-US"/>
        </w:rPr>
        <w:t>S. canadensis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under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</w:rPr>
        <w:t xml:space="preserve"> (F) </w:t>
      </w:r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CK, (G) </w:t>
      </w:r>
      <w:proofErr w:type="spellStart"/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NaP</w:t>
      </w:r>
      <w:proofErr w:type="spellEnd"/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, (H) </w:t>
      </w:r>
      <w:proofErr w:type="spellStart"/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CaP</w:t>
      </w:r>
      <w:proofErr w:type="spellEnd"/>
      <w:r w:rsidRPr="00082EB3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, (I) AMP, and (J) PA.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 CK: no P addition;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NaP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: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sodium dihydrogen phosphate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</w:t>
      </w:r>
      <w:proofErr w:type="spellStart"/>
      <w:r w:rsidRPr="00082EB3">
        <w:rPr>
          <w:rFonts w:ascii="Times New Roman" w:eastAsia="等线" w:hAnsi="Times New Roman" w:cs="Times New Roman"/>
          <w:sz w:val="24"/>
          <w:szCs w:val="24"/>
        </w:rPr>
        <w:t>CaP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 xml:space="preserve">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hydroxyapatite</w:t>
      </w:r>
      <w:r w:rsidRPr="00082EB3">
        <w:rPr>
          <w:rFonts w:ascii="Times New Roman" w:eastAsia="等线" w:hAnsi="Times New Roman" w:cs="Times New Roman"/>
          <w:sz w:val="24"/>
          <w:szCs w:val="24"/>
        </w:rPr>
        <w:t xml:space="preserve">; AMP: adenosine monophosphate; PA: </w:t>
      </w:r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myo-inositol </w:t>
      </w:r>
      <w:proofErr w:type="spellStart"/>
      <w:r w:rsidRPr="00082EB3">
        <w:rPr>
          <w:rFonts w:ascii="Times New Roman" w:eastAsia="宋体" w:hAnsi="Times New Roman" w:cs="Times New Roman"/>
          <w:kern w:val="0"/>
          <w:sz w:val="24"/>
          <w:lang w:eastAsia="en-US"/>
        </w:rPr>
        <w:t>hexakisphosphate</w:t>
      </w:r>
      <w:proofErr w:type="spellEnd"/>
      <w:r w:rsidRPr="00082EB3">
        <w:rPr>
          <w:rFonts w:ascii="Times New Roman" w:eastAsia="等线" w:hAnsi="Times New Roman" w:cs="Times New Roman"/>
          <w:sz w:val="24"/>
          <w:szCs w:val="24"/>
        </w:rPr>
        <w:t>.</w:t>
      </w:r>
      <w:r w:rsidRPr="00082EB3">
        <w:rPr>
          <w:rFonts w:ascii="Times New Roman" w:eastAsia="宋体" w:hAnsi="Times New Roman" w:cs="Times New Roman"/>
          <w:noProof/>
          <w:kern w:val="0"/>
          <w:sz w:val="24"/>
          <w:lang w:eastAsia="en-US"/>
        </w:rPr>
        <w:drawing>
          <wp:inline distT="0" distB="0" distL="0" distR="0" wp14:anchorId="212E1A08" wp14:editId="00A97648">
            <wp:extent cx="6208395" cy="3428365"/>
            <wp:effectExtent l="0" t="0" r="190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7E2EC5" w:rsidRPr="00082EB3" w:rsidSect="00C81096">
      <w:pgSz w:w="11907" w:h="16840" w:code="9"/>
      <w:pgMar w:top="1140" w:right="1179" w:bottom="1140" w:left="1179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F31" w:rsidRDefault="00C23F31">
      <w:r>
        <w:separator/>
      </w:r>
    </w:p>
  </w:endnote>
  <w:endnote w:type="continuationSeparator" w:id="0">
    <w:p w:rsidR="00C23F31" w:rsidRDefault="00C2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F31" w:rsidRDefault="00C23F31">
      <w:r>
        <w:separator/>
      </w:r>
    </w:p>
  </w:footnote>
  <w:footnote w:type="continuationSeparator" w:id="0">
    <w:p w:rsidR="00C23F31" w:rsidRDefault="00C2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1CE7" w:rsidRDefault="00000000" w:rsidP="00A53000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B3"/>
    <w:rsid w:val="00082EB3"/>
    <w:rsid w:val="007751BE"/>
    <w:rsid w:val="007E2EC5"/>
    <w:rsid w:val="00C23F31"/>
    <w:rsid w:val="00C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EE5CC-923E-4F25-839D-E4F5DF6F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E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82EB3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082EB3"/>
    <w:rPr>
      <w:rFonts w:ascii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8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08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 陈</dc:creator>
  <cp:keywords/>
  <dc:description/>
  <cp:lastModifiedBy>丽 陈</cp:lastModifiedBy>
  <cp:revision>2</cp:revision>
  <dcterms:created xsi:type="dcterms:W3CDTF">2023-02-06T11:20:00Z</dcterms:created>
  <dcterms:modified xsi:type="dcterms:W3CDTF">2023-04-02T09:13:00Z</dcterms:modified>
</cp:coreProperties>
</file>