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AEEC8F" w14:textId="77777777" w:rsidR="008E552C" w:rsidRDefault="00DF303B">
      <w:pPr>
        <w:pStyle w:val="SupplementaryMaterial"/>
      </w:pPr>
      <w:r>
        <w:t>Supplementary Material</w:t>
      </w:r>
    </w:p>
    <w:p w14:paraId="4FB5E48B" w14:textId="77777777" w:rsidR="008E552C" w:rsidRDefault="00DF303B">
      <w:pPr>
        <w:pStyle w:val="AuthorList"/>
      </w:pPr>
      <w:r>
        <w:t xml:space="preserve">Novel loss of function mutation in </w:t>
      </w:r>
      <w:r>
        <w:rPr>
          <w:i/>
          <w:iCs/>
        </w:rPr>
        <w:t>TUBA1A</w:t>
      </w:r>
      <w:r>
        <w:t xml:space="preserve"> gene compromises tubulin stability and </w:t>
      </w:r>
      <w:proofErr w:type="spellStart"/>
      <w:r>
        <w:t>proteostasis</w:t>
      </w:r>
      <w:proofErr w:type="spellEnd"/>
      <w:r>
        <w:t xml:space="preserve"> causing spastic </w:t>
      </w:r>
      <w:r>
        <w:t>paraplegia</w:t>
      </w:r>
      <w:r>
        <w:t xml:space="preserve"> and ataxia</w:t>
      </w:r>
    </w:p>
    <w:p w14:paraId="100D83FD" w14:textId="77777777" w:rsidR="008E552C" w:rsidRDefault="00DF303B">
      <w:pPr>
        <w:pStyle w:val="AuthorList"/>
        <w:rPr>
          <w:lang w:val="it-IT"/>
        </w:rPr>
      </w:pPr>
      <w:r>
        <w:rPr>
          <w:lang w:val="it-IT"/>
        </w:rPr>
        <w:t>Riccardo Zocchi</w:t>
      </w:r>
      <w:r>
        <w:rPr>
          <w:vertAlign w:val="superscript"/>
          <w:lang w:val="it-IT"/>
        </w:rPr>
        <w:t>1</w:t>
      </w:r>
      <w:r>
        <w:rPr>
          <w:lang w:val="it-IT"/>
        </w:rPr>
        <w:t>, Emanuele Bellacchio</w:t>
      </w:r>
      <w:r>
        <w:rPr>
          <w:vertAlign w:val="superscript"/>
          <w:lang w:val="it-IT"/>
        </w:rPr>
        <w:t>2</w:t>
      </w:r>
      <w:r>
        <w:rPr>
          <w:lang w:val="it-IT"/>
        </w:rPr>
        <w:t>, Michela Piccione</w:t>
      </w:r>
      <w:r>
        <w:rPr>
          <w:vertAlign w:val="superscript"/>
          <w:lang w:val="it-IT"/>
        </w:rPr>
        <w:t>3</w:t>
      </w:r>
      <w:r>
        <w:rPr>
          <w:lang w:val="it-IT"/>
        </w:rPr>
        <w:t>, Raffaella Scardigli</w:t>
      </w:r>
      <w:r>
        <w:rPr>
          <w:vertAlign w:val="superscript"/>
          <w:lang w:val="it-IT"/>
        </w:rPr>
        <w:t>4,5</w:t>
      </w:r>
      <w:r>
        <w:rPr>
          <w:lang w:val="it-IT"/>
        </w:rPr>
        <w:t xml:space="preserve">, </w:t>
      </w:r>
      <w:r>
        <w:rPr>
          <w:lang w:val="it-IT"/>
        </w:rPr>
        <w:t>Valentina D’Oria</w:t>
      </w:r>
      <w:r>
        <w:rPr>
          <w:vertAlign w:val="superscript"/>
          <w:lang w:val="it-IT"/>
        </w:rPr>
        <w:t>3</w:t>
      </w:r>
      <w:r>
        <w:rPr>
          <w:lang w:val="it-IT"/>
        </w:rPr>
        <w:t>, Stefania Petrini</w:t>
      </w:r>
      <w:r>
        <w:rPr>
          <w:vertAlign w:val="superscript"/>
          <w:lang w:val="it-IT"/>
        </w:rPr>
        <w:t>3</w:t>
      </w:r>
      <w:r>
        <w:rPr>
          <w:lang w:val="it-IT"/>
        </w:rPr>
        <w:t>, Kristin Baranano</w:t>
      </w:r>
      <w:r>
        <w:rPr>
          <w:vertAlign w:val="superscript"/>
          <w:lang w:val="it-IT"/>
        </w:rPr>
        <w:t>6</w:t>
      </w:r>
      <w:r>
        <w:rPr>
          <w:lang w:val="it-IT"/>
        </w:rPr>
        <w:t>, Enrico Bertini</w:t>
      </w:r>
      <w:r>
        <w:rPr>
          <w:vertAlign w:val="superscript"/>
          <w:lang w:val="it-IT"/>
        </w:rPr>
        <w:t>1</w:t>
      </w:r>
      <w:r>
        <w:rPr>
          <w:lang w:val="it-IT"/>
        </w:rPr>
        <w:t>, Antonella Sferra</w:t>
      </w:r>
      <w:r>
        <w:rPr>
          <w:vertAlign w:val="superscript"/>
          <w:lang w:val="it-IT"/>
        </w:rPr>
        <w:t>1</w:t>
      </w:r>
      <w:r>
        <w:rPr>
          <w:lang w:val="it-IT"/>
        </w:rPr>
        <w:t>*</w:t>
      </w:r>
    </w:p>
    <w:p w14:paraId="718D2C11" w14:textId="77777777" w:rsidR="008E552C" w:rsidRDefault="00DF303B">
      <w:pPr>
        <w:spacing w:before="240" w:after="0"/>
        <w:rPr>
          <w:rFonts w:cs="Times New Roman"/>
          <w:szCs w:val="24"/>
          <w:lang w:val="it-IT" w:eastAsia="zh-CN"/>
        </w:rPr>
      </w:pPr>
      <w:r>
        <w:rPr>
          <w:rFonts w:cs="Times New Roman"/>
          <w:b/>
          <w:lang w:val="it-IT"/>
        </w:rPr>
        <w:t xml:space="preserve">* Correspondence: </w:t>
      </w:r>
      <w:r>
        <w:rPr>
          <w:rFonts w:cs="Times New Roman"/>
          <w:szCs w:val="24"/>
          <w:lang w:val="it-IT"/>
        </w:rPr>
        <w:t>Antonella Sferra</w:t>
      </w:r>
      <w:r>
        <w:rPr>
          <w:rFonts w:cs="Times New Roman"/>
          <w:lang w:val="it-IT"/>
        </w:rPr>
        <w:t xml:space="preserve">: </w:t>
      </w:r>
      <w:hyperlink r:id="rId9" w:history="1">
        <w:r>
          <w:rPr>
            <w:rFonts w:cs="Times New Roman"/>
            <w:szCs w:val="24"/>
            <w:lang w:val="it-IT" w:eastAsia="zh-CN"/>
          </w:rPr>
          <w:t>antonella.sferra@opbg.net</w:t>
        </w:r>
      </w:hyperlink>
    </w:p>
    <w:p w14:paraId="4FE079FE" w14:textId="77777777" w:rsidR="008E552C" w:rsidRDefault="008E552C">
      <w:pPr>
        <w:pStyle w:val="Title"/>
        <w:jc w:val="both"/>
        <w:rPr>
          <w:lang w:val="it-IT"/>
        </w:rPr>
      </w:pPr>
    </w:p>
    <w:p w14:paraId="71B4DBD0" w14:textId="77777777" w:rsidR="008E552C" w:rsidRDefault="00DF303B">
      <w:pPr>
        <w:pStyle w:val="Heading2"/>
        <w:numPr>
          <w:ilvl w:val="1"/>
          <w:numId w:val="0"/>
        </w:numPr>
      </w:pPr>
      <w:r>
        <w:t>Supplementary Figures</w:t>
      </w:r>
    </w:p>
    <w:p w14:paraId="4261B2E6" w14:textId="77777777" w:rsidR="008E552C" w:rsidRDefault="00DF303B">
      <w:pPr>
        <w:jc w:val="center"/>
        <w:rPr>
          <w:lang w:val="it-IT"/>
        </w:rPr>
      </w:pPr>
      <w:r>
        <w:rPr>
          <w:noProof/>
          <w:lang w:val="it-IT"/>
        </w:rPr>
        <w:lastRenderedPageBreak/>
        <w:drawing>
          <wp:inline distT="0" distB="0" distL="114300" distR="114300" wp14:anchorId="23AD7F76" wp14:editId="51FF8B1D">
            <wp:extent cx="5328285" cy="6062345"/>
            <wp:effectExtent l="0" t="0" r="5715" b="14605"/>
            <wp:docPr id="4" name="Picture 4" descr="Supplementary 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upplementary Figure 1"/>
                    <pic:cNvPicPr>
                      <a:picLocks noChangeAspect="1"/>
                    </pic:cNvPicPr>
                  </pic:nvPicPr>
                  <pic:blipFill>
                    <a:blip r:embed="rId10"/>
                    <a:stretch>
                      <a:fillRect/>
                    </a:stretch>
                  </pic:blipFill>
                  <pic:spPr>
                    <a:xfrm>
                      <a:off x="0" y="0"/>
                      <a:ext cx="5328285" cy="6062345"/>
                    </a:xfrm>
                    <a:prstGeom prst="rect">
                      <a:avLst/>
                    </a:prstGeom>
                  </pic:spPr>
                </pic:pic>
              </a:graphicData>
            </a:graphic>
          </wp:inline>
        </w:drawing>
      </w:r>
    </w:p>
    <w:p w14:paraId="3918F09B" w14:textId="77777777" w:rsidR="008E552C" w:rsidRDefault="00DF303B">
      <w:pPr>
        <w:jc w:val="both"/>
      </w:pPr>
      <w:proofErr w:type="spellStart"/>
      <w:r>
        <w:rPr>
          <w:rFonts w:cs="Times New Roman"/>
          <w:b/>
          <w:bCs/>
          <w:szCs w:val="24"/>
        </w:rPr>
        <w:t>Supplemetary</w:t>
      </w:r>
      <w:proofErr w:type="spellEnd"/>
      <w:r>
        <w:rPr>
          <w:rFonts w:cs="Times New Roman"/>
          <w:b/>
          <w:bCs/>
          <w:szCs w:val="24"/>
        </w:rPr>
        <w:t xml:space="preserve"> </w:t>
      </w:r>
      <w:r>
        <w:rPr>
          <w:rFonts w:cs="Times New Roman"/>
          <w:b/>
          <w:bCs/>
          <w:szCs w:val="24"/>
        </w:rPr>
        <w:t xml:space="preserve">Figure </w:t>
      </w:r>
      <w:r>
        <w:rPr>
          <w:rFonts w:cs="Times New Roman"/>
          <w:b/>
          <w:bCs/>
          <w:szCs w:val="24"/>
          <w:lang w:val="it-IT"/>
        </w:rPr>
        <w:t>1</w:t>
      </w:r>
      <w:r>
        <w:rPr>
          <w:rFonts w:cs="Times New Roman"/>
          <w:b/>
          <w:bCs/>
          <w:szCs w:val="24"/>
        </w:rPr>
        <w:t xml:space="preserve">. </w:t>
      </w:r>
      <w:r>
        <w:t xml:space="preserve">The </w:t>
      </w:r>
      <w:r>
        <w:t xml:space="preserve">p.I384N substitution </w:t>
      </w:r>
      <w:r>
        <w:rPr>
          <w:lang w:val="it-IT"/>
        </w:rPr>
        <w:t>impairs</w:t>
      </w:r>
      <w:r>
        <w:t xml:space="preserve"> TUBA1A protein stability</w:t>
      </w:r>
      <w:r>
        <w:t xml:space="preserve"> </w:t>
      </w:r>
      <w:r>
        <w:rPr>
          <w:b/>
          <w:bCs/>
          <w:lang w:val="en-GB"/>
        </w:rPr>
        <w:t>(</w:t>
      </w:r>
      <w:r>
        <w:rPr>
          <w:b/>
          <w:bCs/>
        </w:rPr>
        <w:t>A)</w:t>
      </w:r>
      <w:r>
        <w:rPr>
          <w:lang w:val="it-IT"/>
        </w:rPr>
        <w:t xml:space="preserve"> Immunoblot analysis of HEK-293 cells co-transfected with the same amount (1</w:t>
      </w:r>
      <w:r>
        <w:rPr>
          <w:rFonts w:cs="Times New Roman"/>
          <w:lang w:val="it-IT"/>
        </w:rPr>
        <w:t>u</w:t>
      </w:r>
      <w:r>
        <w:rPr>
          <w:lang w:val="it-IT"/>
        </w:rPr>
        <w:t>g) of TUBA1A (WT and mutant) and GFP constructs, showed that the protein levels of the mutated tubulin were specifically reduced. The protein levels of GFP, which was used to determine the transfection efficiency of the experiment, did not vary among HEK-2</w:t>
      </w:r>
      <w:r>
        <w:rPr>
          <w:lang w:val="it-IT"/>
        </w:rPr>
        <w:t xml:space="preserve">93 cells over-expressing the WT and mutant TUBA1A. </w:t>
      </w:r>
      <w:r>
        <w:t>Histogram shows the quantitative analysis for western blot.</w:t>
      </w:r>
      <w:r>
        <w:rPr>
          <w:lang w:val="it-IT"/>
        </w:rPr>
        <w:t xml:space="preserve"> </w:t>
      </w:r>
      <w:r>
        <w:t>The graph reports the mean ± SEM.</w:t>
      </w:r>
      <w:r>
        <w:t xml:space="preserve"> </w:t>
      </w:r>
      <w:r>
        <w:t>Data were analyzed by Mann Whitney</w:t>
      </w:r>
      <w:r>
        <w:rPr>
          <w:szCs w:val="24"/>
        </w:rPr>
        <w:t xml:space="preserve"> test. </w:t>
      </w:r>
      <w:r>
        <w:t>N=</w:t>
      </w:r>
      <w:r>
        <w:t>4</w:t>
      </w:r>
      <w:r>
        <w:t>.</w:t>
      </w:r>
      <w:r>
        <w:rPr>
          <w:lang w:val="it-IT"/>
        </w:rPr>
        <w:t xml:space="preserve"> (B)</w:t>
      </w:r>
      <w:r>
        <w:t xml:space="preserve"> Immunoblot analysis of </w:t>
      </w:r>
      <w:r>
        <w:t>SH-SY5Y</w:t>
      </w:r>
      <w:r>
        <w:t xml:space="preserve"> cells transiently transfected </w:t>
      </w:r>
      <w:r>
        <w:t xml:space="preserve">with FLAG-tagged TUBA1A (WT and mutant) documented a significant reduction of mutant tubulin. GAPDH was used as loading control. Histogram shows the quantitative analysis for western </w:t>
      </w:r>
      <w:proofErr w:type="spellStart"/>
      <w:proofErr w:type="gramStart"/>
      <w:r>
        <w:t>blot.The</w:t>
      </w:r>
      <w:proofErr w:type="spellEnd"/>
      <w:proofErr w:type="gramEnd"/>
      <w:r>
        <w:t xml:space="preserve"> graph reports the mean ± SEM.</w:t>
      </w:r>
      <w:r>
        <w:t xml:space="preserve"> </w:t>
      </w:r>
      <w:r>
        <w:t>Data were analyzed by Mann Whitney</w:t>
      </w:r>
      <w:r>
        <w:rPr>
          <w:szCs w:val="24"/>
        </w:rPr>
        <w:t xml:space="preserve"> test. </w:t>
      </w:r>
      <w:r>
        <w:t>N=</w:t>
      </w:r>
      <w:r>
        <w:t>4</w:t>
      </w:r>
      <w:r>
        <w:t>.</w:t>
      </w:r>
      <w:r>
        <w:t xml:space="preserve"> </w:t>
      </w:r>
      <w:r>
        <w:rPr>
          <w:b/>
          <w:bCs/>
          <w:lang w:val="en-GB"/>
        </w:rPr>
        <w:t>(</w:t>
      </w:r>
      <w:r>
        <w:rPr>
          <w:b/>
          <w:bCs/>
        </w:rPr>
        <w:t>B</w:t>
      </w:r>
      <w:r>
        <w:rPr>
          <w:b/>
          <w:bCs/>
        </w:rPr>
        <w:t>)</w:t>
      </w:r>
      <w:r>
        <w:t xml:space="preserve"> Immunoblot analysis of </w:t>
      </w:r>
      <w:r>
        <w:t>HeLa</w:t>
      </w:r>
      <w:r>
        <w:t xml:space="preserve"> cells transiently transfected with FLAG-tagged TUBA1A (WT and mutant) documented a significant reduction of mutant tubulin. GAPDH was used as loading control. Histogram </w:t>
      </w:r>
      <w:r>
        <w:lastRenderedPageBreak/>
        <w:t>shows the quantitative analysis for western</w:t>
      </w:r>
      <w:r>
        <w:t xml:space="preserve"> </w:t>
      </w:r>
      <w:proofErr w:type="spellStart"/>
      <w:proofErr w:type="gramStart"/>
      <w:r>
        <w:t>blot.The</w:t>
      </w:r>
      <w:proofErr w:type="spellEnd"/>
      <w:proofErr w:type="gramEnd"/>
      <w:r>
        <w:t xml:space="preserve"> graph reports the mean ± SEM.</w:t>
      </w:r>
      <w:r>
        <w:t xml:space="preserve"> </w:t>
      </w:r>
      <w:r>
        <w:t>Data were analyzed by Mann Whitney</w:t>
      </w:r>
      <w:r>
        <w:rPr>
          <w:szCs w:val="24"/>
        </w:rPr>
        <w:t xml:space="preserve"> test. </w:t>
      </w:r>
      <w:r>
        <w:t>N=</w:t>
      </w:r>
      <w:r>
        <w:rPr>
          <w:lang w:val="it-IT"/>
        </w:rPr>
        <w:t>4</w:t>
      </w:r>
      <w:r>
        <w:t>.</w:t>
      </w:r>
    </w:p>
    <w:p w14:paraId="0CD335FD" w14:textId="77777777" w:rsidR="008E552C" w:rsidRDefault="008E552C">
      <w:pPr>
        <w:jc w:val="both"/>
      </w:pPr>
    </w:p>
    <w:p w14:paraId="1DCAEFEC" w14:textId="77777777" w:rsidR="008E552C" w:rsidRDefault="008E552C">
      <w:pPr>
        <w:jc w:val="both"/>
        <w:rPr>
          <w:lang w:val="it-IT"/>
        </w:rPr>
      </w:pPr>
    </w:p>
    <w:p w14:paraId="0D62EF61" w14:textId="77777777" w:rsidR="008E552C" w:rsidRDefault="00DF303B">
      <w:pPr>
        <w:rPr>
          <w:rFonts w:cs="Times New Roman"/>
          <w:b/>
          <w:bCs/>
          <w:sz w:val="22"/>
          <w:lang w:val="it-IT"/>
        </w:rPr>
      </w:pPr>
      <w:r>
        <w:rPr>
          <w:noProof/>
        </w:rPr>
        <w:drawing>
          <wp:inline distT="0" distB="0" distL="114300" distR="114300" wp14:anchorId="5388A8AE" wp14:editId="3CBC108D">
            <wp:extent cx="6172200" cy="3420110"/>
            <wp:effectExtent l="0" t="0" r="0" b="889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1"/>
                    <a:stretch>
                      <a:fillRect/>
                    </a:stretch>
                  </pic:blipFill>
                  <pic:spPr>
                    <a:xfrm>
                      <a:off x="0" y="0"/>
                      <a:ext cx="6172200" cy="3420110"/>
                    </a:xfrm>
                    <a:prstGeom prst="rect">
                      <a:avLst/>
                    </a:prstGeom>
                    <a:noFill/>
                    <a:ln>
                      <a:noFill/>
                    </a:ln>
                  </pic:spPr>
                </pic:pic>
              </a:graphicData>
            </a:graphic>
          </wp:inline>
        </w:drawing>
      </w:r>
    </w:p>
    <w:p w14:paraId="27860A05" w14:textId="77777777" w:rsidR="008E552C" w:rsidRDefault="00DF303B">
      <w:pPr>
        <w:rPr>
          <w:szCs w:val="24"/>
        </w:rPr>
      </w:pPr>
      <w:proofErr w:type="spellStart"/>
      <w:r>
        <w:rPr>
          <w:rFonts w:cs="Times New Roman"/>
          <w:b/>
          <w:bCs/>
          <w:szCs w:val="24"/>
        </w:rPr>
        <w:t>Supplemetary</w:t>
      </w:r>
      <w:proofErr w:type="spellEnd"/>
      <w:r>
        <w:rPr>
          <w:rFonts w:cs="Times New Roman"/>
          <w:b/>
          <w:bCs/>
          <w:szCs w:val="24"/>
        </w:rPr>
        <w:t xml:space="preserve"> Figure </w:t>
      </w:r>
      <w:r>
        <w:rPr>
          <w:rFonts w:cs="Times New Roman"/>
          <w:b/>
          <w:bCs/>
          <w:szCs w:val="24"/>
        </w:rPr>
        <w:t>2</w:t>
      </w:r>
      <w:r>
        <w:rPr>
          <w:rFonts w:cs="Times New Roman"/>
          <w:b/>
          <w:bCs/>
          <w:szCs w:val="24"/>
        </w:rPr>
        <w:t xml:space="preserve">. </w:t>
      </w:r>
      <w:r>
        <w:rPr>
          <w:rFonts w:cs="Times New Roman"/>
          <w:szCs w:val="24"/>
        </w:rPr>
        <w:t xml:space="preserve">The p.I384N substitution affects the mean fluorescent intensity and the </w:t>
      </w:r>
      <w:r>
        <w:rPr>
          <w:rFonts w:cs="Times New Roman"/>
          <w:szCs w:val="24"/>
        </w:rPr>
        <w:t xml:space="preserve">percentage of FLAG-positive cells over-expressing FLAG-tagged </w:t>
      </w:r>
      <w:r>
        <w:rPr>
          <w:rFonts w:cs="Times New Roman"/>
          <w:szCs w:val="24"/>
        </w:rPr>
        <w:t xml:space="preserve">TUBA1A. </w:t>
      </w:r>
      <w:r>
        <w:rPr>
          <w:rFonts w:cs="Times New Roman"/>
          <w:b/>
          <w:bCs/>
          <w:szCs w:val="24"/>
        </w:rPr>
        <w:t>(A)</w:t>
      </w:r>
      <w:r>
        <w:rPr>
          <w:rFonts w:cs="Times New Roman"/>
          <w:szCs w:val="24"/>
        </w:rPr>
        <w:t xml:space="preserve"> The histogram shows the mean fluorescent intensity (MFI)</w:t>
      </w:r>
      <w:r>
        <w:rPr>
          <w:rFonts w:cs="Times New Roman"/>
          <w:szCs w:val="24"/>
        </w:rPr>
        <w:t xml:space="preserve"> </w:t>
      </w:r>
      <w:r>
        <w:rPr>
          <w:rFonts w:cs="Times New Roman"/>
          <w:szCs w:val="24"/>
        </w:rPr>
        <w:t>of mutated TUBA1A in its aggregated and dispersed state. The MFI was calculated using</w:t>
      </w:r>
      <w:r>
        <w:rPr>
          <w:szCs w:val="24"/>
        </w:rPr>
        <w:t xml:space="preserve"> ImageJ/FIJI software (NIH</w:t>
      </w:r>
      <w:proofErr w:type="gramStart"/>
      <w:r>
        <w:rPr>
          <w:szCs w:val="24"/>
        </w:rPr>
        <w:t xml:space="preserve">) </w:t>
      </w:r>
      <w:r>
        <w:rPr>
          <w:rFonts w:cs="Times New Roman"/>
          <w:szCs w:val="24"/>
        </w:rPr>
        <w:t>.</w:t>
      </w:r>
      <w:proofErr w:type="gramEnd"/>
      <w:r>
        <w:rPr>
          <w:rFonts w:cs="Times New Roman"/>
          <w:szCs w:val="24"/>
        </w:rPr>
        <w:t xml:space="preserve"> </w:t>
      </w:r>
      <w:r>
        <w:rPr>
          <w:rFonts w:cs="Times New Roman"/>
          <w:szCs w:val="24"/>
          <w:lang w:val="en-GB"/>
        </w:rPr>
        <w:t>The graph reports the mean ± SEM</w:t>
      </w:r>
      <w:r>
        <w:rPr>
          <w:rFonts w:cs="Times New Roman"/>
          <w:szCs w:val="24"/>
        </w:rPr>
        <w:t xml:space="preserve"> (38 cells for dispersed TUBA1A and 31 c</w:t>
      </w:r>
      <w:r>
        <w:rPr>
          <w:rFonts w:cs="Times New Roman"/>
          <w:szCs w:val="24"/>
        </w:rPr>
        <w:t>ells for aggregated TUBA1A). Data were analyzed by Mann Whitney</w:t>
      </w:r>
      <w:r>
        <w:rPr>
          <w:rFonts w:cs="Times New Roman"/>
          <w:szCs w:val="24"/>
        </w:rPr>
        <w:t xml:space="preserve"> test</w:t>
      </w:r>
      <w:r>
        <w:rPr>
          <w:rFonts w:cs="Times New Roman"/>
          <w:szCs w:val="24"/>
        </w:rPr>
        <w:t xml:space="preserve">. </w:t>
      </w:r>
      <w:r>
        <w:rPr>
          <w:rFonts w:cs="Times New Roman"/>
          <w:b/>
          <w:bCs/>
          <w:szCs w:val="24"/>
        </w:rPr>
        <w:t xml:space="preserve">(B) </w:t>
      </w:r>
      <w:r>
        <w:rPr>
          <w:rFonts w:cs="Times New Roman"/>
          <w:szCs w:val="24"/>
        </w:rPr>
        <w:t>The histogram shows the average of MFI of WT and mutated TUBA1A state. The MFI was calculated using ImageJ/FIJI software (NIH</w:t>
      </w:r>
      <w:proofErr w:type="gramStart"/>
      <w:r>
        <w:rPr>
          <w:rFonts w:cs="Times New Roman"/>
          <w:szCs w:val="24"/>
        </w:rPr>
        <w:t>) .</w:t>
      </w:r>
      <w:proofErr w:type="gramEnd"/>
      <w:r>
        <w:rPr>
          <w:rFonts w:cs="Times New Roman"/>
          <w:szCs w:val="24"/>
        </w:rPr>
        <w:t xml:space="preserve"> </w:t>
      </w:r>
      <w:bookmarkStart w:id="0" w:name="OLE_LINK1"/>
      <w:r>
        <w:rPr>
          <w:rFonts w:cs="Times New Roman"/>
          <w:szCs w:val="24"/>
          <w:lang w:val="en-GB"/>
        </w:rPr>
        <w:t>The graph reports the mean ± SEM</w:t>
      </w:r>
      <w:r>
        <w:rPr>
          <w:rFonts w:cs="Times New Roman"/>
          <w:szCs w:val="24"/>
        </w:rPr>
        <w:t xml:space="preserve"> (77 cells from WT an</w:t>
      </w:r>
      <w:r>
        <w:rPr>
          <w:rFonts w:cs="Times New Roman"/>
          <w:szCs w:val="24"/>
        </w:rPr>
        <w:t>d 73 cells from p.I384N). Data were analyzed by Mann Whitney</w:t>
      </w:r>
      <w:r>
        <w:rPr>
          <w:rFonts w:cs="Times New Roman"/>
          <w:szCs w:val="24"/>
        </w:rPr>
        <w:t xml:space="preserve"> test</w:t>
      </w:r>
      <w:r>
        <w:rPr>
          <w:rFonts w:cs="Times New Roman"/>
          <w:szCs w:val="24"/>
        </w:rPr>
        <w:t xml:space="preserve">. </w:t>
      </w:r>
      <w:bookmarkEnd w:id="0"/>
      <w:r>
        <w:rPr>
          <w:rFonts w:cs="Times New Roman"/>
          <w:b/>
          <w:bCs/>
          <w:szCs w:val="24"/>
        </w:rPr>
        <w:t xml:space="preserve">(C) </w:t>
      </w:r>
      <w:r>
        <w:rPr>
          <w:rFonts w:cs="Times New Roman"/>
          <w:szCs w:val="24"/>
        </w:rPr>
        <w:t xml:space="preserve">The histogram shows the </w:t>
      </w:r>
      <w:r>
        <w:rPr>
          <w:rFonts w:cs="Times New Roman"/>
          <w:szCs w:val="24"/>
          <w:lang w:val="it-IT"/>
        </w:rPr>
        <w:t>p</w:t>
      </w:r>
      <w:r>
        <w:rPr>
          <w:rFonts w:cs="Times New Roman"/>
          <w:szCs w:val="24"/>
          <w:lang w:val="it-IT"/>
        </w:rPr>
        <w:t>ercentage</w:t>
      </w:r>
      <w:r>
        <w:rPr>
          <w:rFonts w:cs="Times New Roman"/>
          <w:szCs w:val="24"/>
        </w:rPr>
        <w:t xml:space="preserve"> of </w:t>
      </w:r>
      <w:r>
        <w:rPr>
          <w:rFonts w:cs="Times New Roman"/>
          <w:szCs w:val="24"/>
          <w:lang w:val="it-IT"/>
        </w:rPr>
        <w:t xml:space="preserve">FLAG-positive </w:t>
      </w:r>
      <w:r>
        <w:rPr>
          <w:rFonts w:cs="Times New Roman"/>
          <w:szCs w:val="24"/>
        </w:rPr>
        <w:t>COS-1 cells over-expressing WT and</w:t>
      </w:r>
      <w:r>
        <w:rPr>
          <w:rFonts w:cs="Times New Roman"/>
          <w:szCs w:val="24"/>
        </w:rPr>
        <w:t xml:space="preserve"> </w:t>
      </w:r>
      <w:r>
        <w:rPr>
          <w:rFonts w:cs="Times New Roman"/>
          <w:szCs w:val="24"/>
        </w:rPr>
        <w:t>mutated TUBA1A</w:t>
      </w:r>
      <w:r>
        <w:rPr>
          <w:rFonts w:cs="Times New Roman"/>
          <w:szCs w:val="24"/>
        </w:rPr>
        <w:t xml:space="preserve">, calculated as: (Number of </w:t>
      </w:r>
      <w:r>
        <w:rPr>
          <w:rFonts w:cs="Times New Roman"/>
          <w:szCs w:val="24"/>
          <w:lang w:val="it-IT"/>
        </w:rPr>
        <w:t xml:space="preserve">FLAG positive </w:t>
      </w:r>
      <w:r>
        <w:rPr>
          <w:rFonts w:cs="Times New Roman"/>
          <w:szCs w:val="24"/>
        </w:rPr>
        <w:t xml:space="preserve">cells/Number of total cell) x </w:t>
      </w:r>
      <w:proofErr w:type="gramStart"/>
      <w:r>
        <w:rPr>
          <w:rFonts w:cs="Times New Roman"/>
          <w:szCs w:val="24"/>
        </w:rPr>
        <w:t>100,</w:t>
      </w:r>
      <w:proofErr w:type="gramEnd"/>
      <w:r>
        <w:rPr>
          <w:rFonts w:cs="Times New Roman"/>
          <w:szCs w:val="24"/>
        </w:rPr>
        <w:t xml:space="preserve"> of WT a</w:t>
      </w:r>
      <w:r>
        <w:rPr>
          <w:rFonts w:cs="Times New Roman"/>
          <w:szCs w:val="24"/>
        </w:rPr>
        <w:t xml:space="preserve">nd mutated TUBA1A. </w:t>
      </w:r>
      <w:r>
        <w:rPr>
          <w:rFonts w:cs="Times New Roman"/>
          <w:szCs w:val="24"/>
          <w:lang w:val="en-GB"/>
        </w:rPr>
        <w:t>The graph reports the mean ± SEM</w:t>
      </w:r>
      <w:r>
        <w:rPr>
          <w:rFonts w:cs="Times New Roman"/>
          <w:szCs w:val="24"/>
        </w:rPr>
        <w:t xml:space="preserve"> (587 cells from WT and 319 cells from p.I384N). Data were analyzed by Mann Whitney</w:t>
      </w:r>
      <w:r>
        <w:rPr>
          <w:rFonts w:cs="Times New Roman"/>
          <w:szCs w:val="24"/>
        </w:rPr>
        <w:t xml:space="preserve"> test</w:t>
      </w:r>
      <w:r>
        <w:rPr>
          <w:rFonts w:cs="Times New Roman"/>
          <w:szCs w:val="24"/>
        </w:rPr>
        <w:t xml:space="preserve"> </w:t>
      </w:r>
      <w:r>
        <w:rPr>
          <w:rFonts w:cs="Times New Roman"/>
          <w:szCs w:val="24"/>
        </w:rPr>
        <w:t>(</w:t>
      </w:r>
      <w:r>
        <w:rPr>
          <w:szCs w:val="24"/>
        </w:rPr>
        <w:t>reproduced with permission from '</w:t>
      </w:r>
      <w:proofErr w:type="spellStart"/>
      <w:r>
        <w:rPr>
          <w:rFonts w:eastAsia="SimSun" w:cs="Times New Roman"/>
          <w:color w:val="000000"/>
          <w:szCs w:val="24"/>
          <w:shd w:val="clear" w:color="auto" w:fill="FFFFFF"/>
        </w:rPr>
        <w:t>GeneDx</w:t>
      </w:r>
      <w:proofErr w:type="spellEnd"/>
      <w:r>
        <w:rPr>
          <w:rFonts w:cs="Times New Roman"/>
          <w:color w:val="000000"/>
          <w:szCs w:val="24"/>
          <w:shd w:val="clear" w:color="auto" w:fill="FFFFFF"/>
        </w:rPr>
        <w:t xml:space="preserve"> </w:t>
      </w:r>
      <w:r>
        <w:rPr>
          <w:szCs w:val="24"/>
        </w:rPr>
        <w:t>'(1/31/</w:t>
      </w:r>
      <w:proofErr w:type="gramStart"/>
      <w:r>
        <w:rPr>
          <w:szCs w:val="24"/>
        </w:rPr>
        <w:t>23 )</w:t>
      </w:r>
      <w:proofErr w:type="gramEnd"/>
      <w:r>
        <w:rPr>
          <w:szCs w:val="24"/>
        </w:rPr>
        <w:t>)</w:t>
      </w:r>
      <w:r>
        <w:rPr>
          <w:szCs w:val="24"/>
        </w:rPr>
        <w:t>.</w:t>
      </w:r>
    </w:p>
    <w:p w14:paraId="5C3B3AFB" w14:textId="77777777" w:rsidR="008E552C" w:rsidRDefault="008E552C">
      <w:pPr>
        <w:rPr>
          <w:rFonts w:cs="Times New Roman"/>
          <w:sz w:val="22"/>
        </w:rPr>
      </w:pPr>
    </w:p>
    <w:p w14:paraId="67528EDD" w14:textId="77777777" w:rsidR="008E552C" w:rsidRDefault="00DF303B">
      <w:pPr>
        <w:rPr>
          <w:rFonts w:cs="Times New Roman"/>
          <w:sz w:val="22"/>
          <w:lang w:val="it-IT"/>
        </w:rPr>
      </w:pPr>
      <w:r>
        <w:rPr>
          <w:rFonts w:cs="Times New Roman"/>
          <w:noProof/>
          <w:sz w:val="22"/>
          <w:lang w:val="it-IT"/>
        </w:rPr>
        <w:lastRenderedPageBreak/>
        <w:drawing>
          <wp:inline distT="0" distB="0" distL="114300" distR="114300" wp14:anchorId="15D3B5EF" wp14:editId="75F75AF4">
            <wp:extent cx="6207760" cy="4138295"/>
            <wp:effectExtent l="0" t="0" r="2540" b="14605"/>
            <wp:docPr id="10" name="Picture 10" descr="Supplementary Figure 2-2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upplementary Figure 2-2rev"/>
                    <pic:cNvPicPr>
                      <a:picLocks noChangeAspect="1"/>
                    </pic:cNvPicPr>
                  </pic:nvPicPr>
                  <pic:blipFill>
                    <a:blip r:embed="rId12"/>
                    <a:stretch>
                      <a:fillRect/>
                    </a:stretch>
                  </pic:blipFill>
                  <pic:spPr>
                    <a:xfrm>
                      <a:off x="0" y="0"/>
                      <a:ext cx="6207760" cy="4138295"/>
                    </a:xfrm>
                    <a:prstGeom prst="rect">
                      <a:avLst/>
                    </a:prstGeom>
                  </pic:spPr>
                </pic:pic>
              </a:graphicData>
            </a:graphic>
          </wp:inline>
        </w:drawing>
      </w:r>
    </w:p>
    <w:p w14:paraId="653FB2C3" w14:textId="77777777" w:rsidR="008E552C" w:rsidRDefault="00DF303B">
      <w:pPr>
        <w:rPr>
          <w:szCs w:val="24"/>
        </w:rPr>
      </w:pPr>
      <w:r>
        <w:rPr>
          <w:rFonts w:cs="Times New Roman"/>
          <w:b/>
          <w:bCs/>
          <w:szCs w:val="24"/>
        </w:rPr>
        <w:t xml:space="preserve">Supplementary Figure </w:t>
      </w:r>
      <w:r>
        <w:rPr>
          <w:rFonts w:cs="Times New Roman"/>
          <w:b/>
          <w:bCs/>
          <w:szCs w:val="24"/>
        </w:rPr>
        <w:t>3</w:t>
      </w:r>
      <w:r>
        <w:rPr>
          <w:rFonts w:cs="Times New Roman"/>
          <w:b/>
          <w:bCs/>
          <w:szCs w:val="24"/>
        </w:rPr>
        <w:t xml:space="preserve">. </w:t>
      </w:r>
      <w:r>
        <w:rPr>
          <w:rFonts w:cs="Times New Roman"/>
          <w:szCs w:val="24"/>
        </w:rPr>
        <w:t xml:space="preserve">TUBA1A harboring the p.I384N mutation is not incorporated into microtubules. </w:t>
      </w:r>
      <w:r>
        <w:rPr>
          <w:rFonts w:cs="Times New Roman"/>
          <w:b/>
          <w:bCs/>
          <w:szCs w:val="24"/>
        </w:rPr>
        <w:t xml:space="preserve">(A) </w:t>
      </w:r>
      <w:r>
        <w:rPr>
          <w:rFonts w:cs="Times New Roman"/>
          <w:szCs w:val="24"/>
        </w:rPr>
        <w:t>COS-1 cells over-expressing FLAG-tagged</w:t>
      </w:r>
      <w:r>
        <w:rPr>
          <w:rFonts w:cs="Times New Roman"/>
          <w:szCs w:val="24"/>
        </w:rPr>
        <w:t xml:space="preserve"> </w:t>
      </w:r>
      <w:r>
        <w:rPr>
          <w:rFonts w:cs="Times New Roman"/>
          <w:szCs w:val="24"/>
        </w:rPr>
        <w:t xml:space="preserve">TUBA1A (WT and mutant) were treated with nocodazole (10 </w:t>
      </w:r>
      <w:proofErr w:type="spellStart"/>
      <w:r>
        <w:rPr>
          <w:rFonts w:cs="Times New Roman"/>
          <w:szCs w:val="24"/>
        </w:rPr>
        <w:t>uM</w:t>
      </w:r>
      <w:proofErr w:type="spellEnd"/>
      <w:r>
        <w:rPr>
          <w:rFonts w:cs="Times New Roman"/>
          <w:szCs w:val="24"/>
        </w:rPr>
        <w:t>) for 45 minutes to induce microtubule depolymerization. After nocod</w:t>
      </w:r>
      <w:r>
        <w:rPr>
          <w:rFonts w:cs="Times New Roman"/>
          <w:szCs w:val="24"/>
        </w:rPr>
        <w:t>a</w:t>
      </w:r>
      <w:r>
        <w:rPr>
          <w:rFonts w:cs="Times New Roman"/>
          <w:szCs w:val="24"/>
        </w:rPr>
        <w:t>zole was</w:t>
      </w:r>
      <w:r>
        <w:rPr>
          <w:rFonts w:cs="Times New Roman"/>
          <w:szCs w:val="24"/>
        </w:rPr>
        <w:t xml:space="preserve">h-out, COS-1 cells were fixed with ice-cold methanol at the indicated times and stained for FLAG (green) and </w:t>
      </w:r>
      <w:r>
        <w:rPr>
          <w:rFonts w:cs="Times New Roman"/>
          <w:szCs w:val="24"/>
          <w:lang w:val="it-IT"/>
        </w:rPr>
        <w:t>β</w:t>
      </w:r>
      <w:r>
        <w:rPr>
          <w:rFonts w:cs="Times New Roman"/>
          <w:szCs w:val="24"/>
        </w:rPr>
        <w:t xml:space="preserve">-tubulin (red) to visualize the rate of TUBA1A and </w:t>
      </w:r>
      <w:r>
        <w:rPr>
          <w:rFonts w:cs="Times New Roman"/>
          <w:szCs w:val="24"/>
          <w:lang w:val="it-IT"/>
        </w:rPr>
        <w:t>β</w:t>
      </w:r>
      <w:r>
        <w:rPr>
          <w:rFonts w:cs="Times New Roman"/>
          <w:szCs w:val="24"/>
        </w:rPr>
        <w:t xml:space="preserve">-tubulin growth. Scale bar: 50 µm. On the right, a high magnification of the selected area. </w:t>
      </w:r>
      <w:r>
        <w:rPr>
          <w:rFonts w:cs="Times New Roman"/>
          <w:b/>
          <w:bCs/>
          <w:szCs w:val="24"/>
        </w:rPr>
        <w:t>(B</w:t>
      </w:r>
      <w:r>
        <w:rPr>
          <w:rFonts w:cs="Times New Roman"/>
          <w:b/>
          <w:bCs/>
          <w:szCs w:val="24"/>
        </w:rPr>
        <w:t>)</w:t>
      </w:r>
      <w:r>
        <w:rPr>
          <w:rFonts w:cs="Times New Roman"/>
          <w:szCs w:val="24"/>
        </w:rPr>
        <w:t xml:space="preserve"> The histogram shows the MFI of WT and mutated TUBA1A at 90 minutes, after nocodazole wash-out. The MFI was calculated using I</w:t>
      </w:r>
      <w:r>
        <w:rPr>
          <w:szCs w:val="24"/>
        </w:rPr>
        <w:t xml:space="preserve"> ImageJ/FIJI software (NIH). </w:t>
      </w:r>
      <w:r>
        <w:rPr>
          <w:rFonts w:cs="Times New Roman"/>
          <w:szCs w:val="24"/>
          <w:lang w:val="en-GB"/>
        </w:rPr>
        <w:t>The graph reports the mean ± SEM</w:t>
      </w:r>
      <w:r>
        <w:rPr>
          <w:rFonts w:cs="Times New Roman"/>
          <w:szCs w:val="24"/>
        </w:rPr>
        <w:t xml:space="preserve"> (73 cells from WT and 52 cells from p.I384N). Data were analyzed by</w:t>
      </w:r>
      <w:r>
        <w:rPr>
          <w:rFonts w:cs="Times New Roman"/>
          <w:szCs w:val="24"/>
        </w:rPr>
        <w:t xml:space="preserve"> Mann Whitney</w:t>
      </w:r>
      <w:r>
        <w:rPr>
          <w:rFonts w:cs="Times New Roman"/>
          <w:szCs w:val="24"/>
        </w:rPr>
        <w:t xml:space="preserve"> test</w:t>
      </w:r>
      <w:r>
        <w:rPr>
          <w:rFonts w:cs="Times New Roman"/>
          <w:szCs w:val="24"/>
        </w:rPr>
        <w:t xml:space="preserve">. </w:t>
      </w:r>
      <w:r>
        <w:rPr>
          <w:rFonts w:cs="Times New Roman"/>
          <w:b/>
          <w:bCs/>
          <w:szCs w:val="24"/>
        </w:rPr>
        <w:t>(C)</w:t>
      </w:r>
      <w:r>
        <w:rPr>
          <w:rFonts w:cs="Times New Roman"/>
          <w:szCs w:val="24"/>
        </w:rPr>
        <w:t xml:space="preserve"> Immunoblot analysis of soluble and polymerized pools of TUBA1A in HEK-293 cells over-expressing TUBA1A</w:t>
      </w:r>
      <w:r>
        <w:rPr>
          <w:rFonts w:cs="Times New Roman"/>
          <w:szCs w:val="24"/>
          <w:vertAlign w:val="superscript"/>
        </w:rPr>
        <w:t xml:space="preserve">WT </w:t>
      </w:r>
      <w:r>
        <w:rPr>
          <w:rFonts w:cs="Times New Roman"/>
          <w:szCs w:val="24"/>
        </w:rPr>
        <w:t>and TUBA1A</w:t>
      </w:r>
      <w:r>
        <w:rPr>
          <w:rFonts w:cs="Times New Roman"/>
          <w:szCs w:val="24"/>
          <w:vertAlign w:val="superscript"/>
        </w:rPr>
        <w:t>I384</w:t>
      </w:r>
      <w:r>
        <w:rPr>
          <w:rFonts w:cs="Times New Roman"/>
          <w:szCs w:val="24"/>
        </w:rPr>
        <w:t xml:space="preserve">. </w:t>
      </w:r>
      <w:r>
        <w:rPr>
          <w:rFonts w:cs="Times New Roman"/>
          <w:szCs w:val="24"/>
          <w:lang w:val="it-IT"/>
        </w:rPr>
        <w:t>β</w:t>
      </w:r>
      <w:r>
        <w:rPr>
          <w:rFonts w:cs="Times New Roman"/>
          <w:szCs w:val="24"/>
        </w:rPr>
        <w:t>-actin was used as loading control to demonstrate that soluble fractions were equally loading among them and t</w:t>
      </w:r>
      <w:r>
        <w:rPr>
          <w:rFonts w:cs="Times New Roman"/>
          <w:szCs w:val="24"/>
        </w:rPr>
        <w:t>hat polymerized fractions were equally loading among them. Histograms show the quantitative analysis for western blot.</w:t>
      </w:r>
      <w:r>
        <w:rPr>
          <w:rFonts w:cs="Times New Roman"/>
          <w:szCs w:val="24"/>
        </w:rPr>
        <w:t xml:space="preserve"> </w:t>
      </w:r>
      <w:r>
        <w:rPr>
          <w:rFonts w:cs="Times New Roman"/>
          <w:szCs w:val="24"/>
        </w:rPr>
        <w:t>The graph reports the mean ± SEM. Data were analyzed by Mann Whitney test. N=5</w:t>
      </w:r>
      <w:r>
        <w:rPr>
          <w:rFonts w:cs="Times New Roman"/>
          <w:szCs w:val="24"/>
        </w:rPr>
        <w:t xml:space="preserve"> (</w:t>
      </w:r>
      <w:r>
        <w:rPr>
          <w:szCs w:val="24"/>
        </w:rPr>
        <w:t>reproduced with permission from '</w:t>
      </w:r>
      <w:proofErr w:type="spellStart"/>
      <w:r>
        <w:rPr>
          <w:rFonts w:eastAsia="SimSun" w:cs="Times New Roman"/>
          <w:color w:val="000000"/>
          <w:szCs w:val="24"/>
          <w:shd w:val="clear" w:color="auto" w:fill="FFFFFF"/>
        </w:rPr>
        <w:t>GeneDx</w:t>
      </w:r>
      <w:proofErr w:type="spellEnd"/>
      <w:r>
        <w:rPr>
          <w:rFonts w:cs="Times New Roman"/>
          <w:color w:val="000000"/>
          <w:szCs w:val="24"/>
          <w:shd w:val="clear" w:color="auto" w:fill="FFFFFF"/>
        </w:rPr>
        <w:t xml:space="preserve"> </w:t>
      </w:r>
      <w:r>
        <w:rPr>
          <w:szCs w:val="24"/>
        </w:rPr>
        <w:t>'(1/31/</w:t>
      </w:r>
      <w:proofErr w:type="gramStart"/>
      <w:r>
        <w:rPr>
          <w:szCs w:val="24"/>
        </w:rPr>
        <w:t>23 )</w:t>
      </w:r>
      <w:proofErr w:type="gramEnd"/>
      <w:r>
        <w:rPr>
          <w:szCs w:val="24"/>
        </w:rPr>
        <w:t>)</w:t>
      </w:r>
      <w:r>
        <w:rPr>
          <w:szCs w:val="24"/>
        </w:rPr>
        <w:t>.</w:t>
      </w:r>
    </w:p>
    <w:p w14:paraId="57B9D40E" w14:textId="77777777" w:rsidR="008E552C" w:rsidRDefault="008E552C">
      <w:pPr>
        <w:rPr>
          <w:rFonts w:cs="Times New Roman"/>
          <w:sz w:val="22"/>
        </w:rPr>
      </w:pPr>
    </w:p>
    <w:p w14:paraId="0F090889" w14:textId="77777777" w:rsidR="008E552C" w:rsidRDefault="00DF303B">
      <w:pPr>
        <w:rPr>
          <w:rFonts w:cs="Times New Roman"/>
          <w:b/>
          <w:bCs/>
          <w:sz w:val="22"/>
          <w:lang w:val="it-IT"/>
        </w:rPr>
      </w:pPr>
      <w:r>
        <w:rPr>
          <w:rFonts w:cs="Times New Roman"/>
          <w:b/>
          <w:bCs/>
          <w:noProof/>
          <w:sz w:val="22"/>
          <w:lang w:val="it-IT"/>
        </w:rPr>
        <w:lastRenderedPageBreak/>
        <w:drawing>
          <wp:inline distT="0" distB="0" distL="114300" distR="114300" wp14:anchorId="2D692745" wp14:editId="361459CF">
            <wp:extent cx="6207760" cy="6207760"/>
            <wp:effectExtent l="0" t="0" r="2540" b="2540"/>
            <wp:docPr id="11" name="Picture 11" descr="SUPPLEMENTARY fIGURE 3-2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UPPLEMENTARY fIGURE 3-2rev"/>
                    <pic:cNvPicPr>
                      <a:picLocks noChangeAspect="1"/>
                    </pic:cNvPicPr>
                  </pic:nvPicPr>
                  <pic:blipFill>
                    <a:blip r:embed="rId13"/>
                    <a:stretch>
                      <a:fillRect/>
                    </a:stretch>
                  </pic:blipFill>
                  <pic:spPr>
                    <a:xfrm>
                      <a:off x="0" y="0"/>
                      <a:ext cx="6207760" cy="6207760"/>
                    </a:xfrm>
                    <a:prstGeom prst="rect">
                      <a:avLst/>
                    </a:prstGeom>
                  </pic:spPr>
                </pic:pic>
              </a:graphicData>
            </a:graphic>
          </wp:inline>
        </w:drawing>
      </w:r>
    </w:p>
    <w:p w14:paraId="68993560" w14:textId="77777777" w:rsidR="008E552C" w:rsidRDefault="00DF303B">
      <w:pPr>
        <w:rPr>
          <w:szCs w:val="24"/>
        </w:rPr>
      </w:pPr>
      <w:r>
        <w:rPr>
          <w:rFonts w:cs="Times New Roman"/>
          <w:b/>
          <w:bCs/>
          <w:szCs w:val="24"/>
        </w:rPr>
        <w:t xml:space="preserve">Supplementary Figure </w:t>
      </w:r>
      <w:r>
        <w:rPr>
          <w:rFonts w:cs="Times New Roman"/>
          <w:b/>
          <w:bCs/>
          <w:szCs w:val="24"/>
        </w:rPr>
        <w:t>4</w:t>
      </w:r>
      <w:r>
        <w:rPr>
          <w:rFonts w:cs="Times New Roman"/>
          <w:b/>
          <w:bCs/>
          <w:szCs w:val="24"/>
        </w:rPr>
        <w:t>.</w:t>
      </w:r>
      <w:r>
        <w:rPr>
          <w:rFonts w:cs="Times New Roman"/>
          <w:b/>
          <w:bCs/>
          <w:szCs w:val="24"/>
        </w:rPr>
        <w:t xml:space="preserve"> </w:t>
      </w:r>
      <w:r>
        <w:rPr>
          <w:rFonts w:cs="Times New Roman"/>
          <w:szCs w:val="24"/>
        </w:rPr>
        <w:t xml:space="preserve">The p.I384N substitution does not alter the protein level of endogenous tubulins </w:t>
      </w:r>
      <w:r>
        <w:rPr>
          <w:rFonts w:cs="Times New Roman"/>
          <w:b/>
          <w:bCs/>
          <w:szCs w:val="24"/>
        </w:rPr>
        <w:t>(A)</w:t>
      </w:r>
      <w:r>
        <w:rPr>
          <w:rFonts w:cs="Times New Roman"/>
          <w:szCs w:val="24"/>
        </w:rPr>
        <w:t xml:space="preserve"> Immunoblot analysis of HEK-293 cells transiently transfected with FLAG-tagged TUBA1A (WT and mutant) did not document any change in the protein le</w:t>
      </w:r>
      <w:r>
        <w:rPr>
          <w:rFonts w:cs="Times New Roman"/>
          <w:szCs w:val="24"/>
        </w:rPr>
        <w:t xml:space="preserve">vels of endogenous </w:t>
      </w:r>
      <w:r>
        <w:rPr>
          <w:rFonts w:cs="Times New Roman"/>
          <w:szCs w:val="24"/>
          <w:lang w:val="it-IT"/>
        </w:rPr>
        <w:t>α</w:t>
      </w:r>
      <w:r>
        <w:rPr>
          <w:rFonts w:cs="Times New Roman"/>
          <w:szCs w:val="24"/>
        </w:rPr>
        <w:t xml:space="preserve"> and </w:t>
      </w:r>
      <w:r>
        <w:rPr>
          <w:rFonts w:cs="Times New Roman"/>
          <w:szCs w:val="24"/>
          <w:lang w:val="it-IT"/>
        </w:rPr>
        <w:t>β</w:t>
      </w:r>
      <w:r>
        <w:rPr>
          <w:rFonts w:cs="Times New Roman"/>
          <w:szCs w:val="24"/>
        </w:rPr>
        <w:t xml:space="preserve"> tubulins. GAPDH was used as loading control. Histogram shows the quantitative analysis for western </w:t>
      </w:r>
      <w:proofErr w:type="spellStart"/>
      <w:proofErr w:type="gramStart"/>
      <w:r>
        <w:rPr>
          <w:rFonts w:cs="Times New Roman"/>
          <w:szCs w:val="24"/>
        </w:rPr>
        <w:t>blot.The</w:t>
      </w:r>
      <w:proofErr w:type="spellEnd"/>
      <w:proofErr w:type="gramEnd"/>
      <w:r>
        <w:rPr>
          <w:rFonts w:cs="Times New Roman"/>
          <w:szCs w:val="24"/>
        </w:rPr>
        <w:t xml:space="preserve"> graph reports the mean ± SEM. </w:t>
      </w:r>
      <w:r>
        <w:rPr>
          <w:rFonts w:cs="Times New Roman"/>
          <w:szCs w:val="24"/>
          <w:lang w:val="it-IT"/>
        </w:rPr>
        <w:t xml:space="preserve">Data were analyzed by Mann Whitney test. </w:t>
      </w:r>
      <w:r>
        <w:rPr>
          <w:rFonts w:cs="Times New Roman"/>
          <w:szCs w:val="24"/>
        </w:rPr>
        <w:t xml:space="preserve">N=4. </w:t>
      </w:r>
      <w:r>
        <w:rPr>
          <w:rFonts w:cs="Times New Roman"/>
          <w:b/>
          <w:bCs/>
          <w:szCs w:val="24"/>
        </w:rPr>
        <w:t>(B)</w:t>
      </w:r>
      <w:r>
        <w:rPr>
          <w:rFonts w:cs="Times New Roman"/>
          <w:szCs w:val="24"/>
        </w:rPr>
        <w:t xml:space="preserve"> Immunoblot analysis of COS-1 cells transi</w:t>
      </w:r>
      <w:r>
        <w:rPr>
          <w:rFonts w:cs="Times New Roman"/>
          <w:szCs w:val="24"/>
        </w:rPr>
        <w:t xml:space="preserve">ently transfected with FLAG-tagged TUBA1A (WT and mutant) did not document any change in the protein levels of endogenous </w:t>
      </w:r>
      <w:r>
        <w:rPr>
          <w:rFonts w:cs="Times New Roman"/>
          <w:szCs w:val="24"/>
          <w:lang w:val="it-IT"/>
        </w:rPr>
        <w:t>α</w:t>
      </w:r>
      <w:r>
        <w:rPr>
          <w:rFonts w:cs="Times New Roman"/>
          <w:szCs w:val="24"/>
        </w:rPr>
        <w:t xml:space="preserve"> and </w:t>
      </w:r>
      <w:r>
        <w:rPr>
          <w:rFonts w:cs="Times New Roman"/>
          <w:szCs w:val="24"/>
          <w:lang w:val="it-IT"/>
        </w:rPr>
        <w:t>β</w:t>
      </w:r>
      <w:r>
        <w:rPr>
          <w:rFonts w:cs="Times New Roman"/>
          <w:szCs w:val="24"/>
        </w:rPr>
        <w:t xml:space="preserve"> tubulins. GAPDH was used as loading control. Histogram shows the quantitative analysis for western </w:t>
      </w:r>
      <w:proofErr w:type="spellStart"/>
      <w:proofErr w:type="gramStart"/>
      <w:r>
        <w:rPr>
          <w:rFonts w:cs="Times New Roman"/>
          <w:szCs w:val="24"/>
        </w:rPr>
        <w:t>blot.The</w:t>
      </w:r>
      <w:proofErr w:type="spellEnd"/>
      <w:proofErr w:type="gramEnd"/>
      <w:r>
        <w:rPr>
          <w:rFonts w:cs="Times New Roman"/>
          <w:szCs w:val="24"/>
        </w:rPr>
        <w:t xml:space="preserve"> graph reports the </w:t>
      </w:r>
      <w:r>
        <w:rPr>
          <w:rFonts w:cs="Times New Roman"/>
          <w:szCs w:val="24"/>
        </w:rPr>
        <w:t>mean ± SEM. Data were analyzed by Mann Whitney test. N=4</w:t>
      </w:r>
      <w:r>
        <w:rPr>
          <w:rFonts w:cs="Times New Roman"/>
          <w:szCs w:val="24"/>
        </w:rPr>
        <w:t xml:space="preserve"> (</w:t>
      </w:r>
      <w:r>
        <w:rPr>
          <w:szCs w:val="24"/>
        </w:rPr>
        <w:t>reproduced with permission from '</w:t>
      </w:r>
      <w:proofErr w:type="spellStart"/>
      <w:r>
        <w:rPr>
          <w:rFonts w:eastAsia="SimSun" w:cs="Times New Roman"/>
          <w:color w:val="000000"/>
          <w:szCs w:val="24"/>
          <w:shd w:val="clear" w:color="auto" w:fill="FFFFFF"/>
        </w:rPr>
        <w:t>GeneDx</w:t>
      </w:r>
      <w:proofErr w:type="spellEnd"/>
      <w:r>
        <w:rPr>
          <w:rFonts w:cs="Times New Roman"/>
          <w:color w:val="000000"/>
          <w:szCs w:val="24"/>
          <w:shd w:val="clear" w:color="auto" w:fill="FFFFFF"/>
        </w:rPr>
        <w:t xml:space="preserve"> </w:t>
      </w:r>
      <w:r>
        <w:rPr>
          <w:szCs w:val="24"/>
        </w:rPr>
        <w:t>'(1/31/</w:t>
      </w:r>
      <w:proofErr w:type="gramStart"/>
      <w:r>
        <w:rPr>
          <w:szCs w:val="24"/>
        </w:rPr>
        <w:t>23 )</w:t>
      </w:r>
      <w:proofErr w:type="gramEnd"/>
      <w:r>
        <w:rPr>
          <w:szCs w:val="24"/>
        </w:rPr>
        <w:t>)</w:t>
      </w:r>
      <w:r>
        <w:rPr>
          <w:szCs w:val="24"/>
        </w:rPr>
        <w:t>.</w:t>
      </w:r>
    </w:p>
    <w:p w14:paraId="58A19A43" w14:textId="77777777" w:rsidR="008E552C" w:rsidRDefault="008E552C">
      <w:pPr>
        <w:rPr>
          <w:rFonts w:cs="Times New Roman"/>
          <w:sz w:val="22"/>
        </w:rPr>
      </w:pPr>
    </w:p>
    <w:p w14:paraId="4AA7D5E1" w14:textId="77777777" w:rsidR="008E552C" w:rsidRDefault="00DF303B">
      <w:pPr>
        <w:rPr>
          <w:rFonts w:cs="Times New Roman"/>
          <w:sz w:val="22"/>
          <w:lang w:val="it-IT"/>
        </w:rPr>
      </w:pPr>
      <w:r>
        <w:rPr>
          <w:rFonts w:cs="Times New Roman"/>
          <w:noProof/>
          <w:sz w:val="22"/>
          <w:lang w:val="it-IT"/>
        </w:rPr>
        <w:lastRenderedPageBreak/>
        <w:drawing>
          <wp:inline distT="0" distB="0" distL="114300" distR="114300" wp14:anchorId="45C62893" wp14:editId="5E0F6917">
            <wp:extent cx="6207760" cy="4772660"/>
            <wp:effectExtent l="0" t="0" r="2540" b="8890"/>
            <wp:docPr id="13" name="Picture 13" descr="suppl fig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uppl figure4"/>
                    <pic:cNvPicPr>
                      <a:picLocks noChangeAspect="1"/>
                    </pic:cNvPicPr>
                  </pic:nvPicPr>
                  <pic:blipFill>
                    <a:blip r:embed="rId14"/>
                    <a:stretch>
                      <a:fillRect/>
                    </a:stretch>
                  </pic:blipFill>
                  <pic:spPr>
                    <a:xfrm>
                      <a:off x="0" y="0"/>
                      <a:ext cx="6207760" cy="4772660"/>
                    </a:xfrm>
                    <a:prstGeom prst="rect">
                      <a:avLst/>
                    </a:prstGeom>
                  </pic:spPr>
                </pic:pic>
              </a:graphicData>
            </a:graphic>
          </wp:inline>
        </w:drawing>
      </w:r>
    </w:p>
    <w:p w14:paraId="23C4F4E7" w14:textId="77777777" w:rsidR="008E552C" w:rsidRDefault="00DF303B">
      <w:pPr>
        <w:rPr>
          <w:szCs w:val="24"/>
        </w:rPr>
      </w:pPr>
      <w:r>
        <w:rPr>
          <w:rFonts w:cs="Times New Roman"/>
          <w:b/>
          <w:bCs/>
          <w:szCs w:val="24"/>
        </w:rPr>
        <w:t xml:space="preserve">Supplementary Figure </w:t>
      </w:r>
      <w:r>
        <w:rPr>
          <w:rFonts w:cs="Times New Roman"/>
          <w:b/>
          <w:bCs/>
          <w:szCs w:val="24"/>
        </w:rPr>
        <w:t>5</w:t>
      </w:r>
      <w:r>
        <w:rPr>
          <w:rFonts w:cs="Times New Roman"/>
          <w:b/>
          <w:bCs/>
          <w:szCs w:val="24"/>
        </w:rPr>
        <w:t xml:space="preserve">. </w:t>
      </w:r>
      <w:r>
        <w:rPr>
          <w:rFonts w:cs="Times New Roman"/>
          <w:szCs w:val="24"/>
        </w:rPr>
        <w:t>The p.I384N substitution does not alter the structure of endogenous microtubules. Immunocytochemical analysis of COS-1 cells over-expressing FLAG-tagged TUBA1A (WT and mutant) showed that the p.I384N substitution does not impair the structure of endogenous</w:t>
      </w:r>
      <w:r>
        <w:rPr>
          <w:rFonts w:cs="Times New Roman"/>
          <w:szCs w:val="24"/>
        </w:rPr>
        <w:t xml:space="preserve"> microtubules, labeled for </w:t>
      </w:r>
      <w:r>
        <w:rPr>
          <w:rFonts w:cs="Times New Roman"/>
          <w:szCs w:val="24"/>
          <w:lang w:val="it-IT"/>
        </w:rPr>
        <w:t>β</w:t>
      </w:r>
      <w:r>
        <w:rPr>
          <w:rFonts w:cs="Times New Roman"/>
          <w:szCs w:val="24"/>
        </w:rPr>
        <w:t xml:space="preserve">-tubulin (red). WT and mutated TUBA1A were labeled for FLAG (green). Scale bar: 25 µm. </w:t>
      </w:r>
      <w:r>
        <w:rPr>
          <w:rFonts w:cs="Times New Roman"/>
          <w:szCs w:val="24"/>
        </w:rPr>
        <w:t>(</w:t>
      </w:r>
      <w:r>
        <w:rPr>
          <w:szCs w:val="24"/>
        </w:rPr>
        <w:t>reproduced with permission from '</w:t>
      </w:r>
      <w:proofErr w:type="spellStart"/>
      <w:r>
        <w:rPr>
          <w:rFonts w:eastAsia="SimSun" w:cs="Times New Roman"/>
          <w:color w:val="000000"/>
          <w:szCs w:val="24"/>
          <w:shd w:val="clear" w:color="auto" w:fill="FFFFFF"/>
        </w:rPr>
        <w:t>GeneDx</w:t>
      </w:r>
      <w:proofErr w:type="spellEnd"/>
      <w:r>
        <w:rPr>
          <w:rFonts w:cs="Times New Roman"/>
          <w:color w:val="000000"/>
          <w:szCs w:val="24"/>
          <w:shd w:val="clear" w:color="auto" w:fill="FFFFFF"/>
        </w:rPr>
        <w:t xml:space="preserve"> </w:t>
      </w:r>
      <w:r>
        <w:rPr>
          <w:szCs w:val="24"/>
        </w:rPr>
        <w:t>'(1/31/</w:t>
      </w:r>
      <w:proofErr w:type="gramStart"/>
      <w:r>
        <w:rPr>
          <w:szCs w:val="24"/>
        </w:rPr>
        <w:t>23 )</w:t>
      </w:r>
      <w:proofErr w:type="gramEnd"/>
      <w:r>
        <w:rPr>
          <w:szCs w:val="24"/>
        </w:rPr>
        <w:t>)</w:t>
      </w:r>
      <w:r>
        <w:rPr>
          <w:szCs w:val="24"/>
        </w:rPr>
        <w:t>.</w:t>
      </w:r>
    </w:p>
    <w:p w14:paraId="55F4056D" w14:textId="77777777" w:rsidR="008E552C" w:rsidRDefault="008E552C">
      <w:pPr>
        <w:rPr>
          <w:rFonts w:cs="Times New Roman"/>
          <w:sz w:val="22"/>
        </w:rPr>
      </w:pPr>
    </w:p>
    <w:p w14:paraId="0D8119B1" w14:textId="77777777" w:rsidR="008E552C" w:rsidRDefault="008E552C">
      <w:pPr>
        <w:rPr>
          <w:rFonts w:cs="Times New Roman"/>
          <w:sz w:val="22"/>
        </w:rPr>
      </w:pPr>
    </w:p>
    <w:p w14:paraId="2CC34EC7" w14:textId="77777777" w:rsidR="008E552C" w:rsidRDefault="008E552C">
      <w:pPr>
        <w:rPr>
          <w:rFonts w:cs="Times New Roman"/>
          <w:sz w:val="22"/>
        </w:rPr>
      </w:pPr>
    </w:p>
    <w:p w14:paraId="5BB1F9F7" w14:textId="77777777" w:rsidR="008E552C" w:rsidRDefault="00DF303B">
      <w:pPr>
        <w:rPr>
          <w:rFonts w:cs="Times New Roman"/>
          <w:sz w:val="22"/>
          <w:lang w:val="it-IT"/>
        </w:rPr>
      </w:pPr>
      <w:r>
        <w:rPr>
          <w:rFonts w:cs="Times New Roman"/>
          <w:noProof/>
          <w:sz w:val="22"/>
          <w:lang w:val="it-IT"/>
        </w:rPr>
        <w:lastRenderedPageBreak/>
        <w:drawing>
          <wp:inline distT="0" distB="0" distL="114300" distR="114300" wp14:anchorId="103F8175" wp14:editId="6F5620C5">
            <wp:extent cx="5269865" cy="4892040"/>
            <wp:effectExtent l="0" t="0" r="6985" b="3810"/>
            <wp:docPr id="6" name="Picture 6" descr="SUPPLEMENTARY FIGURE 4-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UPPLEMENTARY FIGURE 4-min"/>
                    <pic:cNvPicPr>
                      <a:picLocks noChangeAspect="1"/>
                    </pic:cNvPicPr>
                  </pic:nvPicPr>
                  <pic:blipFill>
                    <a:blip r:embed="rId15"/>
                    <a:stretch>
                      <a:fillRect/>
                    </a:stretch>
                  </pic:blipFill>
                  <pic:spPr>
                    <a:xfrm>
                      <a:off x="0" y="0"/>
                      <a:ext cx="5269865" cy="4892040"/>
                    </a:xfrm>
                    <a:prstGeom prst="rect">
                      <a:avLst/>
                    </a:prstGeom>
                  </pic:spPr>
                </pic:pic>
              </a:graphicData>
            </a:graphic>
          </wp:inline>
        </w:drawing>
      </w:r>
    </w:p>
    <w:p w14:paraId="55CF521E" w14:textId="77777777" w:rsidR="008E552C" w:rsidRDefault="00DF303B">
      <w:pPr>
        <w:rPr>
          <w:rFonts w:cs="Times New Roman"/>
          <w:szCs w:val="24"/>
          <w:lang w:val="it-IT"/>
        </w:rPr>
      </w:pPr>
      <w:r>
        <w:rPr>
          <w:rFonts w:cs="Times New Roman"/>
          <w:b/>
          <w:bCs/>
          <w:szCs w:val="24"/>
        </w:rPr>
        <w:t xml:space="preserve">Supplementary Figure </w:t>
      </w:r>
      <w:r>
        <w:rPr>
          <w:rFonts w:cs="Times New Roman"/>
          <w:b/>
          <w:bCs/>
          <w:szCs w:val="24"/>
        </w:rPr>
        <w:t>6</w:t>
      </w:r>
      <w:r>
        <w:rPr>
          <w:rFonts w:cs="Times New Roman"/>
          <w:b/>
          <w:bCs/>
          <w:szCs w:val="24"/>
        </w:rPr>
        <w:t>.</w:t>
      </w:r>
      <w:r>
        <w:rPr>
          <w:rFonts w:cs="Times New Roman"/>
          <w:szCs w:val="24"/>
        </w:rPr>
        <w:t xml:space="preserve"> The isoleucine in position 384 is highly conserved among </w:t>
      </w:r>
      <w:r>
        <w:rPr>
          <w:rFonts w:cs="Times New Roman"/>
          <w:szCs w:val="24"/>
          <w:lang w:val="it-IT"/>
        </w:rPr>
        <w:t>α</w:t>
      </w:r>
      <w:r>
        <w:rPr>
          <w:rFonts w:cs="Times New Roman"/>
          <w:szCs w:val="24"/>
        </w:rPr>
        <w:t>-tubulin paralogs. Multiple sequence alignment (</w:t>
      </w:r>
      <w:proofErr w:type="spellStart"/>
      <w:r>
        <w:rPr>
          <w:rFonts w:cs="Times New Roman"/>
          <w:szCs w:val="24"/>
        </w:rPr>
        <w:t>ClustalW</w:t>
      </w:r>
      <w:proofErr w:type="spellEnd"/>
      <w:r>
        <w:rPr>
          <w:rFonts w:cs="Times New Roman"/>
          <w:szCs w:val="24"/>
        </w:rPr>
        <w:t xml:space="preserve">) of the different human </w:t>
      </w:r>
      <w:r>
        <w:rPr>
          <w:rFonts w:cs="Times New Roman"/>
          <w:szCs w:val="24"/>
          <w:lang w:val="it-IT"/>
        </w:rPr>
        <w:t>α</w:t>
      </w:r>
      <w:r>
        <w:rPr>
          <w:rFonts w:cs="Times New Roman"/>
          <w:szCs w:val="24"/>
        </w:rPr>
        <w:t xml:space="preserve">-tubulin isotypes around the isoleucine in position 384 (indicated by the arrow). </w:t>
      </w:r>
      <w:r>
        <w:rPr>
          <w:rFonts w:cs="Times New Roman"/>
          <w:szCs w:val="24"/>
          <w:lang w:val="it-IT"/>
        </w:rPr>
        <w:t>“*” indicates perfect conservation ,“:” indicates strong similarity, “.” indicates weak sim</w:t>
      </w:r>
      <w:r>
        <w:rPr>
          <w:rFonts w:cs="Times New Roman"/>
          <w:szCs w:val="24"/>
          <w:lang w:val="it-IT"/>
        </w:rPr>
        <w:t>ilarity.</w:t>
      </w:r>
    </w:p>
    <w:p w14:paraId="0D8E3D7E" w14:textId="77777777" w:rsidR="008E552C" w:rsidRDefault="00DF303B">
      <w:r>
        <w:rPr>
          <w:rFonts w:cs="Times New Roman"/>
          <w:noProof/>
          <w:sz w:val="22"/>
          <w:lang w:val="it-IT"/>
        </w:rPr>
        <w:lastRenderedPageBreak/>
        <w:drawing>
          <wp:inline distT="0" distB="0" distL="114300" distR="114300" wp14:anchorId="56341968" wp14:editId="27BF7DBB">
            <wp:extent cx="4993005" cy="2779395"/>
            <wp:effectExtent l="0" t="0" r="17145" b="1905"/>
            <wp:docPr id="15" name="Picture 15" descr="suppl 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uppl figure 7"/>
                    <pic:cNvPicPr>
                      <a:picLocks noChangeAspect="1"/>
                    </pic:cNvPicPr>
                  </pic:nvPicPr>
                  <pic:blipFill>
                    <a:blip r:embed="rId16"/>
                    <a:stretch>
                      <a:fillRect/>
                    </a:stretch>
                  </pic:blipFill>
                  <pic:spPr>
                    <a:xfrm>
                      <a:off x="0" y="0"/>
                      <a:ext cx="4993005" cy="2779395"/>
                    </a:xfrm>
                    <a:prstGeom prst="rect">
                      <a:avLst/>
                    </a:prstGeom>
                  </pic:spPr>
                </pic:pic>
              </a:graphicData>
            </a:graphic>
          </wp:inline>
        </w:drawing>
      </w:r>
    </w:p>
    <w:p w14:paraId="24D9B02A" w14:textId="77777777" w:rsidR="008E552C" w:rsidRDefault="008E552C">
      <w:pPr>
        <w:jc w:val="center"/>
        <w:rPr>
          <w:rFonts w:cs="Times New Roman"/>
          <w:sz w:val="22"/>
          <w:lang w:val="it-IT"/>
        </w:rPr>
      </w:pPr>
    </w:p>
    <w:p w14:paraId="4E48073C" w14:textId="77777777" w:rsidR="008E552C" w:rsidRDefault="008E552C"/>
    <w:p w14:paraId="3C4A69AE" w14:textId="77777777" w:rsidR="008E552C" w:rsidRDefault="00DF303B">
      <w:pPr>
        <w:rPr>
          <w:rFonts w:cs="Times New Roman"/>
          <w:szCs w:val="24"/>
          <w:lang w:val="it-IT"/>
        </w:rPr>
      </w:pPr>
      <w:r>
        <w:rPr>
          <w:rFonts w:cs="Times New Roman"/>
          <w:b/>
          <w:bCs/>
          <w:szCs w:val="24"/>
        </w:rPr>
        <w:t>Supplementary Figure</w:t>
      </w:r>
      <w:r>
        <w:rPr>
          <w:rFonts w:cs="Times New Roman"/>
          <w:szCs w:val="24"/>
        </w:rPr>
        <w:t xml:space="preserve"> 7.</w:t>
      </w:r>
      <w:r>
        <w:rPr>
          <w:rFonts w:cs="Times New Roman"/>
          <w:szCs w:val="24"/>
        </w:rPr>
        <w:t xml:space="preserve"> Evaluation of </w:t>
      </w:r>
      <w:r>
        <w:rPr>
          <w:rFonts w:cs="Times New Roman"/>
          <w:i/>
          <w:iCs/>
          <w:szCs w:val="24"/>
        </w:rPr>
        <w:t>TUBA1A</w:t>
      </w:r>
      <w:r>
        <w:rPr>
          <w:rFonts w:cs="Times New Roman"/>
          <w:szCs w:val="24"/>
        </w:rPr>
        <w:t xml:space="preserve"> mRNA expression in transiently transfected HEK-293 cells, untreated or treated with MG132.</w:t>
      </w:r>
      <w:r>
        <w:rPr>
          <w:rFonts w:cs="Times New Roman"/>
          <w:szCs w:val="24"/>
          <w:lang w:val="it-IT"/>
        </w:rPr>
        <w:t xml:space="preserve"> q</w:t>
      </w:r>
      <w:r>
        <w:rPr>
          <w:rFonts w:cs="Times New Roman"/>
          <w:szCs w:val="24"/>
        </w:rPr>
        <w:t xml:space="preserve">RT-PCR experiments conducted on HEK-293 cells over-expressing WT and mutated TUBA1A recombinant proteins did not documented </w:t>
      </w:r>
      <w:r>
        <w:rPr>
          <w:szCs w:val="24"/>
          <w:lang w:eastAsia="en-GB"/>
        </w:rPr>
        <w:t xml:space="preserve">differences in </w:t>
      </w:r>
      <w:r>
        <w:rPr>
          <w:i/>
          <w:iCs/>
          <w:szCs w:val="24"/>
          <w:lang w:eastAsia="en-GB"/>
        </w:rPr>
        <w:t>TUBA1A</w:t>
      </w:r>
      <w:r>
        <w:rPr>
          <w:szCs w:val="24"/>
          <w:lang w:eastAsia="en-GB"/>
        </w:rPr>
        <w:t xml:space="preserve"> mRNA levels. </w:t>
      </w:r>
      <w:r>
        <w:t>Expression values were normalized</w:t>
      </w:r>
      <w:r>
        <w:t xml:space="preserve"> </w:t>
      </w:r>
      <w:r>
        <w:t xml:space="preserve">to </w:t>
      </w:r>
      <w:r>
        <w:rPr>
          <w:i/>
          <w:iCs/>
        </w:rPr>
        <w:t>HPRT</w:t>
      </w:r>
      <w:r>
        <w:t xml:space="preserve"> expression.</w:t>
      </w:r>
      <w:r>
        <w:rPr>
          <w:lang w:val="it-IT"/>
        </w:rPr>
        <w:t xml:space="preserve"> Hisogram shows </w:t>
      </w:r>
      <w:r>
        <w:rPr>
          <w:lang w:val="it-IT"/>
        </w:rPr>
        <w:t>the quantitative analysis of</w:t>
      </w:r>
      <w:r>
        <w:rPr>
          <w:lang w:val="it-IT"/>
        </w:rPr>
        <w:t xml:space="preserve"> </w:t>
      </w:r>
      <w:r>
        <w:rPr>
          <w:i/>
          <w:iCs/>
          <w:lang w:val="it-IT"/>
        </w:rPr>
        <w:t xml:space="preserve">TUBA1A </w:t>
      </w:r>
      <w:r>
        <w:rPr>
          <w:lang w:val="it-IT"/>
        </w:rPr>
        <w:t>gene expression.</w:t>
      </w:r>
      <w:r>
        <w:t xml:space="preserve"> </w:t>
      </w:r>
      <w:r>
        <w:t>The graph reports the mean ± SEM.</w:t>
      </w:r>
      <w:r>
        <w:rPr>
          <w:lang w:val="it-IT"/>
        </w:rPr>
        <w:t xml:space="preserve"> </w:t>
      </w:r>
      <w:r>
        <w:t>Data were analyzed by Mann Whitney</w:t>
      </w:r>
      <w:r>
        <w:rPr>
          <w:szCs w:val="24"/>
        </w:rPr>
        <w:t xml:space="preserve"> test</w:t>
      </w:r>
      <w:r>
        <w:rPr>
          <w:szCs w:val="24"/>
        </w:rPr>
        <w:t>.</w:t>
      </w:r>
      <w:r>
        <w:t xml:space="preserve"> </w:t>
      </w:r>
      <w:r>
        <w:rPr>
          <w:lang w:val="it-IT"/>
        </w:rPr>
        <w:t>N</w:t>
      </w:r>
      <w:r>
        <w:t xml:space="preserve"> </w:t>
      </w:r>
      <w:r>
        <w:rPr>
          <w:lang w:val="it-IT"/>
        </w:rPr>
        <w:t>=3</w:t>
      </w:r>
    </w:p>
    <w:p w14:paraId="0DC50CBC" w14:textId="77777777" w:rsidR="008E552C" w:rsidRDefault="008E552C">
      <w:pPr>
        <w:rPr>
          <w:lang w:val="it-IT"/>
        </w:rPr>
      </w:pPr>
    </w:p>
    <w:p w14:paraId="5B863793" w14:textId="77777777" w:rsidR="008E552C" w:rsidRDefault="00DF303B">
      <w:pPr>
        <w:spacing w:before="240"/>
        <w:jc w:val="center"/>
        <w:rPr>
          <w:lang w:val="it-IT"/>
        </w:rPr>
      </w:pPr>
      <w:r>
        <w:rPr>
          <w:noProof/>
          <w:lang w:val="it-IT"/>
        </w:rPr>
        <w:drawing>
          <wp:inline distT="0" distB="0" distL="114300" distR="114300" wp14:anchorId="78472554" wp14:editId="5C7002C5">
            <wp:extent cx="4521835" cy="3168015"/>
            <wp:effectExtent l="0" t="0" r="12065" b="13335"/>
            <wp:docPr id="17" name="Picture 17" descr="suppl 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uppl figure 8"/>
                    <pic:cNvPicPr>
                      <a:picLocks noChangeAspect="1"/>
                    </pic:cNvPicPr>
                  </pic:nvPicPr>
                  <pic:blipFill>
                    <a:blip r:embed="rId17"/>
                    <a:stretch>
                      <a:fillRect/>
                    </a:stretch>
                  </pic:blipFill>
                  <pic:spPr>
                    <a:xfrm>
                      <a:off x="0" y="0"/>
                      <a:ext cx="4521835" cy="3168015"/>
                    </a:xfrm>
                    <a:prstGeom prst="rect">
                      <a:avLst/>
                    </a:prstGeom>
                  </pic:spPr>
                </pic:pic>
              </a:graphicData>
            </a:graphic>
          </wp:inline>
        </w:drawing>
      </w:r>
    </w:p>
    <w:p w14:paraId="470EF3D8" w14:textId="77777777" w:rsidR="008E552C" w:rsidRDefault="00DF303B">
      <w:pPr>
        <w:spacing w:before="240"/>
      </w:pPr>
      <w:r>
        <w:rPr>
          <w:rFonts w:cs="Times New Roman"/>
          <w:b/>
          <w:bCs/>
          <w:szCs w:val="24"/>
        </w:rPr>
        <w:lastRenderedPageBreak/>
        <w:t xml:space="preserve">Supplementary Figure 8. </w:t>
      </w:r>
      <w:r>
        <w:t>Proteasome inhibition</w:t>
      </w:r>
      <w:r>
        <w:t xml:space="preserve"> increases the percentage of FLAG-positive COS-1 cells over</w:t>
      </w:r>
      <w:r>
        <w:rPr>
          <w:lang w:val="it-IT"/>
        </w:rPr>
        <w:t>-</w:t>
      </w:r>
      <w:r>
        <w:t>expressin</w:t>
      </w:r>
      <w:r>
        <w:t>g</w:t>
      </w:r>
      <w:r>
        <w:t xml:space="preserve"> the mutated FLAG-tagged TUBA1A p</w:t>
      </w:r>
      <w:r>
        <w:t xml:space="preserve">rotein. </w:t>
      </w:r>
      <w:r>
        <w:rPr>
          <w:rFonts w:cs="Times New Roman"/>
          <w:szCs w:val="24"/>
        </w:rPr>
        <w:t xml:space="preserve">The histogram shows the </w:t>
      </w:r>
      <w:r>
        <w:rPr>
          <w:rFonts w:cs="Times New Roman"/>
          <w:szCs w:val="24"/>
          <w:lang w:val="it-IT"/>
        </w:rPr>
        <w:t>percentage</w:t>
      </w:r>
      <w:r>
        <w:rPr>
          <w:rFonts w:cs="Times New Roman"/>
          <w:szCs w:val="24"/>
        </w:rPr>
        <w:t xml:space="preserve"> of COS-1 cells over-expre</w:t>
      </w:r>
      <w:r>
        <w:rPr>
          <w:rFonts w:cs="Times New Roman"/>
          <w:szCs w:val="24"/>
        </w:rPr>
        <w:t>s</w:t>
      </w:r>
      <w:r>
        <w:rPr>
          <w:rFonts w:cs="Times New Roman"/>
          <w:szCs w:val="24"/>
        </w:rPr>
        <w:t xml:space="preserve">sing FLAG-tagged TUBA1A (WT and mutant) </w:t>
      </w:r>
      <w:r>
        <w:rPr>
          <w:rFonts w:cs="Times New Roman"/>
          <w:szCs w:val="24"/>
          <w:lang w:val="it-IT"/>
        </w:rPr>
        <w:t xml:space="preserve">which were positive for the FLAG-staining, </w:t>
      </w:r>
      <w:r>
        <w:rPr>
          <w:rFonts w:cs="Times New Roman"/>
          <w:szCs w:val="24"/>
        </w:rPr>
        <w:t>before and after different times (4, 8, 16 hours) of MG132 treatment. Transfection levels were calculate</w:t>
      </w:r>
      <w:r>
        <w:rPr>
          <w:rFonts w:cs="Times New Roman"/>
          <w:szCs w:val="24"/>
        </w:rPr>
        <w:t xml:space="preserve">d as: (Number of transfected cells/Number of total cell) x 100, of WT and mutated TUBA1A. </w:t>
      </w:r>
      <w:r>
        <w:rPr>
          <w:rFonts w:cs="Times New Roman"/>
          <w:szCs w:val="24"/>
          <w:lang w:val="en-GB"/>
        </w:rPr>
        <w:t>The graph reports the mean ± SEM</w:t>
      </w:r>
      <w:r>
        <w:rPr>
          <w:rFonts w:cs="Times New Roman"/>
          <w:szCs w:val="24"/>
        </w:rPr>
        <w:t xml:space="preserve"> (587 cells from untreated WT, 362 cells from WT after 4 hours of MG132 treatment, 377 cells from WT after 8 hours of MG132 treatment, 338 cells from</w:t>
      </w:r>
      <w:r>
        <w:rPr>
          <w:rFonts w:cs="Times New Roman"/>
          <w:szCs w:val="24"/>
        </w:rPr>
        <w:t xml:space="preserve"> </w:t>
      </w:r>
      <w:r>
        <w:rPr>
          <w:rFonts w:cs="Times New Roman"/>
          <w:szCs w:val="24"/>
        </w:rPr>
        <w:t>WT after 16 hours of MG132 treatment, 319 cells from untreated p.I384N, 340 cells from p.I384N after 4 hou</w:t>
      </w:r>
      <w:r>
        <w:rPr>
          <w:rFonts w:cs="Times New Roman"/>
          <w:szCs w:val="24"/>
        </w:rPr>
        <w:t xml:space="preserve">rs of MG132 treatment, 310 cells from p.I384N </w:t>
      </w:r>
      <w:r>
        <w:rPr>
          <w:rFonts w:cs="Times New Roman"/>
          <w:szCs w:val="24"/>
          <w:lang w:val="it-IT"/>
        </w:rPr>
        <w:t>after</w:t>
      </w:r>
      <w:r>
        <w:rPr>
          <w:rFonts w:cs="Times New Roman"/>
          <w:szCs w:val="24"/>
        </w:rPr>
        <w:t xml:space="preserve"> 8 hours of MG132 treatment, 328 cells from p.I384N after 16 hours of MG132 treatment). </w:t>
      </w:r>
      <w:r>
        <w:t xml:space="preserve">Data were analyzed by </w:t>
      </w:r>
      <w:proofErr w:type="gramStart"/>
      <w:r>
        <w:t>one way</w:t>
      </w:r>
      <w:proofErr w:type="gramEnd"/>
      <w:r>
        <w:t xml:space="preserve"> </w:t>
      </w:r>
      <w:proofErr w:type="spellStart"/>
      <w:r>
        <w:t>Anova</w:t>
      </w:r>
      <w:proofErr w:type="spellEnd"/>
      <w:r>
        <w:t>.</w:t>
      </w:r>
      <w:r>
        <w:rPr>
          <w:rFonts w:cs="Times New Roman"/>
          <w:szCs w:val="24"/>
        </w:rPr>
        <w:t xml:space="preserve"> (</w:t>
      </w:r>
      <w:r>
        <w:rPr>
          <w:szCs w:val="24"/>
        </w:rPr>
        <w:t>reproduced with permission from '</w:t>
      </w:r>
      <w:proofErr w:type="spellStart"/>
      <w:r>
        <w:rPr>
          <w:rFonts w:eastAsia="SimSun" w:cs="Times New Roman"/>
          <w:color w:val="000000"/>
          <w:szCs w:val="24"/>
          <w:shd w:val="clear" w:color="auto" w:fill="FFFFFF"/>
        </w:rPr>
        <w:t>GeneDx</w:t>
      </w:r>
      <w:proofErr w:type="spellEnd"/>
      <w:r>
        <w:rPr>
          <w:rFonts w:cs="Times New Roman"/>
          <w:color w:val="000000"/>
          <w:szCs w:val="24"/>
          <w:shd w:val="clear" w:color="auto" w:fill="FFFFFF"/>
        </w:rPr>
        <w:t xml:space="preserve"> </w:t>
      </w:r>
      <w:r>
        <w:rPr>
          <w:szCs w:val="24"/>
        </w:rPr>
        <w:t>'(1/31/</w:t>
      </w:r>
      <w:proofErr w:type="gramStart"/>
      <w:r>
        <w:rPr>
          <w:szCs w:val="24"/>
        </w:rPr>
        <w:t>23 )</w:t>
      </w:r>
      <w:proofErr w:type="gramEnd"/>
      <w:r>
        <w:rPr>
          <w:szCs w:val="24"/>
        </w:rPr>
        <w:t>.</w:t>
      </w:r>
    </w:p>
    <w:sectPr w:rsidR="008E552C">
      <w:headerReference w:type="even" r:id="rId18"/>
      <w:footerReference w:type="even" r:id="rId19"/>
      <w:footerReference w:type="default" r:id="rId20"/>
      <w:headerReference w:type="first" r:id="rId21"/>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89DB67" w14:textId="77777777" w:rsidR="00DF303B" w:rsidRDefault="00DF303B">
      <w:pPr>
        <w:spacing w:before="0" w:after="0"/>
      </w:pPr>
      <w:r>
        <w:separator/>
      </w:r>
    </w:p>
  </w:endnote>
  <w:endnote w:type="continuationSeparator" w:id="0">
    <w:p w14:paraId="7C5D9166" w14:textId="77777777" w:rsidR="00DF303B" w:rsidRDefault="00DF303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3CECA" w14:textId="77777777" w:rsidR="008E552C" w:rsidRDefault="00DF303B">
    <w:pPr>
      <w:rPr>
        <w:color w:val="C00000"/>
        <w:szCs w:val="24"/>
      </w:rPr>
    </w:pPr>
    <w:r>
      <w:rPr>
        <w:noProof/>
        <w:lang w:val="en-GB" w:eastAsia="en-GB"/>
      </w:rPr>
      <mc:AlternateContent>
        <mc:Choice Requires="wps">
          <w:drawing>
            <wp:anchor distT="0" distB="0" distL="114300" distR="114300" simplePos="0" relativeHeight="251660288" behindDoc="0" locked="0" layoutInCell="1" allowOverlap="1" wp14:anchorId="52E3B3E0" wp14:editId="047877D6">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B282E26" w14:textId="77777777" w:rsidR="008E552C" w:rsidRDefault="00DF303B">
                          <w:pPr>
                            <w:jc w:val="right"/>
                            <w:rPr>
                              <w:color w:val="000000" w:themeColor="text1"/>
                              <w:szCs w:val="40"/>
                            </w:rPr>
                          </w:pPr>
                          <w:r>
                            <w:rPr>
                              <w:color w:val="000000" w:themeColor="text1"/>
                              <w:szCs w:val="40"/>
                            </w:rPr>
                            <w:fldChar w:fldCharType="begin"/>
                          </w:r>
                          <w:r>
                            <w:rPr>
                              <w:color w:val="000000" w:themeColor="text1"/>
                              <w:szCs w:val="40"/>
                            </w:rPr>
                            <w:instrText xml:space="preserve"> PAGE  \* Arabic  \* MERGEFORMAT </w:instrText>
                          </w:r>
                          <w:r>
                            <w:rPr>
                              <w:color w:val="000000" w:themeColor="text1"/>
                              <w:szCs w:val="40"/>
                            </w:rPr>
                            <w:fldChar w:fldCharType="separate"/>
                          </w:r>
                          <w:r>
                            <w:rPr>
                              <w:color w:val="000000" w:themeColor="text1"/>
                              <w:szCs w:val="40"/>
                            </w:rPr>
                            <w:t>2</w:t>
                          </w:r>
                          <w:r>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left:434.15pt;margin-top:724.2pt;height:31.15pt;width:118.8pt;mso-position-horizontal-relative:page;mso-position-vertical-relative:page;z-index:251660288;mso-width-relative:page;mso-height-relative:page;" filled="f" stroked="f" coordsize="21600,21600" o:gfxdata="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TFdEItIAAAAEAQAADwAAAAAAAAABACAAAAAiAAAAZHJzL2Rvd25yZXYueG1sUEsBAhQA&#10;FAAAAAgAh07iQFsR1fExAgAAcwQAAA4AAAAAAAAAAQAgAAAAIQEAAGRycy9lMm9Eb2MueG1sUEsF&#10;BgAAAAAGAAYAWQEAAMQFAAAAAA==&#10;">
              <v:fill on="f" focussize="0,0"/>
              <v:stroke on="f" weight="0.5pt"/>
              <v:imagedata o:title=""/>
              <o:lock v:ext="edit" aspectratio="f"/>
              <v:textbox style="mso-fit-shape-to-text:t;">
                <w:txbxContent>
                  <w:p>
                    <w:pPr>
                      <w:jc w:val="right"/>
                      <w:rPr>
                        <w:color w:val="000000" w:themeColor="text1"/>
                        <w:szCs w:val="40"/>
                        <w14:textFill>
                          <w14:solidFill>
                            <w14:schemeClr w14:val="tx1"/>
                          </w14:solidFill>
                        </w14:textFill>
                      </w:rPr>
                    </w:pPr>
                    <w:r>
                      <w:rPr>
                        <w:color w:val="000000" w:themeColor="text1"/>
                        <w:szCs w:val="40"/>
                        <w14:textFill>
                          <w14:solidFill>
                            <w14:schemeClr w14:val="tx1"/>
                          </w14:solidFill>
                        </w14:textFill>
                      </w:rPr>
                      <w:fldChar w:fldCharType="begin"/>
                    </w:r>
                    <w:r>
                      <w:rPr>
                        <w:color w:val="000000" w:themeColor="text1"/>
                        <w:szCs w:val="40"/>
                        <w14:textFill>
                          <w14:solidFill>
                            <w14:schemeClr w14:val="tx1"/>
                          </w14:solidFill>
                        </w14:textFill>
                      </w:rPr>
                      <w:instrText xml:space="preserve"> PAGE  \* Arabic  \* MERGEFORMAT </w:instrText>
                    </w:r>
                    <w:r>
                      <w:rPr>
                        <w:color w:val="000000" w:themeColor="text1"/>
                        <w:szCs w:val="40"/>
                        <w14:textFill>
                          <w14:solidFill>
                            <w14:schemeClr w14:val="tx1"/>
                          </w14:solidFill>
                        </w14:textFill>
                      </w:rPr>
                      <w:fldChar w:fldCharType="separate"/>
                    </w:r>
                    <w:r>
                      <w:rPr>
                        <w:color w:val="000000" w:themeColor="text1"/>
                        <w:szCs w:val="40"/>
                        <w14:textFill>
                          <w14:solidFill>
                            <w14:schemeClr w14:val="tx1"/>
                          </w14:solidFill>
                        </w14:textFill>
                      </w:rPr>
                      <w:t>2</w:t>
                    </w:r>
                    <w:r>
                      <w:rPr>
                        <w:color w:val="000000" w:themeColor="text1"/>
                        <w:szCs w:val="40"/>
                        <w14:textFill>
                          <w14:solidFill>
                            <w14:schemeClr w14:val="tx1"/>
                          </w14:solidFill>
                        </w14:textFill>
                      </w:rPr>
                      <w:fldChar w:fldCharType="end"/>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4087D" w14:textId="77777777" w:rsidR="008E552C" w:rsidRDefault="00DF303B">
    <w:pPr>
      <w:rPr>
        <w:b/>
        <w:sz w:val="20"/>
        <w:szCs w:val="24"/>
      </w:rPr>
    </w:pPr>
    <w:r>
      <w:rPr>
        <w:noProof/>
        <w:lang w:val="en-GB" w:eastAsia="en-GB"/>
      </w:rPr>
      <mc:AlternateContent>
        <mc:Choice Requires="wps">
          <w:drawing>
            <wp:anchor distT="0" distB="0" distL="114300" distR="114300" simplePos="0" relativeHeight="251659264" behindDoc="0" locked="0" layoutInCell="1" allowOverlap="1" wp14:anchorId="1C9A0FF5" wp14:editId="5D62DAD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315AFE8" w14:textId="77777777" w:rsidR="008E552C" w:rsidRDefault="00DF303B">
                          <w:pPr>
                            <w:jc w:val="right"/>
                            <w:rPr>
                              <w:color w:val="000000" w:themeColor="text1"/>
                              <w:szCs w:val="40"/>
                            </w:rPr>
                          </w:pPr>
                          <w:r>
                            <w:rPr>
                              <w:color w:val="000000" w:themeColor="text1"/>
                              <w:szCs w:val="40"/>
                            </w:rPr>
                            <w:fldChar w:fldCharType="begin"/>
                          </w:r>
                          <w:r>
                            <w:rPr>
                              <w:color w:val="000000" w:themeColor="text1"/>
                              <w:szCs w:val="40"/>
                            </w:rPr>
                            <w:instrText xml:space="preserve"> </w:instrText>
                          </w:r>
                          <w:r>
                            <w:rPr>
                              <w:color w:val="000000" w:themeColor="text1"/>
                              <w:szCs w:val="40"/>
                            </w:rPr>
                            <w:instrText xml:space="preserve">PAGE  \* Arabic  \* MERGEFORMAT </w:instrText>
                          </w:r>
                          <w:r>
                            <w:rPr>
                              <w:color w:val="000000" w:themeColor="text1"/>
                              <w:szCs w:val="40"/>
                            </w:rPr>
                            <w:fldChar w:fldCharType="separate"/>
                          </w:r>
                          <w:r>
                            <w:rPr>
                              <w:color w:val="000000" w:themeColor="text1"/>
                              <w:szCs w:val="40"/>
                            </w:rPr>
                            <w:t>3</w:t>
                          </w:r>
                          <w:r>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left:434.15pt;margin-top:726.5pt;height:31.15pt;width:118.8pt;mso-position-horizontal-relative:page;mso-position-vertical-relative:page;z-index:251659264;mso-width-relative:page;mso-height-relative:page;" filled="f" stroked="f" coordsize="21600,21600" o:gfxdata="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MV0Qi0gAAAAQBAAAPAAAAAAAAAAEAIAAAACIAAABkcnMvZG93bnJldi54bWxQSwEC&#10;FAAUAAAACACHTuJARAcAODMCAAB1BAAADgAAAAAAAAABACAAAAAhAQAAZHJzL2Uyb0RvYy54bWxQ&#10;SwUGAAAAAAYABgBZAQAAxgUAAAAA&#10;">
              <v:fill on="f" focussize="0,0"/>
              <v:stroke on="f" weight="0.5pt"/>
              <v:imagedata o:title=""/>
              <o:lock v:ext="edit" aspectratio="f"/>
              <v:textbox style="mso-fit-shape-to-text:t;">
                <w:txbxContent>
                  <w:p>
                    <w:pPr>
                      <w:jc w:val="right"/>
                      <w:rPr>
                        <w:color w:val="000000" w:themeColor="text1"/>
                        <w:szCs w:val="40"/>
                        <w14:textFill>
                          <w14:solidFill>
                            <w14:schemeClr w14:val="tx1"/>
                          </w14:solidFill>
                        </w14:textFill>
                      </w:rPr>
                    </w:pPr>
                    <w:r>
                      <w:rPr>
                        <w:color w:val="000000" w:themeColor="text1"/>
                        <w:szCs w:val="40"/>
                        <w14:textFill>
                          <w14:solidFill>
                            <w14:schemeClr w14:val="tx1"/>
                          </w14:solidFill>
                        </w14:textFill>
                      </w:rPr>
                      <w:fldChar w:fldCharType="begin"/>
                    </w:r>
                    <w:r>
                      <w:rPr>
                        <w:color w:val="000000" w:themeColor="text1"/>
                        <w:szCs w:val="40"/>
                        <w14:textFill>
                          <w14:solidFill>
                            <w14:schemeClr w14:val="tx1"/>
                          </w14:solidFill>
                        </w14:textFill>
                      </w:rPr>
                      <w:instrText xml:space="preserve"> PAGE  \* Arabic  \* MERGEFORMAT </w:instrText>
                    </w:r>
                    <w:r>
                      <w:rPr>
                        <w:color w:val="000000" w:themeColor="text1"/>
                        <w:szCs w:val="40"/>
                        <w14:textFill>
                          <w14:solidFill>
                            <w14:schemeClr w14:val="tx1"/>
                          </w14:solidFill>
                        </w14:textFill>
                      </w:rPr>
                      <w:fldChar w:fldCharType="separate"/>
                    </w:r>
                    <w:r>
                      <w:rPr>
                        <w:color w:val="000000" w:themeColor="text1"/>
                        <w:szCs w:val="40"/>
                        <w14:textFill>
                          <w14:solidFill>
                            <w14:schemeClr w14:val="tx1"/>
                          </w14:solidFill>
                        </w14:textFill>
                      </w:rPr>
                      <w:t>3</w:t>
                    </w:r>
                    <w:r>
                      <w:rPr>
                        <w:color w:val="000000" w:themeColor="text1"/>
                        <w:szCs w:val="40"/>
                        <w14:textFill>
                          <w14:solidFill>
                            <w14:schemeClr w14:val="tx1"/>
                          </w14:solidFill>
                        </w14:textFill>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4EDA14" w14:textId="77777777" w:rsidR="00DF303B" w:rsidRDefault="00DF303B">
      <w:pPr>
        <w:spacing w:before="0" w:after="0"/>
      </w:pPr>
      <w:r>
        <w:separator/>
      </w:r>
    </w:p>
  </w:footnote>
  <w:footnote w:type="continuationSeparator" w:id="0">
    <w:p w14:paraId="725A6537" w14:textId="77777777" w:rsidR="00DF303B" w:rsidRDefault="00DF303B">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18817" w14:textId="77777777" w:rsidR="008E552C" w:rsidRDefault="00DF303B">
    <w:pPr>
      <w:rPr>
        <w:rFonts w:cs="Times New Roman"/>
      </w:rPr>
    </w:pPr>
    <w:r>
      <w:rPr>
        <w:rFonts w:cs="Times New Roman"/>
      </w:rPr>
      <w:ptab w:relativeTo="margin" w:alignment="center" w:leader="none"/>
    </w:r>
    <w:r>
      <w:rPr>
        <w:rFonts w:cs="Times New Roman"/>
      </w:rPr>
      <w:ptab w:relativeTo="margin" w:alignment="right" w:leader="none"/>
    </w:r>
    <w:r>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DB0A6" w14:textId="77777777" w:rsidR="008E552C" w:rsidRDefault="00DF303B">
    <w:r>
      <w:rPr>
        <w:b/>
        <w:noProof/>
        <w:color w:val="A6A6A6" w:themeColor="background1" w:themeShade="A6"/>
        <w:lang w:val="en-GB" w:eastAsia="en-GB"/>
      </w:rPr>
      <w:drawing>
        <wp:inline distT="0" distB="0" distL="0" distR="0" wp14:anchorId="3472EDE2" wp14:editId="381CC747">
          <wp:extent cx="1382395" cy="496570"/>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534909" cy="551877"/>
                  </a:xfrm>
                  <a:prstGeom prst="rect">
                    <a:avLst/>
                  </a:prstGeom>
                  <a:noFill/>
                  <a:ln>
                    <a:noFill/>
                  </a:ln>
                </pic:spPr>
              </pic:pic>
            </a:graphicData>
          </a:graphic>
        </wp:inline>
      </w:drawing>
    </w:r>
    <w:r>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C0601A"/>
    <w:multiLevelType w:val="multilevel"/>
    <w:tmpl w:val="1EC0601A"/>
    <w:lvl w:ilvl="0">
      <w:start w:val="1"/>
      <w:numFmt w:val="decimal"/>
      <w:pStyle w:val="Heading1"/>
      <w:lvlText w:val="%1"/>
      <w:lvlJc w:val="left"/>
      <w:pPr>
        <w:tabs>
          <w:tab w:val="left" w:pos="567"/>
        </w:tabs>
        <w:ind w:left="567" w:hanging="567"/>
      </w:pPr>
      <w:rPr>
        <w:rFonts w:hint="default"/>
      </w:rPr>
    </w:lvl>
    <w:lvl w:ilvl="1">
      <w:start w:val="1"/>
      <w:numFmt w:val="decimal"/>
      <w:pStyle w:val="Heading2"/>
      <w:lvlText w:val="%1.%2"/>
      <w:lvlJc w:val="left"/>
      <w:pPr>
        <w:tabs>
          <w:tab w:val="left" w:pos="567"/>
        </w:tabs>
        <w:ind w:left="567" w:hanging="567"/>
      </w:pPr>
      <w:rPr>
        <w:rFonts w:hint="default"/>
      </w:rPr>
    </w:lvl>
    <w:lvl w:ilvl="2">
      <w:start w:val="1"/>
      <w:numFmt w:val="decimal"/>
      <w:pStyle w:val="Heading3"/>
      <w:lvlText w:val="%1.%2.%3"/>
      <w:lvlJc w:val="left"/>
      <w:pPr>
        <w:tabs>
          <w:tab w:val="left" w:pos="567"/>
        </w:tabs>
        <w:ind w:left="567" w:hanging="567"/>
      </w:pPr>
      <w:rPr>
        <w:rFonts w:hint="default"/>
      </w:rPr>
    </w:lvl>
    <w:lvl w:ilvl="3">
      <w:start w:val="1"/>
      <w:numFmt w:val="decimal"/>
      <w:pStyle w:val="Heading4"/>
      <w:lvlText w:val="%1.%2.%3.%4"/>
      <w:lvlJc w:val="left"/>
      <w:pPr>
        <w:tabs>
          <w:tab w:val="left" w:pos="567"/>
        </w:tabs>
        <w:ind w:left="567" w:hanging="567"/>
      </w:pPr>
      <w:rPr>
        <w:rFonts w:hint="default"/>
      </w:rPr>
    </w:lvl>
    <w:lvl w:ilvl="4">
      <w:start w:val="1"/>
      <w:numFmt w:val="decimal"/>
      <w:pStyle w:val="Heading5"/>
      <w:lvlText w:val="%1.%2.%3.%4.%5"/>
      <w:lvlJc w:val="left"/>
      <w:pPr>
        <w:tabs>
          <w:tab w:val="left" w:pos="567"/>
        </w:tabs>
        <w:ind w:left="567" w:hanging="567"/>
      </w:pPr>
      <w:rPr>
        <w:rFonts w:hint="default"/>
      </w:rPr>
    </w:lvl>
    <w:lvl w:ilvl="5">
      <w:start w:val="1"/>
      <w:numFmt w:val="lowerRoman"/>
      <w:lvlText w:val="%6."/>
      <w:lvlJc w:val="right"/>
      <w:pPr>
        <w:tabs>
          <w:tab w:val="left" w:pos="567"/>
        </w:tabs>
        <w:ind w:left="567" w:hanging="567"/>
      </w:pPr>
      <w:rPr>
        <w:rFonts w:hint="default"/>
      </w:rPr>
    </w:lvl>
    <w:lvl w:ilvl="6">
      <w:start w:val="1"/>
      <w:numFmt w:val="decimal"/>
      <w:lvlText w:val="%7."/>
      <w:lvlJc w:val="left"/>
      <w:pPr>
        <w:tabs>
          <w:tab w:val="left" w:pos="567"/>
        </w:tabs>
        <w:ind w:left="567" w:hanging="567"/>
      </w:pPr>
      <w:rPr>
        <w:rFonts w:hint="default"/>
      </w:rPr>
    </w:lvl>
    <w:lvl w:ilvl="7">
      <w:start w:val="1"/>
      <w:numFmt w:val="lowerLetter"/>
      <w:lvlText w:val="%8."/>
      <w:lvlJc w:val="left"/>
      <w:pPr>
        <w:tabs>
          <w:tab w:val="left" w:pos="567"/>
        </w:tabs>
        <w:ind w:left="567" w:hanging="567"/>
      </w:pPr>
      <w:rPr>
        <w:rFonts w:hint="default"/>
      </w:rPr>
    </w:lvl>
    <w:lvl w:ilvl="8">
      <w:start w:val="1"/>
      <w:numFmt w:val="lowerRoman"/>
      <w:lvlText w:val="%9."/>
      <w:lvlJc w:val="right"/>
      <w:pPr>
        <w:tabs>
          <w:tab w:val="left" w:pos="567"/>
        </w:tabs>
        <w:ind w:left="567" w:hanging="567"/>
      </w:pPr>
      <w:rPr>
        <w:rFonts w:hint="default"/>
      </w:rPr>
    </w:lvl>
  </w:abstractNum>
  <w:abstractNum w:abstractNumId="1" w15:restartNumberingAfterBreak="0">
    <w:nsid w:val="225305B5"/>
    <w:multiLevelType w:val="multilevel"/>
    <w:tmpl w:val="225305B5"/>
    <w:lvl w:ilvl="0">
      <w:start w:val="1"/>
      <w:numFmt w:val="bullet"/>
      <w:pStyle w:val="ListParagraph"/>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trackRevisions/>
  <w:defaultTabStop w:val="720"/>
  <w:evenAndOddHeaders/>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0B5"/>
    <w:rsid w:val="0001436A"/>
    <w:rsid w:val="00034304"/>
    <w:rsid w:val="00035434"/>
    <w:rsid w:val="00052A14"/>
    <w:rsid w:val="00077D53"/>
    <w:rsid w:val="00105FD9"/>
    <w:rsid w:val="00117666"/>
    <w:rsid w:val="001549D3"/>
    <w:rsid w:val="00160065"/>
    <w:rsid w:val="00177D84"/>
    <w:rsid w:val="00267D18"/>
    <w:rsid w:val="00274347"/>
    <w:rsid w:val="002868E2"/>
    <w:rsid w:val="002869C3"/>
    <w:rsid w:val="002936E4"/>
    <w:rsid w:val="002B4A57"/>
    <w:rsid w:val="002C74CA"/>
    <w:rsid w:val="003123F4"/>
    <w:rsid w:val="003544FB"/>
    <w:rsid w:val="003D2F2D"/>
    <w:rsid w:val="00401590"/>
    <w:rsid w:val="00447801"/>
    <w:rsid w:val="00452E9C"/>
    <w:rsid w:val="004735C8"/>
    <w:rsid w:val="004947A6"/>
    <w:rsid w:val="004961FF"/>
    <w:rsid w:val="00517A89"/>
    <w:rsid w:val="005250F2"/>
    <w:rsid w:val="00593EEA"/>
    <w:rsid w:val="005A5EEE"/>
    <w:rsid w:val="006375C7"/>
    <w:rsid w:val="00654E8F"/>
    <w:rsid w:val="00660D05"/>
    <w:rsid w:val="006820B1"/>
    <w:rsid w:val="006B7D14"/>
    <w:rsid w:val="00701727"/>
    <w:rsid w:val="0070566C"/>
    <w:rsid w:val="00714C50"/>
    <w:rsid w:val="00725A7D"/>
    <w:rsid w:val="007501BE"/>
    <w:rsid w:val="00763AE0"/>
    <w:rsid w:val="00790BB3"/>
    <w:rsid w:val="007C206C"/>
    <w:rsid w:val="007F6B04"/>
    <w:rsid w:val="00817DD6"/>
    <w:rsid w:val="0083759F"/>
    <w:rsid w:val="00885156"/>
    <w:rsid w:val="008E552C"/>
    <w:rsid w:val="009151AA"/>
    <w:rsid w:val="0093429D"/>
    <w:rsid w:val="00943573"/>
    <w:rsid w:val="00964134"/>
    <w:rsid w:val="00970F7D"/>
    <w:rsid w:val="00994A3D"/>
    <w:rsid w:val="009C2B12"/>
    <w:rsid w:val="009E28DD"/>
    <w:rsid w:val="00A174D9"/>
    <w:rsid w:val="00AA4D24"/>
    <w:rsid w:val="00AB6715"/>
    <w:rsid w:val="00B1671E"/>
    <w:rsid w:val="00B25EB8"/>
    <w:rsid w:val="00B37F4D"/>
    <w:rsid w:val="00C52A7B"/>
    <w:rsid w:val="00C56BAF"/>
    <w:rsid w:val="00C679AA"/>
    <w:rsid w:val="00C75972"/>
    <w:rsid w:val="00CC230E"/>
    <w:rsid w:val="00CD066B"/>
    <w:rsid w:val="00CE4FEE"/>
    <w:rsid w:val="00D060CF"/>
    <w:rsid w:val="00DB59C3"/>
    <w:rsid w:val="00DC259A"/>
    <w:rsid w:val="00DE23E8"/>
    <w:rsid w:val="00DF303B"/>
    <w:rsid w:val="00E52377"/>
    <w:rsid w:val="00E537AD"/>
    <w:rsid w:val="00E64E17"/>
    <w:rsid w:val="00E866C9"/>
    <w:rsid w:val="00EA3D3C"/>
    <w:rsid w:val="00EC090A"/>
    <w:rsid w:val="00ED20B5"/>
    <w:rsid w:val="00F46900"/>
    <w:rsid w:val="00F61D89"/>
    <w:rsid w:val="039A4658"/>
    <w:rsid w:val="09F174A6"/>
    <w:rsid w:val="0A040E82"/>
    <w:rsid w:val="0A2628A0"/>
    <w:rsid w:val="0B56282B"/>
    <w:rsid w:val="13D070DB"/>
    <w:rsid w:val="155F0DA4"/>
    <w:rsid w:val="162A7263"/>
    <w:rsid w:val="20A80484"/>
    <w:rsid w:val="38074E65"/>
    <w:rsid w:val="39E43708"/>
    <w:rsid w:val="3A475486"/>
    <w:rsid w:val="3D123839"/>
    <w:rsid w:val="482A48FE"/>
    <w:rsid w:val="49203D66"/>
    <w:rsid w:val="49FD3D79"/>
    <w:rsid w:val="4F0F044E"/>
    <w:rsid w:val="56681806"/>
    <w:rsid w:val="5B4E4110"/>
    <w:rsid w:val="5FD66A11"/>
    <w:rsid w:val="67307C52"/>
    <w:rsid w:val="6CA23AD0"/>
    <w:rsid w:val="6EA01A9B"/>
    <w:rsid w:val="6FFF20E3"/>
    <w:rsid w:val="7B2660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618D19"/>
  <w15:docId w15:val="{9DB44AA2-EC08-4CFE-A400-7F0F1149A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2" w:qFormat="1"/>
    <w:lsdException w:name="heading 2" w:uiPriority="2" w:qFormat="1"/>
    <w:lsdException w:name="heading 3" w:uiPriority="2" w:qFormat="1"/>
    <w:lsdException w:name="heading 4" w:uiPriority="2" w:qFormat="1"/>
    <w:lsdException w:name="heading 5" w:uiPriority="2"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qFormat="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20" w:after="240"/>
    </w:pPr>
    <w:rPr>
      <w:rFonts w:eastAsiaTheme="minorHAnsi" w:cstheme="minorBidi"/>
      <w:sz w:val="24"/>
      <w:szCs w:val="22"/>
      <w:lang w:val="en-US" w:eastAsia="en-US"/>
    </w:rPr>
  </w:style>
  <w:style w:type="paragraph" w:styleId="Heading1">
    <w:name w:val="heading 1"/>
    <w:basedOn w:val="ListParagraph"/>
    <w:next w:val="Normal"/>
    <w:link w:val="Heading1Char"/>
    <w:uiPriority w:val="2"/>
    <w:qFormat/>
    <w:pPr>
      <w:numPr>
        <w:numId w:val="1"/>
      </w:numPr>
      <w:spacing w:before="240"/>
      <w:contextualSpacing w:val="0"/>
      <w:outlineLvl w:val="0"/>
    </w:pPr>
    <w:rPr>
      <w:b/>
    </w:rPr>
  </w:style>
  <w:style w:type="paragraph" w:styleId="Heading2">
    <w:name w:val="heading 2"/>
    <w:basedOn w:val="Heading1"/>
    <w:next w:val="Normal"/>
    <w:link w:val="Heading2Char"/>
    <w:uiPriority w:val="2"/>
    <w:qFormat/>
    <w:pPr>
      <w:numPr>
        <w:ilvl w:val="1"/>
      </w:numPr>
      <w:spacing w:after="200"/>
      <w:outlineLvl w:val="1"/>
    </w:pPr>
  </w:style>
  <w:style w:type="paragraph" w:styleId="Heading3">
    <w:name w:val="heading 3"/>
    <w:basedOn w:val="Normal"/>
    <w:next w:val="Normal"/>
    <w:link w:val="Heading3Char"/>
    <w:uiPriority w:val="2"/>
    <w:qFormat/>
    <w:pPr>
      <w:keepNext/>
      <w:keepLines/>
      <w:numPr>
        <w:ilvl w:val="2"/>
        <w:numId w:val="1"/>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pPr>
      <w:numPr>
        <w:ilvl w:val="3"/>
      </w:numPr>
      <w:outlineLvl w:val="3"/>
    </w:pPr>
    <w:rPr>
      <w:iCs/>
    </w:rPr>
  </w:style>
  <w:style w:type="paragraph" w:styleId="Heading5">
    <w:name w:val="heading 5"/>
    <w:basedOn w:val="Heading4"/>
    <w:next w:val="Normal"/>
    <w:link w:val="Heading5Char"/>
    <w:uiPriority w:val="2"/>
    <w:qFormat/>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
    <w:qFormat/>
    <w:pPr>
      <w:numPr>
        <w:numId w:val="2"/>
      </w:numPr>
      <w:contextualSpacing/>
    </w:pPr>
    <w:rPr>
      <w:rFonts w:eastAsia="Cambria" w:cs="Times New Roman"/>
      <w:szCs w:val="24"/>
    </w:rPr>
  </w:style>
  <w:style w:type="paragraph" w:styleId="BalloonText">
    <w:name w:val="Balloon Text"/>
    <w:basedOn w:val="Normal"/>
    <w:link w:val="BalloonTextChar"/>
    <w:uiPriority w:val="99"/>
    <w:semiHidden/>
    <w:unhideWhenUsed/>
    <w:qFormat/>
    <w:pPr>
      <w:spacing w:after="0"/>
    </w:pPr>
    <w:rPr>
      <w:rFonts w:ascii="Tahoma" w:hAnsi="Tahoma" w:cs="Tahoma"/>
      <w:sz w:val="16"/>
      <w:szCs w:val="16"/>
    </w:rPr>
  </w:style>
  <w:style w:type="paragraph" w:styleId="Caption">
    <w:name w:val="caption"/>
    <w:basedOn w:val="Normal"/>
    <w:next w:val="NoSpacing"/>
    <w:uiPriority w:val="35"/>
    <w:unhideWhenUsed/>
    <w:qFormat/>
    <w:pPr>
      <w:keepNext/>
    </w:pPr>
    <w:rPr>
      <w:rFonts w:cs="Times New Roman"/>
      <w:b/>
      <w:bCs/>
      <w:szCs w:val="24"/>
    </w:rPr>
  </w:style>
  <w:style w:type="paragraph" w:styleId="NoSpacing">
    <w:name w:val="No Spacing"/>
    <w:uiPriority w:val="99"/>
    <w:unhideWhenUsed/>
    <w:qFormat/>
    <w:rPr>
      <w:rFonts w:eastAsiaTheme="minorHAnsi" w:cstheme="minorBidi"/>
      <w:sz w:val="24"/>
      <w:szCs w:val="22"/>
      <w:lang w:val="en-US" w:eastAsia="en-US"/>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qFormat/>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styleId="Emphasis">
    <w:name w:val="Emphasis"/>
    <w:basedOn w:val="DefaultParagraphFont"/>
    <w:uiPriority w:val="20"/>
    <w:qFormat/>
    <w:rPr>
      <w:rFonts w:ascii="Times New Roman" w:hAnsi="Times New Roman"/>
      <w:i/>
      <w:iCs/>
    </w:rPr>
  </w:style>
  <w:style w:type="character" w:styleId="EndnoteReference">
    <w:name w:val="endnote reference"/>
    <w:basedOn w:val="DefaultParagraphFont"/>
    <w:uiPriority w:val="99"/>
    <w:semiHidden/>
    <w:unhideWhenUsed/>
    <w:qFormat/>
    <w:rPr>
      <w:vertAlign w:val="superscript"/>
    </w:rPr>
  </w:style>
  <w:style w:type="paragraph" w:styleId="EndnoteText">
    <w:name w:val="endnote text"/>
    <w:basedOn w:val="Normal"/>
    <w:link w:val="EndnoteTextChar"/>
    <w:uiPriority w:val="99"/>
    <w:semiHidden/>
    <w:unhideWhenUsed/>
    <w:qFormat/>
    <w:pPr>
      <w:spacing w:after="0"/>
    </w:pPr>
    <w:rPr>
      <w:sz w:val="20"/>
      <w:szCs w:val="20"/>
    </w:rPr>
  </w:style>
  <w:style w:type="character" w:styleId="FollowedHyperlink">
    <w:name w:val="FollowedHyperlink"/>
    <w:basedOn w:val="DefaultParagraphFont"/>
    <w:uiPriority w:val="99"/>
    <w:semiHidden/>
    <w:unhideWhenUsed/>
    <w:qFormat/>
    <w:rPr>
      <w:color w:val="800080" w:themeColor="followedHyperlink"/>
      <w:u w:val="single"/>
    </w:rPr>
  </w:style>
  <w:style w:type="paragraph" w:styleId="Footer">
    <w:name w:val="footer"/>
    <w:basedOn w:val="Normal"/>
    <w:link w:val="FooterChar"/>
    <w:uiPriority w:val="99"/>
    <w:unhideWhenUsed/>
    <w:qFormat/>
    <w:pPr>
      <w:tabs>
        <w:tab w:val="center" w:pos="4844"/>
        <w:tab w:val="right" w:pos="9689"/>
      </w:tabs>
      <w:spacing w:after="0"/>
    </w:pPr>
  </w:style>
  <w:style w:type="character" w:styleId="FootnoteReference">
    <w:name w:val="footnote reference"/>
    <w:basedOn w:val="DefaultParagraphFont"/>
    <w:uiPriority w:val="99"/>
    <w:semiHidden/>
    <w:unhideWhenUsed/>
    <w:qFormat/>
    <w:rPr>
      <w:vertAlign w:val="superscript"/>
    </w:rPr>
  </w:style>
  <w:style w:type="paragraph" w:styleId="FootnoteText">
    <w:name w:val="footnote text"/>
    <w:basedOn w:val="Normal"/>
    <w:link w:val="FootnoteTextChar"/>
    <w:uiPriority w:val="99"/>
    <w:semiHidden/>
    <w:unhideWhenUsed/>
    <w:qFormat/>
    <w:pPr>
      <w:spacing w:after="0"/>
    </w:pPr>
    <w:rPr>
      <w:sz w:val="20"/>
      <w:szCs w:val="20"/>
    </w:rPr>
  </w:style>
  <w:style w:type="paragraph" w:styleId="Header">
    <w:name w:val="header"/>
    <w:basedOn w:val="Normal"/>
    <w:link w:val="HeaderChar"/>
    <w:uiPriority w:val="99"/>
    <w:unhideWhenUsed/>
    <w:qFormat/>
    <w:pPr>
      <w:tabs>
        <w:tab w:val="center" w:pos="4844"/>
        <w:tab w:val="right" w:pos="9689"/>
      </w:tabs>
    </w:pPr>
    <w:rPr>
      <w:b/>
    </w:rPr>
  </w:style>
  <w:style w:type="character" w:styleId="Hyperlink">
    <w:name w:val="Hyperlink"/>
    <w:basedOn w:val="DefaultParagraphFont"/>
    <w:uiPriority w:val="99"/>
    <w:unhideWhenUsed/>
    <w:qFormat/>
    <w:rPr>
      <w:color w:val="0000FF"/>
      <w:u w:val="single"/>
    </w:rPr>
  </w:style>
  <w:style w:type="character" w:styleId="LineNumber">
    <w:name w:val="line number"/>
    <w:basedOn w:val="DefaultParagraphFont"/>
    <w:uiPriority w:val="99"/>
    <w:semiHidden/>
    <w:unhideWhenUsed/>
    <w:qFormat/>
  </w:style>
  <w:style w:type="paragraph" w:styleId="NormalWeb">
    <w:name w:val="Normal (Web)"/>
    <w:basedOn w:val="Normal"/>
    <w:uiPriority w:val="99"/>
    <w:unhideWhenUsed/>
    <w:qFormat/>
    <w:pPr>
      <w:spacing w:before="100" w:beforeAutospacing="1" w:after="100" w:afterAutospacing="1"/>
    </w:pPr>
    <w:rPr>
      <w:rFonts w:eastAsia="Times New Roman" w:cs="Times New Roman"/>
      <w:szCs w:val="24"/>
    </w:rPr>
  </w:style>
  <w:style w:type="character" w:styleId="Strong">
    <w:name w:val="Strong"/>
    <w:basedOn w:val="DefaultParagraphFont"/>
    <w:uiPriority w:val="22"/>
    <w:qFormat/>
    <w:rPr>
      <w:rFonts w:ascii="Times New Roman" w:hAnsi="Times New Roman"/>
      <w:b/>
      <w:bCs/>
    </w:rPr>
  </w:style>
  <w:style w:type="paragraph" w:styleId="Subtitle">
    <w:name w:val="Subtitle"/>
    <w:basedOn w:val="Normal"/>
    <w:next w:val="Normal"/>
    <w:link w:val="SubtitleChar"/>
    <w:uiPriority w:val="99"/>
    <w:unhideWhenUsed/>
    <w:qFormat/>
    <w:pPr>
      <w:spacing w:before="240"/>
    </w:pPr>
    <w:rPr>
      <w:rFonts w:cs="Times New Roman"/>
      <w:b/>
      <w:szCs w:val="24"/>
    </w:rPr>
  </w:style>
  <w:style w:type="table" w:styleId="TableGrid">
    <w:name w:val="Table Grid"/>
    <w:basedOn w:val="TableNormal"/>
    <w:uiPriority w:val="59"/>
    <w:qFormat/>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pPr>
      <w:suppressLineNumbers/>
      <w:spacing w:before="240" w:after="360"/>
      <w:jc w:val="center"/>
    </w:pPr>
    <w:rPr>
      <w:rFonts w:cs="Times New Roman"/>
      <w:b/>
      <w:sz w:val="32"/>
      <w:szCs w:val="32"/>
    </w:rPr>
  </w:style>
  <w:style w:type="character" w:customStyle="1" w:styleId="Heading1Char">
    <w:name w:val="Heading 1 Char"/>
    <w:basedOn w:val="DefaultParagraphFont"/>
    <w:link w:val="Heading1"/>
    <w:uiPriority w:val="2"/>
    <w:qFormat/>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qFormat/>
    <w:rPr>
      <w:rFonts w:ascii="Times New Roman" w:eastAsia="Cambria" w:hAnsi="Times New Roman" w:cs="Times New Roman"/>
      <w:b/>
      <w:sz w:val="24"/>
      <w:szCs w:val="24"/>
    </w:rPr>
  </w:style>
  <w:style w:type="character" w:customStyle="1" w:styleId="SubtitleChar">
    <w:name w:val="Subtitle Char"/>
    <w:basedOn w:val="DefaultParagraphFont"/>
    <w:link w:val="Subtitle"/>
    <w:uiPriority w:val="99"/>
    <w:qFormat/>
    <w:rPr>
      <w:rFonts w:ascii="Times New Roman" w:hAnsi="Times New Roman" w:cs="Times New Roman"/>
      <w:b/>
      <w:sz w:val="24"/>
      <w:szCs w:val="24"/>
    </w:rPr>
  </w:style>
  <w:style w:type="paragraph" w:customStyle="1" w:styleId="AuthorList">
    <w:name w:val="Author List"/>
    <w:basedOn w:val="Subtitle"/>
    <w:next w:val="Normal"/>
    <w:uiPriority w:val="1"/>
    <w:qFormat/>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Titolodellibro1">
    <w:name w:val="Titolo del libro1"/>
    <w:basedOn w:val="DefaultParagraphFont"/>
    <w:uiPriority w:val="33"/>
    <w:qFormat/>
    <w:rPr>
      <w:rFonts w:ascii="Times New Roman" w:hAnsi="Times New Roman"/>
      <w:b/>
      <w:bCs/>
      <w:i/>
      <w:iCs/>
      <w:spacing w:val="5"/>
    </w:rPr>
  </w:style>
  <w:style w:type="character" w:customStyle="1" w:styleId="CommentTextChar">
    <w:name w:val="Comment Text Char"/>
    <w:basedOn w:val="DefaultParagraphFont"/>
    <w:link w:val="CommentText"/>
    <w:uiPriority w:val="99"/>
    <w:semiHidden/>
    <w:qFormat/>
    <w:rPr>
      <w:rFonts w:ascii="Times New Roman" w:hAnsi="Times New Roman"/>
      <w:sz w:val="20"/>
      <w:szCs w:val="20"/>
    </w:rPr>
  </w:style>
  <w:style w:type="character" w:customStyle="1" w:styleId="CommentSubjectChar">
    <w:name w:val="Comment Subject Char"/>
    <w:basedOn w:val="CommentTextChar"/>
    <w:link w:val="CommentSubject"/>
    <w:uiPriority w:val="99"/>
    <w:semiHidden/>
    <w:qFormat/>
    <w:rPr>
      <w:rFonts w:ascii="Times New Roman" w:hAnsi="Times New Roman"/>
      <w:b/>
      <w:bCs/>
      <w:sz w:val="20"/>
      <w:szCs w:val="20"/>
    </w:rPr>
  </w:style>
  <w:style w:type="character" w:customStyle="1" w:styleId="EndnoteTextChar">
    <w:name w:val="Endnote Text Char"/>
    <w:basedOn w:val="DefaultParagraphFont"/>
    <w:link w:val="EndnoteText"/>
    <w:uiPriority w:val="99"/>
    <w:semiHidden/>
    <w:qFormat/>
    <w:rPr>
      <w:rFonts w:ascii="Times New Roman" w:hAnsi="Times New Roman"/>
      <w:sz w:val="20"/>
      <w:szCs w:val="20"/>
    </w:rPr>
  </w:style>
  <w:style w:type="character" w:customStyle="1" w:styleId="FooterChar">
    <w:name w:val="Footer Char"/>
    <w:basedOn w:val="DefaultParagraphFont"/>
    <w:link w:val="Footer"/>
    <w:uiPriority w:val="99"/>
    <w:qFormat/>
    <w:rPr>
      <w:rFonts w:ascii="Times New Roman" w:hAnsi="Times New Roman"/>
      <w:sz w:val="24"/>
    </w:rPr>
  </w:style>
  <w:style w:type="character" w:customStyle="1" w:styleId="FootnoteTextChar">
    <w:name w:val="Footnote Text Char"/>
    <w:basedOn w:val="DefaultParagraphFont"/>
    <w:link w:val="FootnoteText"/>
    <w:uiPriority w:val="99"/>
    <w:semiHidden/>
    <w:qFormat/>
    <w:rPr>
      <w:rFonts w:ascii="Times New Roman" w:hAnsi="Times New Roman"/>
      <w:sz w:val="20"/>
      <w:szCs w:val="20"/>
    </w:rPr>
  </w:style>
  <w:style w:type="character" w:customStyle="1" w:styleId="HeaderChar">
    <w:name w:val="Header Char"/>
    <w:basedOn w:val="DefaultParagraphFont"/>
    <w:link w:val="Header"/>
    <w:uiPriority w:val="99"/>
    <w:qFormat/>
    <w:rPr>
      <w:rFonts w:ascii="Times New Roman" w:hAnsi="Times New Roman"/>
      <w:b/>
      <w:sz w:val="24"/>
    </w:rPr>
  </w:style>
  <w:style w:type="character" w:customStyle="1" w:styleId="Enfasiintensa1">
    <w:name w:val="Enfasi intensa1"/>
    <w:basedOn w:val="DefaultParagraphFont"/>
    <w:uiPriority w:val="21"/>
    <w:unhideWhenUsed/>
    <w:qFormat/>
    <w:rPr>
      <w:rFonts w:ascii="Times New Roman" w:hAnsi="Times New Roman"/>
      <w:i/>
      <w:iCs/>
      <w:color w:val="auto"/>
    </w:rPr>
  </w:style>
  <w:style w:type="character" w:customStyle="1" w:styleId="Riferimentointenso1">
    <w:name w:val="Riferimento intenso1"/>
    <w:basedOn w:val="DefaultParagraphFont"/>
    <w:uiPriority w:val="32"/>
    <w:qFormat/>
    <w:rPr>
      <w:b/>
      <w:bCs/>
      <w:smallCaps/>
      <w:color w:val="auto"/>
      <w:spacing w:val="5"/>
    </w:rPr>
  </w:style>
  <w:style w:type="character" w:customStyle="1" w:styleId="Heading3Char">
    <w:name w:val="Heading 3 Char"/>
    <w:basedOn w:val="DefaultParagraphFont"/>
    <w:link w:val="Heading3"/>
    <w:uiPriority w:val="2"/>
    <w:qFormat/>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qFormat/>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qFormat/>
    <w:rPr>
      <w:rFonts w:ascii="Times New Roman" w:eastAsiaTheme="majorEastAsia" w:hAnsi="Times New Roman" w:cstheme="majorBidi"/>
      <w:b/>
      <w:iCs/>
      <w:sz w:val="24"/>
      <w:szCs w:val="24"/>
    </w:rPr>
  </w:style>
  <w:style w:type="paragraph" w:styleId="Quote">
    <w:name w:val="Quote"/>
    <w:basedOn w:val="Normal"/>
    <w:next w:val="Normal"/>
    <w:link w:val="QuoteChar"/>
    <w:uiPriority w:val="29"/>
    <w:qFormat/>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Pr>
      <w:rFonts w:ascii="Times New Roman" w:hAnsi="Times New Roman"/>
      <w:i/>
      <w:iCs/>
      <w:color w:val="404040" w:themeColor="text1" w:themeTint="BF"/>
      <w:sz w:val="24"/>
    </w:rPr>
  </w:style>
  <w:style w:type="character" w:customStyle="1" w:styleId="Enfasidelicata1">
    <w:name w:val="Enfasi delicata1"/>
    <w:basedOn w:val="DefaultParagraphFont"/>
    <w:uiPriority w:val="19"/>
    <w:qFormat/>
    <w:rPr>
      <w:rFonts w:ascii="Times New Roman" w:hAnsi="Times New Roman"/>
      <w:i/>
      <w:iCs/>
      <w:color w:val="404040" w:themeColor="text1" w:themeTint="BF"/>
    </w:rPr>
  </w:style>
  <w:style w:type="character" w:customStyle="1" w:styleId="TitleChar">
    <w:name w:val="Title Char"/>
    <w:basedOn w:val="DefaultParagraphFont"/>
    <w:link w:val="Title"/>
    <w:qFormat/>
    <w:rPr>
      <w:rFonts w:ascii="Times New Roman" w:hAnsi="Times New Roman" w:cs="Times New Roman"/>
      <w:b/>
      <w:sz w:val="32"/>
      <w:szCs w:val="32"/>
    </w:rPr>
  </w:style>
  <w:style w:type="paragraph" w:customStyle="1" w:styleId="SupplementaryMaterial">
    <w:name w:val="Supplementary Material"/>
    <w:basedOn w:val="Title"/>
    <w:next w:val="Title"/>
    <w:qFormat/>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tif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mailto:antonella.sferra@opbg.net" TargetMode="External"/><Relationship Id="rId14" Type="http://schemas.openxmlformats.org/officeDocument/2006/relationships/image" Target="media/image5.jpe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1CD80D9-E370-413F-983F-A32E4DCDEB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0</TotalTime>
  <Pages>9</Pages>
  <Words>1099</Words>
  <Characters>6270</Characters>
  <Application>Microsoft Office Word</Application>
  <DocSecurity>0</DocSecurity>
  <Lines>52</Lines>
  <Paragraphs>14</Paragraphs>
  <ScaleCrop>false</ScaleCrop>
  <Company>Frontiers Media</Company>
  <LinksUpToDate>false</LinksUpToDate>
  <CharactersWithSpaces>7355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 Media SA</dc:creator>
  <cp:lastModifiedBy>Xanthe Davison</cp:lastModifiedBy>
  <cp:revision>2</cp:revision>
  <cp:lastPrinted>2013-10-03T12:51:00Z</cp:lastPrinted>
  <dcterms:created xsi:type="dcterms:W3CDTF">2023-06-20T10:37:00Z</dcterms:created>
  <dcterms:modified xsi:type="dcterms:W3CDTF">2023-06-20T10:37:00Z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1033-11.2.0.11219</vt:lpwstr>
  </property>
  <property fmtid="{D5CDD505-2E9C-101B-9397-08002B2CF9AE}" pid="3" name="ICV">
    <vt:lpwstr>30F7F35E65C34D129E10A34554ADA125</vt:lpwstr>
  </property>
</Properties>
</file>