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6F504" w14:textId="46227724" w:rsidR="001D0D8C" w:rsidRDefault="001D0D8C" w:rsidP="00FC4F2A">
      <w:pPr>
        <w:spacing w:line="360" w:lineRule="auto"/>
        <w:rPr>
          <w:rFonts w:ascii="Times New Roman" w:eastAsia="宋体" w:hAnsi="Times New Roman" w:cs="Times New Roman"/>
          <w:b/>
          <w:bCs/>
          <w:sz w:val="24"/>
          <w:szCs w:val="24"/>
        </w:rPr>
      </w:pPr>
      <w:r w:rsidRPr="001D0D8C">
        <w:rPr>
          <w:rFonts w:ascii="Times New Roman" w:eastAsia="宋体" w:hAnsi="Times New Roman" w:cs="Times New Roman"/>
          <w:b/>
          <w:bCs/>
          <w:sz w:val="24"/>
          <w:szCs w:val="24"/>
        </w:rPr>
        <w:t xml:space="preserve">Figure S1. </w:t>
      </w:r>
      <w:r w:rsidRPr="001D0D8C">
        <w:rPr>
          <w:rFonts w:ascii="Times New Roman" w:eastAsia="宋体" w:hAnsi="Times New Roman" w:cs="Times New Roman"/>
          <w:sz w:val="24"/>
          <w:szCs w:val="24"/>
        </w:rPr>
        <w:t>(A-L) The Kaplan–Meier survival curve of PDHA1, GLS, LIPT1, CDKN2A, NLRP3, GCSH, DLST, NFE2L2, DBT, SLC31A1, ATP7A, and ATP7B.</w:t>
      </w:r>
    </w:p>
    <w:p w14:paraId="7C54135D" w14:textId="7025F29A" w:rsidR="00291C4C" w:rsidRDefault="00291C4C" w:rsidP="00FC4F2A">
      <w:pPr>
        <w:spacing w:line="360" w:lineRule="auto"/>
        <w:rPr>
          <w:rFonts w:ascii="Times New Roman" w:eastAsia="宋体" w:hAnsi="Times New Roman" w:cs="Times New Roman"/>
          <w:b/>
          <w:bCs/>
          <w:sz w:val="24"/>
          <w:szCs w:val="24"/>
        </w:rPr>
      </w:pPr>
      <w:r w:rsidRPr="003D2002">
        <w:rPr>
          <w:rFonts w:ascii="Times New Roman" w:eastAsia="宋体" w:hAnsi="Times New Roman" w:cs="Times New Roman"/>
          <w:b/>
          <w:bCs/>
          <w:sz w:val="24"/>
          <w:szCs w:val="24"/>
        </w:rPr>
        <w:t>Figure S</w:t>
      </w:r>
      <w:r w:rsidR="001D0D8C">
        <w:rPr>
          <w:rFonts w:ascii="Times New Roman" w:eastAsia="宋体" w:hAnsi="Times New Roman" w:cs="Times New Roman"/>
          <w:b/>
          <w:bCs/>
          <w:sz w:val="24"/>
          <w:szCs w:val="24"/>
        </w:rPr>
        <w:t>2</w:t>
      </w:r>
      <w:r w:rsidRPr="003D2002">
        <w:rPr>
          <w:rFonts w:ascii="Times New Roman" w:eastAsia="宋体" w:hAnsi="Times New Roman" w:cs="Times New Roman"/>
          <w:b/>
          <w:bCs/>
          <w:sz w:val="24"/>
          <w:szCs w:val="24"/>
        </w:rPr>
        <w:t>.</w:t>
      </w:r>
      <w:r w:rsidRPr="00212D36">
        <w:rPr>
          <w:rFonts w:ascii="Times New Roman" w:eastAsia="宋体" w:hAnsi="Times New Roman" w:cs="Times New Roman"/>
          <w:sz w:val="24"/>
          <w:szCs w:val="24"/>
        </w:rPr>
        <w:t xml:space="preserve"> (A) The genomic position and SCNA of CRGs, red means the SCNA frequency of gain is greater than that of loss, and blue means the SCNA frequency of loss is greater than that of gain. </w:t>
      </w:r>
      <w:bookmarkStart w:id="0" w:name="_Hlk130760910"/>
      <w:r w:rsidRPr="00212D36">
        <w:rPr>
          <w:rFonts w:ascii="Times New Roman" w:eastAsia="宋体" w:hAnsi="Times New Roman" w:cs="Times New Roman"/>
          <w:sz w:val="24"/>
          <w:szCs w:val="24"/>
        </w:rPr>
        <w:t xml:space="preserve">(B) The legend of the consensus matrix. (C-J) Consensus clustering matrix when k = 2-9. (K) Consensus clustering CDF with k valued 2 to 9. (L) Relative change in area under CDF curve for k = 2. </w:t>
      </w:r>
      <w:r w:rsidR="00440648" w:rsidRPr="00212D36">
        <w:rPr>
          <w:rFonts w:ascii="Times New Roman" w:eastAsia="宋体" w:hAnsi="Times New Roman" w:cs="Times New Roman"/>
          <w:sz w:val="24"/>
          <w:szCs w:val="24"/>
        </w:rPr>
        <w:t>(</w:t>
      </w:r>
      <w:r w:rsidR="00440648">
        <w:rPr>
          <w:rFonts w:ascii="Times New Roman" w:eastAsia="宋体" w:hAnsi="Times New Roman" w:cs="Times New Roman"/>
          <w:sz w:val="24"/>
          <w:szCs w:val="24"/>
        </w:rPr>
        <w:t>M</w:t>
      </w:r>
      <w:r w:rsidR="00440648" w:rsidRPr="00212D36">
        <w:rPr>
          <w:rFonts w:ascii="Times New Roman" w:eastAsia="宋体" w:hAnsi="Times New Roman" w:cs="Times New Roman"/>
          <w:sz w:val="24"/>
          <w:szCs w:val="24"/>
        </w:rPr>
        <w:t>)</w:t>
      </w:r>
      <w:r w:rsidR="00440648" w:rsidRPr="00440648">
        <w:t xml:space="preserve"> </w:t>
      </w:r>
      <w:r w:rsidR="00440648" w:rsidRPr="00440648">
        <w:rPr>
          <w:rFonts w:ascii="Times New Roman" w:eastAsia="宋体" w:hAnsi="Times New Roman" w:cs="Times New Roman"/>
          <w:sz w:val="24"/>
          <w:szCs w:val="24"/>
        </w:rPr>
        <w:t>item tracking plot</w:t>
      </w:r>
      <w:r w:rsidR="00440648">
        <w:rPr>
          <w:rFonts w:ascii="Times New Roman" w:eastAsia="宋体" w:hAnsi="Times New Roman" w:cs="Times New Roman"/>
          <w:sz w:val="24"/>
          <w:szCs w:val="24"/>
        </w:rPr>
        <w:t>.</w:t>
      </w:r>
      <w:r w:rsidR="00440648" w:rsidRPr="00212D36">
        <w:rPr>
          <w:rFonts w:ascii="Times New Roman" w:eastAsia="宋体" w:hAnsi="Times New Roman" w:cs="Times New Roman"/>
          <w:sz w:val="24"/>
          <w:szCs w:val="24"/>
        </w:rPr>
        <w:t xml:space="preserve"> </w:t>
      </w:r>
      <w:bookmarkEnd w:id="0"/>
      <w:r w:rsidRPr="00212D36">
        <w:rPr>
          <w:rFonts w:ascii="Times New Roman" w:eastAsia="宋体" w:hAnsi="Times New Roman" w:cs="Times New Roman"/>
          <w:sz w:val="24"/>
          <w:szCs w:val="24"/>
        </w:rPr>
        <w:t>(</w:t>
      </w:r>
      <w:r w:rsidR="00440648">
        <w:rPr>
          <w:rFonts w:ascii="Times New Roman" w:eastAsia="宋体" w:hAnsi="Times New Roman" w:cs="Times New Roman"/>
          <w:sz w:val="24"/>
          <w:szCs w:val="24"/>
        </w:rPr>
        <w:t>N</w:t>
      </w:r>
      <w:r w:rsidRPr="00212D36">
        <w:rPr>
          <w:rFonts w:ascii="Times New Roman" w:eastAsia="宋体" w:hAnsi="Times New Roman" w:cs="Times New Roman"/>
          <w:sz w:val="24"/>
          <w:szCs w:val="24"/>
        </w:rPr>
        <w:t>) Box plot of the results of GSVA.</w:t>
      </w:r>
      <w:r w:rsidRPr="003D2002">
        <w:rPr>
          <w:rFonts w:ascii="Times New Roman" w:eastAsia="宋体" w:hAnsi="Times New Roman" w:cs="Times New Roman" w:hint="eastAsia"/>
          <w:b/>
          <w:bCs/>
          <w:sz w:val="24"/>
          <w:szCs w:val="24"/>
        </w:rPr>
        <w:t xml:space="preserve"> </w:t>
      </w:r>
    </w:p>
    <w:p w14:paraId="4E043650" w14:textId="71FF6519" w:rsidR="00291C4C" w:rsidRDefault="00291C4C" w:rsidP="00FC4F2A">
      <w:pPr>
        <w:spacing w:line="360" w:lineRule="auto"/>
        <w:rPr>
          <w:rFonts w:ascii="Times New Roman" w:eastAsia="宋体" w:hAnsi="Times New Roman" w:cs="Times New Roman"/>
          <w:sz w:val="24"/>
          <w:szCs w:val="24"/>
        </w:rPr>
      </w:pPr>
      <w:r w:rsidRPr="003D2002">
        <w:rPr>
          <w:rFonts w:ascii="Times New Roman" w:eastAsia="宋体" w:hAnsi="Times New Roman" w:cs="Times New Roman"/>
          <w:b/>
          <w:bCs/>
          <w:sz w:val="24"/>
          <w:szCs w:val="24"/>
        </w:rPr>
        <w:t>Figure S</w:t>
      </w:r>
      <w:r w:rsidR="001D0D8C">
        <w:rPr>
          <w:rFonts w:ascii="Times New Roman" w:eastAsia="宋体" w:hAnsi="Times New Roman" w:cs="Times New Roman"/>
          <w:b/>
          <w:bCs/>
          <w:sz w:val="24"/>
          <w:szCs w:val="24"/>
        </w:rPr>
        <w:t>3</w:t>
      </w:r>
      <w:r w:rsidRPr="003D2002">
        <w:rPr>
          <w:rFonts w:ascii="Times New Roman" w:eastAsia="宋体" w:hAnsi="Times New Roman" w:cs="Times New Roman"/>
          <w:b/>
          <w:bCs/>
          <w:sz w:val="24"/>
          <w:szCs w:val="24"/>
        </w:rPr>
        <w:t>.</w:t>
      </w:r>
      <w:r w:rsidRPr="00212D36">
        <w:rPr>
          <w:rFonts w:ascii="Times New Roman" w:eastAsia="宋体" w:hAnsi="Times New Roman" w:cs="Times New Roman"/>
          <w:sz w:val="24"/>
          <w:szCs w:val="24"/>
        </w:rPr>
        <w:t xml:space="preserve"> The heatmap (A) and boxplot (B)of the expression of immune checkpoint molecules between the two clusters. The heatmap (C) and boxplot (D) of the expression of genes that inhibit the cancer-immunity cycle between the two clusters. (E) The heatmap of the differentially expressed genes between the two clusters (Adjusted p&lt;0.05 and | log2FC| &gt; 0.585). (F) The comparison of risk score between </w:t>
      </w:r>
      <w:proofErr w:type="spellStart"/>
      <w:r w:rsidRPr="00212D36">
        <w:rPr>
          <w:rFonts w:ascii="Times New Roman" w:eastAsia="宋体" w:hAnsi="Times New Roman" w:cs="Times New Roman"/>
          <w:sz w:val="24"/>
          <w:szCs w:val="24"/>
        </w:rPr>
        <w:t>cuproptosis</w:t>
      </w:r>
      <w:proofErr w:type="spellEnd"/>
      <w:r w:rsidRPr="00212D36">
        <w:rPr>
          <w:rFonts w:ascii="Times New Roman" w:eastAsia="宋体" w:hAnsi="Times New Roman" w:cs="Times New Roman"/>
          <w:sz w:val="24"/>
          <w:szCs w:val="24"/>
        </w:rPr>
        <w:t xml:space="preserve"> subtypes.</w:t>
      </w:r>
      <w:r>
        <w:rPr>
          <w:rFonts w:ascii="Times New Roman" w:eastAsia="宋体" w:hAnsi="Times New Roman" w:cs="Times New Roman" w:hint="eastAsia"/>
          <w:sz w:val="24"/>
          <w:szCs w:val="24"/>
        </w:rPr>
        <w:t xml:space="preserve"> </w:t>
      </w:r>
    </w:p>
    <w:p w14:paraId="4AACAD83" w14:textId="54488D2A" w:rsidR="00291C4C" w:rsidRDefault="00291C4C" w:rsidP="00FC4F2A">
      <w:pPr>
        <w:spacing w:line="360" w:lineRule="auto"/>
        <w:rPr>
          <w:rFonts w:ascii="Times New Roman" w:eastAsia="宋体" w:hAnsi="Times New Roman" w:cs="Times New Roman"/>
          <w:sz w:val="24"/>
          <w:szCs w:val="24"/>
        </w:rPr>
      </w:pPr>
      <w:r w:rsidRPr="003D2002">
        <w:rPr>
          <w:rFonts w:ascii="Times New Roman" w:eastAsia="宋体" w:hAnsi="Times New Roman" w:cs="Times New Roman"/>
          <w:b/>
          <w:bCs/>
          <w:sz w:val="24"/>
          <w:szCs w:val="24"/>
        </w:rPr>
        <w:t>Figure S</w:t>
      </w:r>
      <w:r w:rsidR="001D0D8C">
        <w:rPr>
          <w:rFonts w:ascii="Times New Roman" w:eastAsia="宋体" w:hAnsi="Times New Roman" w:cs="Times New Roman"/>
          <w:b/>
          <w:bCs/>
          <w:sz w:val="24"/>
          <w:szCs w:val="24"/>
        </w:rPr>
        <w:t>4</w:t>
      </w:r>
      <w:r w:rsidRPr="003D2002">
        <w:rPr>
          <w:rFonts w:ascii="Times New Roman" w:eastAsia="宋体" w:hAnsi="Times New Roman" w:cs="Times New Roman"/>
          <w:b/>
          <w:bCs/>
          <w:sz w:val="24"/>
          <w:szCs w:val="24"/>
        </w:rPr>
        <w:t xml:space="preserve">. </w:t>
      </w:r>
      <w:r w:rsidRPr="00212D36">
        <w:rPr>
          <w:rFonts w:ascii="Times New Roman" w:eastAsia="宋体" w:hAnsi="Times New Roman" w:cs="Times New Roman"/>
          <w:sz w:val="24"/>
          <w:szCs w:val="24"/>
        </w:rPr>
        <w:t>(A-AS) Forty-five chemotherapy drugs with lower IC50 values in the high-risk group.</w:t>
      </w:r>
      <w:r>
        <w:rPr>
          <w:rFonts w:ascii="Times New Roman" w:eastAsia="宋体" w:hAnsi="Times New Roman" w:cs="Times New Roman" w:hint="eastAsia"/>
          <w:sz w:val="24"/>
          <w:szCs w:val="24"/>
        </w:rPr>
        <w:t xml:space="preserve"> </w:t>
      </w:r>
    </w:p>
    <w:p w14:paraId="781FB5A4" w14:textId="3B89949D" w:rsidR="00291C4C" w:rsidRDefault="00291C4C" w:rsidP="00FC4F2A">
      <w:pPr>
        <w:spacing w:line="360" w:lineRule="auto"/>
        <w:rPr>
          <w:rFonts w:ascii="Times New Roman" w:eastAsia="宋体" w:hAnsi="Times New Roman" w:cs="Times New Roman"/>
          <w:sz w:val="24"/>
          <w:szCs w:val="24"/>
        </w:rPr>
      </w:pPr>
      <w:r w:rsidRPr="003D2002">
        <w:rPr>
          <w:rFonts w:ascii="Times New Roman" w:eastAsia="宋体" w:hAnsi="Times New Roman" w:cs="Times New Roman"/>
          <w:b/>
          <w:bCs/>
          <w:sz w:val="24"/>
          <w:szCs w:val="24"/>
        </w:rPr>
        <w:t>Figure S</w:t>
      </w:r>
      <w:r w:rsidR="001D0D8C">
        <w:rPr>
          <w:rFonts w:ascii="Times New Roman" w:eastAsia="宋体" w:hAnsi="Times New Roman" w:cs="Times New Roman"/>
          <w:b/>
          <w:bCs/>
          <w:sz w:val="24"/>
          <w:szCs w:val="24"/>
        </w:rPr>
        <w:t>5</w:t>
      </w:r>
      <w:r w:rsidRPr="003D2002">
        <w:rPr>
          <w:rFonts w:ascii="Times New Roman" w:eastAsia="宋体" w:hAnsi="Times New Roman" w:cs="Times New Roman"/>
          <w:b/>
          <w:bCs/>
          <w:sz w:val="24"/>
          <w:szCs w:val="24"/>
        </w:rPr>
        <w:t>.</w:t>
      </w:r>
      <w:r w:rsidRPr="00212D36">
        <w:rPr>
          <w:rFonts w:ascii="Times New Roman" w:eastAsia="宋体" w:hAnsi="Times New Roman" w:cs="Times New Roman"/>
          <w:sz w:val="24"/>
          <w:szCs w:val="24"/>
        </w:rPr>
        <w:t xml:space="preserve"> (A-H) Eight chemotherapy drugs with lower IC50 values in the low-risk group. </w:t>
      </w:r>
    </w:p>
    <w:p w14:paraId="4C3E1B9D" w14:textId="77777777" w:rsidR="00291C4C" w:rsidRDefault="00291C4C" w:rsidP="00FC4F2A">
      <w:pPr>
        <w:spacing w:line="360" w:lineRule="auto"/>
        <w:rPr>
          <w:rFonts w:ascii="Times New Roman" w:eastAsia="宋体" w:hAnsi="Times New Roman" w:cs="Times New Roman"/>
          <w:sz w:val="24"/>
          <w:szCs w:val="24"/>
        </w:rPr>
      </w:pPr>
      <w:r w:rsidRPr="003D2002">
        <w:rPr>
          <w:rFonts w:ascii="Times New Roman" w:eastAsia="宋体" w:hAnsi="Times New Roman" w:cs="Times New Roman"/>
          <w:b/>
          <w:bCs/>
          <w:sz w:val="24"/>
          <w:szCs w:val="24"/>
        </w:rPr>
        <w:t xml:space="preserve">Table S1. </w:t>
      </w:r>
      <w:r w:rsidRPr="00212D36">
        <w:rPr>
          <w:rFonts w:ascii="Times New Roman" w:eastAsia="宋体" w:hAnsi="Times New Roman" w:cs="Times New Roman"/>
          <w:sz w:val="24"/>
          <w:szCs w:val="24"/>
        </w:rPr>
        <w:t xml:space="preserve">The basic clinical characteristics of the nine cohorts of </w:t>
      </w:r>
      <w:proofErr w:type="spellStart"/>
      <w:r w:rsidRPr="00212D36">
        <w:rPr>
          <w:rFonts w:ascii="Times New Roman" w:eastAsia="宋体" w:hAnsi="Times New Roman" w:cs="Times New Roman"/>
          <w:sz w:val="24"/>
          <w:szCs w:val="24"/>
        </w:rPr>
        <w:t>PCa</w:t>
      </w:r>
      <w:proofErr w:type="spellEnd"/>
      <w:r w:rsidRPr="00212D36">
        <w:rPr>
          <w:rFonts w:ascii="Times New Roman" w:eastAsia="宋体" w:hAnsi="Times New Roman" w:cs="Times New Roman"/>
          <w:sz w:val="24"/>
          <w:szCs w:val="24"/>
        </w:rPr>
        <w:t>.</w:t>
      </w:r>
      <w:r>
        <w:rPr>
          <w:rFonts w:ascii="Times New Roman" w:eastAsia="宋体" w:hAnsi="Times New Roman" w:cs="Times New Roman" w:hint="eastAsia"/>
          <w:sz w:val="24"/>
          <w:szCs w:val="24"/>
        </w:rPr>
        <w:t xml:space="preserve"> </w:t>
      </w:r>
    </w:p>
    <w:p w14:paraId="38718065" w14:textId="77777777" w:rsidR="00291C4C" w:rsidRDefault="00291C4C" w:rsidP="00FC4F2A">
      <w:pPr>
        <w:spacing w:line="360" w:lineRule="auto"/>
        <w:rPr>
          <w:rFonts w:ascii="Times New Roman" w:eastAsia="宋体" w:hAnsi="Times New Roman" w:cs="Times New Roman"/>
          <w:sz w:val="24"/>
          <w:szCs w:val="24"/>
        </w:rPr>
      </w:pPr>
      <w:r w:rsidRPr="003D2002">
        <w:rPr>
          <w:rFonts w:ascii="Times New Roman" w:eastAsia="宋体" w:hAnsi="Times New Roman" w:cs="Times New Roman"/>
          <w:b/>
          <w:bCs/>
          <w:sz w:val="24"/>
          <w:szCs w:val="24"/>
        </w:rPr>
        <w:t>Table S2.</w:t>
      </w:r>
      <w:r w:rsidRPr="00212D36">
        <w:rPr>
          <w:rFonts w:ascii="Times New Roman" w:eastAsia="宋体" w:hAnsi="Times New Roman" w:cs="Times New Roman"/>
          <w:sz w:val="24"/>
          <w:szCs w:val="24"/>
        </w:rPr>
        <w:t xml:space="preserve"> Gene sets for immune cells or immune fractions.</w:t>
      </w:r>
      <w:r>
        <w:rPr>
          <w:rFonts w:ascii="Times New Roman" w:eastAsia="宋体" w:hAnsi="Times New Roman" w:cs="Times New Roman" w:hint="eastAsia"/>
          <w:sz w:val="24"/>
          <w:szCs w:val="24"/>
        </w:rPr>
        <w:t xml:space="preserve"> </w:t>
      </w:r>
    </w:p>
    <w:p w14:paraId="35EA1AC1" w14:textId="77777777" w:rsidR="00291C4C" w:rsidRDefault="00291C4C" w:rsidP="00FC4F2A">
      <w:pPr>
        <w:spacing w:line="360" w:lineRule="auto"/>
        <w:rPr>
          <w:rFonts w:ascii="Times New Roman" w:eastAsia="宋体" w:hAnsi="Times New Roman" w:cs="Times New Roman"/>
          <w:sz w:val="24"/>
          <w:szCs w:val="24"/>
        </w:rPr>
      </w:pPr>
      <w:r w:rsidRPr="003D2002">
        <w:rPr>
          <w:rFonts w:ascii="Times New Roman" w:eastAsia="宋体" w:hAnsi="Times New Roman" w:cs="Times New Roman"/>
          <w:b/>
          <w:bCs/>
          <w:sz w:val="24"/>
          <w:szCs w:val="24"/>
        </w:rPr>
        <w:t xml:space="preserve">Table S3. </w:t>
      </w:r>
      <w:r w:rsidRPr="00212D36">
        <w:rPr>
          <w:rFonts w:ascii="Times New Roman" w:eastAsia="宋体" w:hAnsi="Times New Roman" w:cs="Times New Roman"/>
          <w:sz w:val="24"/>
          <w:szCs w:val="24"/>
        </w:rPr>
        <w:t xml:space="preserve">The primers and oligonucleotides used in this study. </w:t>
      </w:r>
    </w:p>
    <w:p w14:paraId="2CC70A62" w14:textId="75576C7E" w:rsidR="003B4812" w:rsidRDefault="00291C4C" w:rsidP="00FC4F2A">
      <w:pPr>
        <w:spacing w:line="360" w:lineRule="auto"/>
      </w:pPr>
      <w:r w:rsidRPr="003D2002">
        <w:rPr>
          <w:rFonts w:ascii="Times New Roman" w:eastAsia="宋体" w:hAnsi="Times New Roman" w:cs="Times New Roman"/>
          <w:b/>
          <w:bCs/>
          <w:sz w:val="24"/>
          <w:szCs w:val="24"/>
        </w:rPr>
        <w:t>Table S4.</w:t>
      </w:r>
      <w:r w:rsidRPr="00212D36">
        <w:rPr>
          <w:rFonts w:ascii="Times New Roman" w:eastAsia="宋体" w:hAnsi="Times New Roman" w:cs="Times New Roman"/>
          <w:sz w:val="24"/>
          <w:szCs w:val="24"/>
        </w:rPr>
        <w:t xml:space="preserve"> Distribution of clinical features in training and test sets of TCGA cohort. </w:t>
      </w:r>
      <w:r w:rsidRPr="003D2002">
        <w:rPr>
          <w:rFonts w:ascii="Times New Roman" w:eastAsia="宋体" w:hAnsi="Times New Roman" w:cs="Times New Roman"/>
          <w:b/>
          <w:bCs/>
          <w:sz w:val="24"/>
          <w:szCs w:val="24"/>
        </w:rPr>
        <w:t>Table S5.</w:t>
      </w:r>
      <w:r w:rsidRPr="00212D36">
        <w:rPr>
          <w:rFonts w:ascii="Times New Roman" w:eastAsia="宋体" w:hAnsi="Times New Roman" w:cs="Times New Roman"/>
          <w:sz w:val="24"/>
          <w:szCs w:val="24"/>
        </w:rPr>
        <w:t xml:space="preserve"> The differences in the chemotherapy response of common chemotherapy drugs between the two risk groups.</w:t>
      </w:r>
    </w:p>
    <w:sectPr w:rsidR="003B48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B8197" w14:textId="77777777" w:rsidR="00B417B2" w:rsidRDefault="00B417B2" w:rsidP="00291C4C">
      <w:r>
        <w:separator/>
      </w:r>
    </w:p>
  </w:endnote>
  <w:endnote w:type="continuationSeparator" w:id="0">
    <w:p w14:paraId="5A9C25A3" w14:textId="77777777" w:rsidR="00B417B2" w:rsidRDefault="00B417B2" w:rsidP="00291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94042" w14:textId="77777777" w:rsidR="00B417B2" w:rsidRDefault="00B417B2" w:rsidP="00291C4C">
      <w:r>
        <w:separator/>
      </w:r>
    </w:p>
  </w:footnote>
  <w:footnote w:type="continuationSeparator" w:id="0">
    <w:p w14:paraId="566B711F" w14:textId="77777777" w:rsidR="00B417B2" w:rsidRDefault="00B417B2" w:rsidP="00291C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GzNDMzsTQ3MzEyMTVR0lEKTi0uzszPAykwqQUAywEGrCwAAAA="/>
  </w:docVars>
  <w:rsids>
    <w:rsidRoot w:val="00E517DB"/>
    <w:rsid w:val="00174422"/>
    <w:rsid w:val="001D0D8C"/>
    <w:rsid w:val="00291C4C"/>
    <w:rsid w:val="003B4812"/>
    <w:rsid w:val="003E46CB"/>
    <w:rsid w:val="00440648"/>
    <w:rsid w:val="005E4B48"/>
    <w:rsid w:val="00B417B2"/>
    <w:rsid w:val="00E517DB"/>
    <w:rsid w:val="00F03F03"/>
    <w:rsid w:val="00FC4F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44113"/>
  <w15:chartTrackingRefBased/>
  <w15:docId w15:val="{E5D65858-6B01-453F-A661-F7E5BD8AA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1C4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91C4C"/>
    <w:rPr>
      <w:sz w:val="18"/>
      <w:szCs w:val="18"/>
    </w:rPr>
  </w:style>
  <w:style w:type="paragraph" w:styleId="a5">
    <w:name w:val="footer"/>
    <w:basedOn w:val="a"/>
    <w:link w:val="a6"/>
    <w:uiPriority w:val="99"/>
    <w:unhideWhenUsed/>
    <w:rsid w:val="00291C4C"/>
    <w:pPr>
      <w:tabs>
        <w:tab w:val="center" w:pos="4153"/>
        <w:tab w:val="right" w:pos="8306"/>
      </w:tabs>
      <w:snapToGrid w:val="0"/>
      <w:jc w:val="left"/>
    </w:pPr>
    <w:rPr>
      <w:sz w:val="18"/>
      <w:szCs w:val="18"/>
    </w:rPr>
  </w:style>
  <w:style w:type="character" w:customStyle="1" w:styleId="a6">
    <w:name w:val="页脚 字符"/>
    <w:basedOn w:val="a0"/>
    <w:link w:val="a5"/>
    <w:uiPriority w:val="99"/>
    <w:rsid w:val="00291C4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237</Words>
  <Characters>1356</Characters>
  <Application>Microsoft Office Word</Application>
  <DocSecurity>0</DocSecurity>
  <Lines>11</Lines>
  <Paragraphs>3</Paragraphs>
  <ScaleCrop>false</ScaleCrop>
  <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Lucky carp</dc:creator>
  <cp:keywords/>
  <dc:description/>
  <cp:lastModifiedBy>Lucky carp</cp:lastModifiedBy>
  <cp:revision>6</cp:revision>
  <dcterms:created xsi:type="dcterms:W3CDTF">2022-12-05T06:50:00Z</dcterms:created>
  <dcterms:modified xsi:type="dcterms:W3CDTF">2023-03-30T07:17:00Z</dcterms:modified>
</cp:coreProperties>
</file>