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16610" w14:textId="71C41EE7" w:rsidR="00D01196" w:rsidRPr="006C5C20" w:rsidRDefault="006C5C20" w:rsidP="00015062">
      <w:pPr>
        <w:ind w:firstLineChars="1500" w:firstLine="3600"/>
        <w:rPr>
          <w:rFonts w:ascii="Arial" w:hAnsi="Arial" w:cs="Arial"/>
          <w:sz w:val="24"/>
          <w:szCs w:val="24"/>
        </w:rPr>
      </w:pPr>
      <w:r w:rsidRPr="006C5C20">
        <w:rPr>
          <w:rFonts w:ascii="Arial" w:hAnsi="Arial" w:cs="Arial"/>
          <w:b/>
          <w:bCs/>
          <w:sz w:val="24"/>
          <w:szCs w:val="24"/>
        </w:rPr>
        <w:t>T</w:t>
      </w:r>
      <w:r w:rsidR="006208FB">
        <w:rPr>
          <w:rFonts w:ascii="Arial" w:hAnsi="Arial" w:cs="Arial" w:hint="eastAsia"/>
          <w:b/>
          <w:bCs/>
          <w:sz w:val="24"/>
          <w:szCs w:val="24"/>
        </w:rPr>
        <w:t>able</w:t>
      </w:r>
      <w:r w:rsidRPr="006C5C20">
        <w:rPr>
          <w:rFonts w:ascii="Arial" w:hAnsi="Arial" w:cs="Arial"/>
          <w:b/>
          <w:bCs/>
          <w:sz w:val="24"/>
          <w:szCs w:val="24"/>
        </w:rPr>
        <w:t xml:space="preserve"> </w:t>
      </w:r>
      <w:r w:rsidR="00502C20">
        <w:rPr>
          <w:rFonts w:ascii="Arial" w:hAnsi="Arial" w:cs="Arial"/>
          <w:b/>
          <w:bCs/>
          <w:sz w:val="24"/>
          <w:szCs w:val="24"/>
        </w:rPr>
        <w:t>S5</w:t>
      </w:r>
      <w:r w:rsidR="008F672B">
        <w:rPr>
          <w:rFonts w:ascii="Arial" w:hAnsi="Arial" w:cs="Arial"/>
          <w:sz w:val="24"/>
          <w:szCs w:val="24"/>
        </w:rPr>
        <w:t>.</w:t>
      </w:r>
      <w:r w:rsidRPr="006C5C20">
        <w:rPr>
          <w:rFonts w:ascii="Arial" w:hAnsi="Arial" w:cs="Arial"/>
          <w:sz w:val="24"/>
          <w:szCs w:val="24"/>
        </w:rPr>
        <w:t xml:space="preserve"> The differences in the chemotherapy response of common chemotherapy drugs between the two risk groups.</w:t>
      </w:r>
    </w:p>
    <w:tbl>
      <w:tblPr>
        <w:tblpPr w:leftFromText="180" w:rightFromText="180" w:vertAnchor="page" w:horzAnchor="margin" w:tblpXSpec="center" w:tblpY="2241"/>
        <w:tblW w:w="0" w:type="auto"/>
        <w:tblLook w:val="04A0" w:firstRow="1" w:lastRow="0" w:firstColumn="1" w:lastColumn="0" w:noHBand="0" w:noVBand="1"/>
      </w:tblPr>
      <w:tblGrid>
        <w:gridCol w:w="1327"/>
        <w:gridCol w:w="2117"/>
        <w:gridCol w:w="872"/>
        <w:gridCol w:w="1567"/>
        <w:gridCol w:w="2117"/>
        <w:gridCol w:w="977"/>
        <w:gridCol w:w="1567"/>
        <w:gridCol w:w="2117"/>
        <w:gridCol w:w="872"/>
      </w:tblGrid>
      <w:tr w:rsidR="006C5C20" w:rsidRPr="00502C20" w14:paraId="0B73B6B0" w14:textId="77777777" w:rsidTr="006C5C20">
        <w:trPr>
          <w:trHeight w:val="460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D6C6C7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Drug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3899892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Group with lower IC50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0AF11C1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P</w:t>
            </w:r>
            <w:r w:rsidRPr="00502C20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value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748BE3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Drug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CB5A75D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Group with lower IC50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FE24AE3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P</w:t>
            </w:r>
            <w:r w:rsidRPr="00502C20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value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75FD7D5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Drug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2E7D97A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Group with lower IC50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38EE1A8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P</w:t>
            </w:r>
            <w:r w:rsidRPr="00502C20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value</w:t>
            </w:r>
          </w:p>
        </w:tc>
      </w:tr>
      <w:tr w:rsidR="006C5C20" w:rsidRPr="00502C20" w14:paraId="7A4A8A4B" w14:textId="77777777" w:rsidTr="006C5C20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2A71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ABT.263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2D3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2359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9.2e−09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BFC2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GDC.0449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D58AE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F7EF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9.2e−09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54CF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RO.3306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D3986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CFF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2.4e−04</w:t>
            </w:r>
          </w:p>
        </w:tc>
      </w:tr>
      <w:tr w:rsidR="006C5C20" w:rsidRPr="00502C20" w14:paraId="44226D4F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6A77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ABT.888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1D97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F2D6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2.6e−12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D270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GDC0941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CC3C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E075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8.0e−04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A6FE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SB590885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E4AD9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21E0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2.1e−05</w:t>
            </w:r>
          </w:p>
        </w:tc>
      </w:tr>
      <w:tr w:rsidR="006C5C20" w:rsidRPr="00502C20" w14:paraId="4C50D992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4EDB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AG.014699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1B9F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8A89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4.0e−08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9991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Gefitinib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037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4052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2.2e−04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790E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SL.0101.1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043F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FF6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1.4e−13</w:t>
            </w:r>
          </w:p>
        </w:tc>
      </w:tr>
      <w:tr w:rsidR="006C5C20" w:rsidRPr="00502C20" w14:paraId="6C147A36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A1A3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AMG.706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BDC3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A99F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4.3e−09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130E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GSK269962A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BAED7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5523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3.5e−05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C9D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Sunitinib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80A3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D703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1.9e−07</w:t>
            </w:r>
          </w:p>
        </w:tc>
      </w:tr>
      <w:tr w:rsidR="006C5C20" w:rsidRPr="00502C20" w14:paraId="331472FC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4793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AP.24534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CA37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6477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5.8e−06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03D3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JNK.Inhibitor.VIII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759EC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62EA" w14:textId="77777777" w:rsidR="006C5C20" w:rsidRPr="00502C20" w:rsidRDefault="006C5C20" w:rsidP="006C5C20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&lt;2.2e−16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7CFC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TW.37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38F16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1A08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2.4e−05</w:t>
            </w:r>
          </w:p>
        </w:tc>
      </w:tr>
      <w:tr w:rsidR="006C5C20" w:rsidRPr="00502C20" w14:paraId="0444FE37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EB5D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12301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BD7F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2.8e−09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8CB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KU.55933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878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C0A5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2.2e−12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7725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Vinblastine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B44A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394C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2.7e−04</w:t>
            </w:r>
          </w:p>
        </w:tc>
      </w:tr>
      <w:tr w:rsidR="006C5C20" w:rsidRPr="00502C20" w14:paraId="42D37B0B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4325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AZ628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1C100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FFAF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7.2e−05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988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Lenalidomide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DE5C8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FDBA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4.2e−06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9AC5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VX.680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3501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6579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3.1e−06</w:t>
            </w:r>
          </w:p>
        </w:tc>
      </w:tr>
      <w:tr w:rsidR="006C5C20" w:rsidRPr="00502C20" w14:paraId="3AD23556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35A7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AZD.2281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B2DA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F4F2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9.9e−14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D83B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Methotrexate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33410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217A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9.6e−07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3316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XMD8.85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D72B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4FFB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3.0e−10</w:t>
            </w:r>
          </w:p>
        </w:tc>
      </w:tr>
      <w:tr w:rsidR="006C5C20" w:rsidRPr="00502C20" w14:paraId="7C47DCDA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067A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AZD7762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62ED1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EE01D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3.9e−06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B0B8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Midostaurin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06A2D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E00A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2.6e−05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D978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ZM.447439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39CF1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8CD47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5.5e−06</w:t>
            </w:r>
          </w:p>
        </w:tc>
      </w:tr>
      <w:tr w:rsidR="006C5C20" w:rsidRPr="00502C20" w14:paraId="43099D80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A302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BI.D</w:t>
            </w:r>
            <w:proofErr w:type="gramEnd"/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A81D6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96D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4.3e−11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23AC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MS.275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639D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479E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9.0e−08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3A1D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AKT.inhibitor.VIII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B297A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F6FA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9.3e−11</w:t>
            </w:r>
          </w:p>
        </w:tc>
      </w:tr>
      <w:tr w:rsidR="006C5C20" w:rsidRPr="00502C20" w14:paraId="7ECFBABE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18AE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Camptothecin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BBB9B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8EE78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2.1e−08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3E2B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Nilotinib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AE9E2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8360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1.5e−06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F8E2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Bicalutamide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7A502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20C5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4.9e−12</w:t>
            </w:r>
          </w:p>
        </w:tc>
      </w:tr>
      <w:tr w:rsidR="006C5C20" w:rsidRPr="00502C20" w14:paraId="3E9B7E15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0F20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CGP.082996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CFB17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9199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3.7e−14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8F2B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NU.7441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856BC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5CA3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5.0e−12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BA3E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BMS.708163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FE558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2E85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1.1e−04</w:t>
            </w:r>
          </w:p>
        </w:tc>
      </w:tr>
      <w:tr w:rsidR="006C5C20" w:rsidRPr="00502C20" w14:paraId="7BB6A83C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B65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CGP.60474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FB86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A22D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2.0e−07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8DFC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NVP.TAE684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EDD22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1A00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8.4e−05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031C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Embelin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F5C9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E1BB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8.1e−05</w:t>
            </w:r>
          </w:p>
        </w:tc>
      </w:tr>
      <w:tr w:rsidR="006C5C20" w:rsidRPr="00502C20" w14:paraId="73837590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F5D1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Cisplatin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31BAF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CA5C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4.4e−05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17B2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Parthenolide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ACD33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E69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5.1e−09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BFCB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FH535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8452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12C3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7.1e−12</w:t>
            </w:r>
          </w:p>
        </w:tc>
      </w:tr>
      <w:tr w:rsidR="006C5C20" w:rsidRPr="00502C20" w14:paraId="32FC9AF6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1465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CMK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1C91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B127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1.2e−04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142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Pazopanib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35D02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C47B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7.1e−06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89B7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GW.441756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0E735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98CC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1.7e−12</w:t>
            </w:r>
          </w:p>
        </w:tc>
      </w:tr>
      <w:tr w:rsidR="006C5C20" w:rsidRPr="00502C20" w14:paraId="27F1D533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90DB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Cyclopamine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EF1F5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1A05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1.1e−08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1FBD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PD.173074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5B0B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967A" w14:textId="77777777" w:rsidR="006C5C20" w:rsidRPr="00502C20" w:rsidRDefault="006C5C20" w:rsidP="006C5C20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&lt;2.2e−16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AC3A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Lapatinib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3E1BE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2A77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1.7e−12</w:t>
            </w:r>
          </w:p>
        </w:tc>
      </w:tr>
      <w:tr w:rsidR="006C5C20" w:rsidRPr="00502C20" w14:paraId="70C5EAEF" w14:textId="77777777" w:rsidTr="006C5C20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C153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Docetaxel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3EAE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7585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8.3e−04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6720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PF.02341066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2179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F98B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2.3e−06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63A7D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NSC.87877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A3F4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999C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5.8e−08</w:t>
            </w:r>
          </w:p>
        </w:tc>
      </w:tr>
      <w:tr w:rsidR="006C5C20" w:rsidRPr="00502C20" w14:paraId="567AB0CC" w14:textId="77777777" w:rsidTr="006C5C20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2B6ED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Elesclomol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095B6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C4B71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2.7e−04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736A5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PLX4720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836E0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E0E8A" w14:textId="77777777" w:rsidR="006C5C20" w:rsidRPr="00502C20" w:rsidRDefault="006C5C20" w:rsidP="006C5C20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4.5e−05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06B79" w14:textId="77777777" w:rsidR="006C5C20" w:rsidRPr="00502C20" w:rsidRDefault="006C5C20" w:rsidP="006C5C20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7C24B" w14:textId="77777777" w:rsidR="006C5C20" w:rsidRPr="00502C20" w:rsidRDefault="006C5C20" w:rsidP="006C5C20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5A011" w14:textId="77777777" w:rsidR="006C5C20" w:rsidRPr="00502C20" w:rsidRDefault="006C5C20" w:rsidP="006C5C20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502C20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5F946C1A" w14:textId="0B45E107" w:rsidR="006C5C20" w:rsidRDefault="006C5C20">
      <w:pPr>
        <w:rPr>
          <w:rFonts w:ascii="Arial" w:hAnsi="Arial" w:cs="Arial"/>
          <w:sz w:val="28"/>
          <w:szCs w:val="28"/>
        </w:rPr>
      </w:pPr>
    </w:p>
    <w:p w14:paraId="12D67CB9" w14:textId="497B7B01" w:rsidR="006C5C20" w:rsidRDefault="006C5C20">
      <w:pPr>
        <w:rPr>
          <w:rFonts w:ascii="Arial" w:hAnsi="Arial" w:cs="Arial"/>
          <w:sz w:val="28"/>
          <w:szCs w:val="28"/>
        </w:rPr>
      </w:pPr>
    </w:p>
    <w:p w14:paraId="212ABF3D" w14:textId="7FF753E2" w:rsidR="006C5C20" w:rsidRDefault="006C5C20">
      <w:pPr>
        <w:rPr>
          <w:rFonts w:ascii="Arial" w:hAnsi="Arial" w:cs="Arial"/>
          <w:sz w:val="28"/>
          <w:szCs w:val="28"/>
        </w:rPr>
      </w:pPr>
    </w:p>
    <w:p w14:paraId="4E5A054E" w14:textId="6E8A5315" w:rsidR="006C5C20" w:rsidRDefault="006C5C20">
      <w:pPr>
        <w:rPr>
          <w:rFonts w:ascii="Arial" w:hAnsi="Arial" w:cs="Arial"/>
          <w:sz w:val="28"/>
          <w:szCs w:val="28"/>
        </w:rPr>
      </w:pPr>
    </w:p>
    <w:p w14:paraId="4BA22CFC" w14:textId="27A4B02A" w:rsidR="006C5C20" w:rsidRDefault="006C5C20">
      <w:pPr>
        <w:rPr>
          <w:rFonts w:ascii="Arial" w:hAnsi="Arial" w:cs="Arial"/>
          <w:sz w:val="28"/>
          <w:szCs w:val="28"/>
        </w:rPr>
      </w:pPr>
    </w:p>
    <w:p w14:paraId="74071552" w14:textId="4EC9D15E" w:rsidR="006C5C20" w:rsidRDefault="006C5C20">
      <w:pPr>
        <w:rPr>
          <w:rFonts w:ascii="Arial" w:hAnsi="Arial" w:cs="Arial"/>
          <w:sz w:val="28"/>
          <w:szCs w:val="28"/>
        </w:rPr>
      </w:pPr>
    </w:p>
    <w:p w14:paraId="2F71D040" w14:textId="3C4EFD91" w:rsidR="006C5C20" w:rsidRDefault="006C5C20">
      <w:pPr>
        <w:rPr>
          <w:rFonts w:ascii="Arial" w:hAnsi="Arial" w:cs="Arial"/>
          <w:sz w:val="28"/>
          <w:szCs w:val="28"/>
        </w:rPr>
      </w:pPr>
    </w:p>
    <w:p w14:paraId="3D62871B" w14:textId="07E5F213" w:rsidR="006C5C20" w:rsidRDefault="006C5C20">
      <w:pPr>
        <w:rPr>
          <w:rFonts w:ascii="Arial" w:hAnsi="Arial" w:cs="Arial"/>
          <w:sz w:val="28"/>
          <w:szCs w:val="28"/>
        </w:rPr>
      </w:pPr>
    </w:p>
    <w:p w14:paraId="1B847F86" w14:textId="451CE922" w:rsidR="006C5C20" w:rsidRDefault="006C5C20">
      <w:pPr>
        <w:rPr>
          <w:rFonts w:ascii="Arial" w:hAnsi="Arial" w:cs="Arial"/>
          <w:sz w:val="28"/>
          <w:szCs w:val="28"/>
        </w:rPr>
      </w:pPr>
    </w:p>
    <w:p w14:paraId="012892B3" w14:textId="0C908C3C" w:rsidR="006C5C20" w:rsidRDefault="006C5C20">
      <w:pPr>
        <w:rPr>
          <w:rFonts w:ascii="Arial" w:hAnsi="Arial" w:cs="Arial"/>
          <w:sz w:val="28"/>
          <w:szCs w:val="28"/>
        </w:rPr>
      </w:pPr>
    </w:p>
    <w:p w14:paraId="20609DE9" w14:textId="3596B6E5" w:rsidR="006C5C20" w:rsidRDefault="006C5C20">
      <w:pPr>
        <w:rPr>
          <w:rFonts w:ascii="Arial" w:hAnsi="Arial" w:cs="Arial"/>
          <w:sz w:val="28"/>
          <w:szCs w:val="28"/>
        </w:rPr>
      </w:pPr>
    </w:p>
    <w:p w14:paraId="544CE5B1" w14:textId="77777777" w:rsidR="006C5C20" w:rsidRDefault="006C5C20">
      <w:pPr>
        <w:rPr>
          <w:rFonts w:ascii="Arial" w:hAnsi="Arial" w:cs="Arial"/>
          <w:sz w:val="24"/>
          <w:szCs w:val="24"/>
        </w:rPr>
      </w:pPr>
    </w:p>
    <w:p w14:paraId="3D7D19D3" w14:textId="29F684FB" w:rsidR="006C5C20" w:rsidRPr="00502C20" w:rsidRDefault="006C5C20" w:rsidP="00502C20">
      <w:pPr>
        <w:ind w:firstLineChars="1400" w:firstLine="3360"/>
        <w:rPr>
          <w:rFonts w:ascii="Arial" w:hAnsi="Arial" w:cs="Arial"/>
          <w:i/>
          <w:iCs/>
          <w:sz w:val="24"/>
          <w:szCs w:val="24"/>
        </w:rPr>
      </w:pPr>
      <w:r w:rsidRPr="00502C20">
        <w:rPr>
          <w:rFonts w:ascii="Arial" w:hAnsi="Arial" w:cs="Arial"/>
          <w:i/>
          <w:iCs/>
          <w:sz w:val="24"/>
          <w:szCs w:val="24"/>
        </w:rPr>
        <w:t>IC50,</w:t>
      </w:r>
      <w:r w:rsidRPr="00502C20">
        <w:rPr>
          <w:i/>
          <w:iCs/>
        </w:rPr>
        <w:t xml:space="preserve"> </w:t>
      </w:r>
      <w:r w:rsidRPr="00502C20">
        <w:rPr>
          <w:rFonts w:ascii="Arial" w:hAnsi="Arial" w:cs="Arial"/>
          <w:i/>
          <w:iCs/>
          <w:sz w:val="24"/>
          <w:szCs w:val="24"/>
        </w:rPr>
        <w:t>The Half Maximal Inhibitory concentration.</w:t>
      </w:r>
    </w:p>
    <w:p w14:paraId="3359A4B7" w14:textId="77777777" w:rsidR="006C5C20" w:rsidRPr="00502C20" w:rsidRDefault="006C5C20"/>
    <w:sectPr w:rsidR="006C5C20" w:rsidRPr="00502C20" w:rsidSect="006C5C20">
      <w:pgSz w:w="23811" w:h="16838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6C9DF" w14:textId="77777777" w:rsidR="00740F5D" w:rsidRDefault="00740F5D" w:rsidP="006F27E4">
      <w:r>
        <w:separator/>
      </w:r>
    </w:p>
  </w:endnote>
  <w:endnote w:type="continuationSeparator" w:id="0">
    <w:p w14:paraId="4C67FEF8" w14:textId="77777777" w:rsidR="00740F5D" w:rsidRDefault="00740F5D" w:rsidP="006F2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D73BC" w14:textId="77777777" w:rsidR="00740F5D" w:rsidRDefault="00740F5D" w:rsidP="006F27E4">
      <w:r>
        <w:separator/>
      </w:r>
    </w:p>
  </w:footnote>
  <w:footnote w:type="continuationSeparator" w:id="0">
    <w:p w14:paraId="0F194F48" w14:textId="77777777" w:rsidR="00740F5D" w:rsidRDefault="00740F5D" w:rsidP="006F27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IwsTAxNDU0MjI0s7RU0lEKTi0uzszPAykwrAUAD0M/3ywAAAA="/>
  </w:docVars>
  <w:rsids>
    <w:rsidRoot w:val="006434A5"/>
    <w:rsid w:val="00015062"/>
    <w:rsid w:val="000B20C8"/>
    <w:rsid w:val="00456AC9"/>
    <w:rsid w:val="00502C20"/>
    <w:rsid w:val="006208FB"/>
    <w:rsid w:val="006434A5"/>
    <w:rsid w:val="006C5C20"/>
    <w:rsid w:val="006F27E4"/>
    <w:rsid w:val="00740E06"/>
    <w:rsid w:val="00740F5D"/>
    <w:rsid w:val="00741D77"/>
    <w:rsid w:val="007F659C"/>
    <w:rsid w:val="008F672B"/>
    <w:rsid w:val="009C71B9"/>
    <w:rsid w:val="00B211E7"/>
    <w:rsid w:val="00B26643"/>
    <w:rsid w:val="00D0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A11BC5"/>
  <w15:chartTrackingRefBased/>
  <w15:docId w15:val="{8EC40DC2-FC46-41B0-9D6A-5F161693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7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27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27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27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8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 carp</dc:creator>
  <cp:keywords/>
  <dc:description/>
  <cp:lastModifiedBy>Lucky carp</cp:lastModifiedBy>
  <cp:revision>6</cp:revision>
  <dcterms:created xsi:type="dcterms:W3CDTF">2022-10-11T04:10:00Z</dcterms:created>
  <dcterms:modified xsi:type="dcterms:W3CDTF">2022-11-04T16:26:00Z</dcterms:modified>
</cp:coreProperties>
</file>