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8FFF9" w14:textId="77777777" w:rsidR="00CD4BAB" w:rsidRPr="00A04D7B" w:rsidRDefault="00000000">
      <w:pPr>
        <w:pStyle w:val="SupplementaryMaterial"/>
        <w:rPr>
          <w:b w:val="0"/>
        </w:rPr>
      </w:pPr>
      <w:r w:rsidRPr="00A04D7B">
        <w:t>Supplementary Figures</w:t>
      </w:r>
    </w:p>
    <w:p w14:paraId="1A60D0F8" w14:textId="77777777" w:rsidR="00CD4BAB" w:rsidRPr="00A04D7B" w:rsidRDefault="00000000">
      <w:pPr>
        <w:keepNext/>
        <w:rPr>
          <w:rFonts w:cs="Times New Roman"/>
          <w:szCs w:val="24"/>
        </w:rPr>
      </w:pPr>
      <w:r w:rsidRPr="00A04D7B">
        <w:rPr>
          <w:rFonts w:cs="Times New Roman"/>
          <w:noProof/>
          <w:szCs w:val="24"/>
        </w:rPr>
        <w:drawing>
          <wp:inline distT="0" distB="0" distL="0" distR="0" wp14:anchorId="634FB807" wp14:editId="0453D397">
            <wp:extent cx="6162040" cy="6701051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" t="1674" r="10566" b="4761"/>
                    <a:stretch/>
                  </pic:blipFill>
                  <pic:spPr bwMode="auto">
                    <a:xfrm>
                      <a:off x="0" y="0"/>
                      <a:ext cx="6192405" cy="673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D87F3" w14:textId="77777777" w:rsidR="00CD4BAB" w:rsidRPr="00A04D7B" w:rsidRDefault="00000000">
      <w:pPr>
        <w:jc w:val="both"/>
      </w:pPr>
      <w:r w:rsidRPr="00A04D7B">
        <w:rPr>
          <w:b/>
          <w:bCs/>
        </w:rPr>
        <w:t xml:space="preserve">Figure S1: Dependence of CC-3 activity on target antigen-binding. A </w:t>
      </w:r>
      <w:r w:rsidRPr="00A04D7B">
        <w:rPr>
          <w:bCs/>
        </w:rPr>
        <w:t xml:space="preserve">HL-60 </w:t>
      </w:r>
      <w:r w:rsidRPr="00A04D7B">
        <w:t xml:space="preserve">cells were stained using a monoclonal B7-H3 antibody (clone 7C4) followed by an anti-mouse PE conjugate and analyzed using flow cytometry, documenting negativity for B7-H3. </w:t>
      </w:r>
      <w:r w:rsidRPr="00A04D7B">
        <w:rPr>
          <w:b/>
          <w:bCs/>
        </w:rPr>
        <w:t>B</w:t>
      </w:r>
      <w:r w:rsidRPr="00A04D7B">
        <w:t xml:space="preserve"> </w:t>
      </w:r>
      <w:r w:rsidRPr="00A04D7B">
        <w:rPr>
          <w:bCs/>
        </w:rPr>
        <w:t xml:space="preserve">HL-60 </w:t>
      </w:r>
      <w:r w:rsidRPr="00A04D7B">
        <w:t xml:space="preserve">cells were incubated with increasing concentrations of the B7-H3xCD3 </w:t>
      </w:r>
      <w:proofErr w:type="spellStart"/>
      <w:r w:rsidRPr="00A04D7B">
        <w:t>bsAb</w:t>
      </w:r>
      <w:proofErr w:type="spellEnd"/>
      <w:r w:rsidRPr="00A04D7B">
        <w:t xml:space="preserve"> or the respective isotype control MOPCxCD3, </w:t>
      </w:r>
      <w:r w:rsidRPr="00A04D7B">
        <w:lastRenderedPageBreak/>
        <w:t xml:space="preserve">followed by an anti-human PE conjugate and analyzed by flow cytometry, documenting absence of unspecific binding. </w:t>
      </w:r>
      <w:r w:rsidRPr="00A04D7B">
        <w:rPr>
          <w:b/>
          <w:bCs/>
        </w:rPr>
        <w:t>C-H</w:t>
      </w:r>
      <w:r w:rsidRPr="00A04D7B">
        <w:t xml:space="preserve"> Monocyte-depleted PBMC of healthy donors were incubated with the B7-H3 negative HL-60 cells in the presence or absence of CC-3 or MOPCxCD3. If not indicated otherwise, constructs were used at 1 </w:t>
      </w:r>
      <w:proofErr w:type="spellStart"/>
      <w:r w:rsidRPr="00A04D7B">
        <w:t>nM.</w:t>
      </w:r>
      <w:proofErr w:type="spellEnd"/>
      <w:r w:rsidRPr="00A04D7B">
        <w:t xml:space="preserve"> </w:t>
      </w:r>
      <w:r w:rsidRPr="00A04D7B">
        <w:rPr>
          <w:b/>
          <w:bCs/>
        </w:rPr>
        <w:t xml:space="preserve">C </w:t>
      </w:r>
      <w:r w:rsidRPr="00A04D7B">
        <w:t>Activation of CD4</w:t>
      </w:r>
      <w:r w:rsidRPr="00A04D7B">
        <w:rPr>
          <w:vertAlign w:val="superscript"/>
        </w:rPr>
        <w:t>+</w:t>
      </w:r>
      <w:r w:rsidRPr="00A04D7B">
        <w:t xml:space="preserve"> and CD8</w:t>
      </w:r>
      <w:r w:rsidRPr="00A04D7B">
        <w:rPr>
          <w:vertAlign w:val="superscript"/>
        </w:rPr>
        <w:t>+</w:t>
      </w:r>
      <w:r w:rsidRPr="00A04D7B">
        <w:t xml:space="preserve"> T cells (E:T 4:1) was determined by flow cytometric analysis for CD69 expression after 24 hours. Combined data obtained with PBMC of three independent donors are shown. </w:t>
      </w:r>
      <w:r w:rsidRPr="00A04D7B">
        <w:rPr>
          <w:b/>
          <w:bCs/>
        </w:rPr>
        <w:t xml:space="preserve">D </w:t>
      </w:r>
      <w:r w:rsidRPr="00A04D7B">
        <w:t>Degranulation of CD4</w:t>
      </w:r>
      <w:r w:rsidRPr="00A04D7B">
        <w:rPr>
          <w:vertAlign w:val="superscript"/>
        </w:rPr>
        <w:t>+</w:t>
      </w:r>
      <w:r w:rsidRPr="00A04D7B">
        <w:t xml:space="preserve"> and CD8</w:t>
      </w:r>
      <w:r w:rsidRPr="00A04D7B">
        <w:rPr>
          <w:vertAlign w:val="superscript"/>
        </w:rPr>
        <w:t>+</w:t>
      </w:r>
      <w:r w:rsidRPr="00A04D7B">
        <w:t xml:space="preserve"> T cells (E:T 4:1) was determined by analyzing expression of CD107a after 4 h. Combined data obtained with PBMC of four independent donors are shown. </w:t>
      </w:r>
      <w:r w:rsidRPr="00A04D7B">
        <w:rPr>
          <w:b/>
        </w:rPr>
        <w:t>E</w:t>
      </w:r>
      <w:r w:rsidRPr="00A04D7B">
        <w:t xml:space="preserve"> </w:t>
      </w:r>
      <w:r w:rsidRPr="00A04D7B">
        <w:rPr>
          <w:rFonts w:cs="Arial"/>
        </w:rPr>
        <w:t xml:space="preserve">IL-2, </w:t>
      </w:r>
      <w:proofErr w:type="spellStart"/>
      <w:r w:rsidRPr="00A04D7B">
        <w:rPr>
          <w:rFonts w:cs="Arial"/>
        </w:rPr>
        <w:t>IFNγ</w:t>
      </w:r>
      <w:proofErr w:type="spellEnd"/>
      <w:r w:rsidRPr="00A04D7B">
        <w:rPr>
          <w:rFonts w:cs="Arial"/>
        </w:rPr>
        <w:t xml:space="preserve">, IL-10 and TNF levels in culture supernatants were measured after 24 h using </w:t>
      </w:r>
      <w:proofErr w:type="spellStart"/>
      <w:r w:rsidRPr="00A04D7B">
        <w:rPr>
          <w:rFonts w:cs="Arial"/>
        </w:rPr>
        <w:t>LEGENDplex</w:t>
      </w:r>
      <w:proofErr w:type="spellEnd"/>
      <w:r w:rsidRPr="00A04D7B">
        <w:rPr>
          <w:rFonts w:cs="Arial"/>
        </w:rPr>
        <w:t xml:space="preserve"> assays. </w:t>
      </w:r>
      <w:r w:rsidRPr="00A04D7B">
        <w:rPr>
          <w:b/>
          <w:bCs/>
        </w:rPr>
        <w:t xml:space="preserve">F-G </w:t>
      </w:r>
      <w:bookmarkStart w:id="0" w:name="_Hlk119582577"/>
      <w:r w:rsidRPr="00A04D7B">
        <w:t xml:space="preserve">After 72 h, PBMC were </w:t>
      </w:r>
      <w:proofErr w:type="spellStart"/>
      <w:r w:rsidRPr="00A04D7B">
        <w:t>reexposed</w:t>
      </w:r>
      <w:proofErr w:type="spellEnd"/>
      <w:r w:rsidRPr="00A04D7B">
        <w:t xml:space="preserve"> to fresh HL-60 cells and the respective treatment for additional 72 h</w:t>
      </w:r>
      <w:bookmarkEnd w:id="0"/>
      <w:r w:rsidRPr="00A04D7B">
        <w:t xml:space="preserve">. </w:t>
      </w:r>
      <w:r w:rsidRPr="00A04D7B">
        <w:rPr>
          <w:b/>
          <w:bCs/>
        </w:rPr>
        <w:t xml:space="preserve">F </w:t>
      </w:r>
      <w:r w:rsidRPr="00A04D7B">
        <w:t>Proliferation of CTV labelled</w:t>
      </w:r>
      <w:r w:rsidRPr="00A04D7B">
        <w:rPr>
          <w:b/>
          <w:bCs/>
        </w:rPr>
        <w:t xml:space="preserve"> </w:t>
      </w:r>
      <w:r w:rsidRPr="00A04D7B">
        <w:t>CD4</w:t>
      </w:r>
      <w:r w:rsidRPr="00A04D7B">
        <w:rPr>
          <w:vertAlign w:val="superscript"/>
        </w:rPr>
        <w:t>+</w:t>
      </w:r>
      <w:r w:rsidRPr="00A04D7B">
        <w:t xml:space="preserve"> and CD8</w:t>
      </w:r>
      <w:r w:rsidRPr="00A04D7B">
        <w:rPr>
          <w:vertAlign w:val="superscript"/>
        </w:rPr>
        <w:t>+</w:t>
      </w:r>
      <w:r w:rsidRPr="00A04D7B">
        <w:t xml:space="preserve"> T cells (E:T 4:1) was determined by flow cytometric analysis of cell counts.</w:t>
      </w:r>
      <w:r w:rsidRPr="00A04D7B">
        <w:rPr>
          <w:b/>
          <w:bCs/>
        </w:rPr>
        <w:t xml:space="preserve"> G </w:t>
      </w:r>
      <w:r w:rsidRPr="00A04D7B">
        <w:t>Subpopulations within CD4</w:t>
      </w:r>
      <w:r w:rsidRPr="00A04D7B">
        <w:rPr>
          <w:vertAlign w:val="superscript"/>
        </w:rPr>
        <w:t>+</w:t>
      </w:r>
      <w:r w:rsidRPr="00A04D7B">
        <w:t xml:space="preserve"> and CD8</w:t>
      </w:r>
      <w:r w:rsidRPr="00A04D7B">
        <w:rPr>
          <w:vertAlign w:val="superscript"/>
        </w:rPr>
        <w:t>+</w:t>
      </w:r>
      <w:r w:rsidRPr="00A04D7B">
        <w:t xml:space="preserve"> T cells were determined by flow cytometric analysis. Effector T cells were defined as CD62L</w:t>
      </w:r>
      <w:r w:rsidRPr="00A04D7B">
        <w:rPr>
          <w:vertAlign w:val="superscript"/>
        </w:rPr>
        <w:t>-</w:t>
      </w:r>
      <w:r w:rsidRPr="00A04D7B">
        <w:t>CD45ro</w:t>
      </w:r>
      <w:r w:rsidRPr="00A04D7B">
        <w:rPr>
          <w:vertAlign w:val="superscript"/>
        </w:rPr>
        <w:t>-</w:t>
      </w:r>
      <w:r w:rsidRPr="00A04D7B">
        <w:t>, naive T cells as CD62L</w:t>
      </w:r>
      <w:r w:rsidRPr="00A04D7B">
        <w:rPr>
          <w:vertAlign w:val="superscript"/>
        </w:rPr>
        <w:t>+</w:t>
      </w:r>
      <w:r w:rsidRPr="00A04D7B">
        <w:t>CD45ro</w:t>
      </w:r>
      <w:r w:rsidRPr="00A04D7B">
        <w:rPr>
          <w:vertAlign w:val="superscript"/>
        </w:rPr>
        <w:t>-</w:t>
      </w:r>
      <w:r w:rsidRPr="00A04D7B">
        <w:t>, effector memory T cells as CD62L</w:t>
      </w:r>
      <w:r w:rsidRPr="00A04D7B">
        <w:rPr>
          <w:vertAlign w:val="superscript"/>
        </w:rPr>
        <w:t>-</w:t>
      </w:r>
      <w:r w:rsidRPr="00A04D7B">
        <w:t>CD45ro</w:t>
      </w:r>
      <w:r w:rsidRPr="00A04D7B">
        <w:rPr>
          <w:vertAlign w:val="superscript"/>
        </w:rPr>
        <w:t>+</w:t>
      </w:r>
      <w:r w:rsidRPr="00A04D7B">
        <w:t xml:space="preserve"> and central memory T cells as CD62L</w:t>
      </w:r>
      <w:r w:rsidRPr="00A04D7B">
        <w:rPr>
          <w:vertAlign w:val="superscript"/>
        </w:rPr>
        <w:t>+</w:t>
      </w:r>
      <w:r w:rsidRPr="00A04D7B">
        <w:t>CD45ro</w:t>
      </w:r>
      <w:r w:rsidRPr="00A04D7B">
        <w:rPr>
          <w:vertAlign w:val="superscript"/>
        </w:rPr>
        <w:t xml:space="preserve">+. </w:t>
      </w:r>
      <w:r w:rsidRPr="00A04D7B">
        <w:rPr>
          <w:b/>
          <w:bCs/>
        </w:rPr>
        <w:t>H</w:t>
      </w:r>
      <w:r w:rsidRPr="00A04D7B">
        <w:t xml:space="preserve"> Lysis of HL-60 cells was determined by flow cytometric analysis.</w:t>
      </w:r>
      <w:r w:rsidRPr="00A04D7B">
        <w:rPr>
          <w:b/>
          <w:bCs/>
        </w:rPr>
        <w:t xml:space="preserve"> </w:t>
      </w:r>
      <w:r w:rsidRPr="00A04D7B">
        <w:t>E:T, effector to target; MFI, mean fluorescence intensities; PBMC, peripheral blood mononuclear cell.</w:t>
      </w:r>
    </w:p>
    <w:p w14:paraId="46951E30" w14:textId="77777777" w:rsidR="00CD4BAB" w:rsidRPr="00A04D7B" w:rsidRDefault="00CD4BAB">
      <w:pPr>
        <w:jc w:val="both"/>
      </w:pPr>
    </w:p>
    <w:p w14:paraId="61B3F805" w14:textId="77777777" w:rsidR="00CD4BAB" w:rsidRPr="00A04D7B" w:rsidRDefault="00CD4BAB">
      <w:pPr>
        <w:jc w:val="both"/>
      </w:pPr>
    </w:p>
    <w:p w14:paraId="503EB6D3" w14:textId="77777777" w:rsidR="00CD4BAB" w:rsidRPr="00A04D7B" w:rsidRDefault="00CD4BAB">
      <w:pPr>
        <w:jc w:val="both"/>
      </w:pPr>
    </w:p>
    <w:p w14:paraId="10F8A2C8" w14:textId="77777777" w:rsidR="00CD4BAB" w:rsidRPr="00A04D7B" w:rsidRDefault="00CD4BAB">
      <w:pPr>
        <w:jc w:val="both"/>
      </w:pPr>
    </w:p>
    <w:p w14:paraId="2D899C3D" w14:textId="77777777" w:rsidR="00CD4BAB" w:rsidRPr="00A04D7B" w:rsidRDefault="00CD4BAB">
      <w:pPr>
        <w:jc w:val="both"/>
      </w:pPr>
    </w:p>
    <w:p w14:paraId="133B91E0" w14:textId="77777777" w:rsidR="00CD4BAB" w:rsidRPr="00A04D7B" w:rsidRDefault="00CD4BAB">
      <w:pPr>
        <w:jc w:val="both"/>
      </w:pPr>
    </w:p>
    <w:p w14:paraId="6F57FD50" w14:textId="77777777" w:rsidR="00CD4BAB" w:rsidRPr="00A04D7B" w:rsidRDefault="00CD4BAB">
      <w:pPr>
        <w:jc w:val="both"/>
      </w:pPr>
    </w:p>
    <w:p w14:paraId="1D9DD615" w14:textId="77777777" w:rsidR="00CD4BAB" w:rsidRPr="00A04D7B" w:rsidRDefault="00CD4BAB">
      <w:pPr>
        <w:jc w:val="both"/>
      </w:pPr>
    </w:p>
    <w:p w14:paraId="4B2AAC62" w14:textId="77777777" w:rsidR="00CD4BAB" w:rsidRPr="00A04D7B" w:rsidRDefault="00CD4BAB">
      <w:pPr>
        <w:jc w:val="both"/>
      </w:pPr>
    </w:p>
    <w:p w14:paraId="3F2413C1" w14:textId="77777777" w:rsidR="00CD4BAB" w:rsidRPr="00A04D7B" w:rsidRDefault="00CD4BAB">
      <w:pPr>
        <w:jc w:val="both"/>
      </w:pPr>
    </w:p>
    <w:p w14:paraId="66169905" w14:textId="77777777" w:rsidR="00CD4BAB" w:rsidRPr="00A04D7B" w:rsidRDefault="00CD4BAB">
      <w:pPr>
        <w:jc w:val="both"/>
      </w:pPr>
    </w:p>
    <w:p w14:paraId="0BF940B7" w14:textId="77777777" w:rsidR="00CD4BAB" w:rsidRPr="00A04D7B" w:rsidRDefault="00000000">
      <w:r w:rsidRPr="00A04D7B">
        <w:rPr>
          <w:noProof/>
        </w:rPr>
        <w:lastRenderedPageBreak/>
        <w:drawing>
          <wp:inline distT="0" distB="0" distL="0" distR="0" wp14:anchorId="1EE902AD" wp14:editId="6C1870E0">
            <wp:extent cx="4370070" cy="1917511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" t="9055" r="40761" b="67090"/>
                    <a:stretch/>
                  </pic:blipFill>
                  <pic:spPr bwMode="auto">
                    <a:xfrm>
                      <a:off x="0" y="0"/>
                      <a:ext cx="4370400" cy="191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47588" w14:textId="77777777" w:rsidR="00CD4BAB" w:rsidRPr="00A04D7B" w:rsidRDefault="00000000">
      <w:pPr>
        <w:jc w:val="both"/>
      </w:pPr>
      <w:r w:rsidRPr="00A04D7B">
        <w:rPr>
          <w:b/>
          <w:bCs/>
        </w:rPr>
        <w:t xml:space="preserve">Figure S2: Activation of T cells within PBMCs and isolated T cell subsets by CC-3. </w:t>
      </w:r>
      <w:r w:rsidRPr="00A04D7B">
        <w:rPr>
          <w:bCs/>
        </w:rPr>
        <w:t>Recombinant B7-H3 protein was immobilized to plastic and incubated with PBMC preparations or isolated T cells of healthy donors and MOPCxCD3 or CC-3 (5nM each). Activation of CD4</w:t>
      </w:r>
      <w:r w:rsidRPr="00A04D7B">
        <w:rPr>
          <w:bCs/>
          <w:vertAlign w:val="superscript"/>
        </w:rPr>
        <w:t>+</w:t>
      </w:r>
      <w:r w:rsidRPr="00A04D7B">
        <w:rPr>
          <w:bCs/>
        </w:rPr>
        <w:t xml:space="preserve"> and CD8</w:t>
      </w:r>
      <w:r w:rsidRPr="00A04D7B">
        <w:rPr>
          <w:bCs/>
          <w:vertAlign w:val="superscript"/>
        </w:rPr>
        <w:t>+</w:t>
      </w:r>
      <w:r w:rsidRPr="00A04D7B">
        <w:rPr>
          <w:bCs/>
        </w:rPr>
        <w:t xml:space="preserve"> T cells was determined by flow cytometric analysis for CD69 expression after 72 h. </w:t>
      </w:r>
      <w:r w:rsidRPr="00A04D7B">
        <w:t xml:space="preserve">PBMC, peripheral blood mononuclear cells. </w:t>
      </w:r>
    </w:p>
    <w:p w14:paraId="1B8DE66F" w14:textId="77777777" w:rsidR="00CD4BAB" w:rsidRPr="00A04D7B" w:rsidRDefault="00CD4BAB">
      <w:pPr>
        <w:jc w:val="both"/>
      </w:pPr>
    </w:p>
    <w:p w14:paraId="2DCDE5E6" w14:textId="77777777" w:rsidR="00CD4BAB" w:rsidRPr="00A04D7B" w:rsidRDefault="00CD4BAB">
      <w:pPr>
        <w:jc w:val="both"/>
      </w:pPr>
    </w:p>
    <w:p w14:paraId="4EF97D86" w14:textId="77777777" w:rsidR="00CD4BAB" w:rsidRPr="00A04D7B" w:rsidRDefault="00CD4BAB">
      <w:pPr>
        <w:jc w:val="both"/>
      </w:pPr>
    </w:p>
    <w:p w14:paraId="545156C5" w14:textId="77777777" w:rsidR="00CD4BAB" w:rsidRPr="00A04D7B" w:rsidRDefault="00CD4BAB">
      <w:pPr>
        <w:jc w:val="both"/>
      </w:pPr>
    </w:p>
    <w:p w14:paraId="4F7A9C48" w14:textId="77777777" w:rsidR="00CD4BAB" w:rsidRPr="00A04D7B" w:rsidRDefault="00CD4BAB">
      <w:pPr>
        <w:jc w:val="both"/>
      </w:pPr>
    </w:p>
    <w:p w14:paraId="2DCA5265" w14:textId="77777777" w:rsidR="00CD4BAB" w:rsidRPr="00A04D7B" w:rsidRDefault="00CD4BAB">
      <w:pPr>
        <w:jc w:val="both"/>
      </w:pPr>
    </w:p>
    <w:p w14:paraId="45C7B72C" w14:textId="77777777" w:rsidR="00CD4BAB" w:rsidRPr="00A04D7B" w:rsidRDefault="00CD4BAB">
      <w:pPr>
        <w:jc w:val="both"/>
      </w:pPr>
    </w:p>
    <w:p w14:paraId="19CADB98" w14:textId="77777777" w:rsidR="00CD4BAB" w:rsidRPr="00A04D7B" w:rsidRDefault="00000000">
      <w:r w:rsidRPr="00A04D7B">
        <w:rPr>
          <w:noProof/>
        </w:rPr>
        <w:lastRenderedPageBreak/>
        <w:drawing>
          <wp:inline distT="0" distB="0" distL="0" distR="0" wp14:anchorId="00AF2CE7" wp14:editId="5B5A4034">
            <wp:extent cx="5640705" cy="3529723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" t="7315" r="18098" b="41568"/>
                    <a:stretch/>
                  </pic:blipFill>
                  <pic:spPr bwMode="auto">
                    <a:xfrm>
                      <a:off x="0" y="0"/>
                      <a:ext cx="5641200" cy="353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70A12" w14:textId="77777777" w:rsidR="00CD4BAB" w:rsidRPr="00A04D7B" w:rsidRDefault="00000000">
      <w:pPr>
        <w:jc w:val="both"/>
        <w:rPr>
          <w:rFonts w:cs="Times New Roman"/>
          <w:b/>
          <w:szCs w:val="24"/>
        </w:rPr>
      </w:pPr>
      <w:r w:rsidRPr="00A04D7B">
        <w:rPr>
          <w:b/>
          <w:bCs/>
        </w:rPr>
        <w:t>Figure S3: Induction of cytokine secretion by CC-3.</w:t>
      </w:r>
      <w:r w:rsidRPr="00A04D7B">
        <w:rPr>
          <w:rFonts w:cs="Times New Roman"/>
          <w:szCs w:val="24"/>
        </w:rPr>
        <w:t xml:space="preserve"> Monocyte-depleted PBMC of healthy donors were incubated with the indicated tumor cell lines (E:T 4:1) in the presence or absence of CC-3 or MOPCxCD3 (1 </w:t>
      </w:r>
      <w:proofErr w:type="spellStart"/>
      <w:r w:rsidRPr="00A04D7B">
        <w:rPr>
          <w:rFonts w:cs="Times New Roman"/>
          <w:szCs w:val="24"/>
        </w:rPr>
        <w:t>nM</w:t>
      </w:r>
      <w:proofErr w:type="spellEnd"/>
      <w:r w:rsidRPr="00A04D7B">
        <w:rPr>
          <w:rFonts w:cs="Times New Roman"/>
          <w:szCs w:val="24"/>
        </w:rPr>
        <w:t xml:space="preserve"> each). IL-10 and TNF levels in culture supernatants were measured after 24 h using </w:t>
      </w:r>
      <w:proofErr w:type="spellStart"/>
      <w:r w:rsidRPr="00A04D7B">
        <w:rPr>
          <w:rFonts w:cs="Times New Roman"/>
          <w:szCs w:val="24"/>
        </w:rPr>
        <w:t>LEGENDplex</w:t>
      </w:r>
      <w:proofErr w:type="spellEnd"/>
      <w:r w:rsidRPr="00A04D7B">
        <w:rPr>
          <w:rFonts w:cs="Times New Roman"/>
          <w:szCs w:val="24"/>
        </w:rPr>
        <w:t xml:space="preserve"> assays. Combined data obtained with PBMC of four independent donors are shown. E:T, effector to target; PBMC, peripheral blood mononuclear cell.</w:t>
      </w:r>
    </w:p>
    <w:p w14:paraId="242A22B1" w14:textId="77777777" w:rsidR="00CD4BAB" w:rsidRPr="00A04D7B" w:rsidRDefault="00CD4BAB">
      <w:pPr>
        <w:jc w:val="both"/>
      </w:pPr>
    </w:p>
    <w:p w14:paraId="7F81A515" w14:textId="77777777" w:rsidR="00CD4BAB" w:rsidRPr="00A04D7B" w:rsidRDefault="00CD4BAB">
      <w:pPr>
        <w:jc w:val="both"/>
      </w:pPr>
    </w:p>
    <w:p w14:paraId="2BA70D18" w14:textId="77777777" w:rsidR="00CD4BAB" w:rsidRPr="00A04D7B" w:rsidRDefault="00000000">
      <w:pPr>
        <w:spacing w:before="240"/>
      </w:pPr>
      <w:r w:rsidRPr="00A04D7B">
        <w:rPr>
          <w:noProof/>
        </w:rPr>
        <w:lastRenderedPageBreak/>
        <w:drawing>
          <wp:inline distT="0" distB="0" distL="0" distR="0" wp14:anchorId="305E0421" wp14:editId="21D120E2">
            <wp:extent cx="3603600" cy="32328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323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AE0BF0" w14:textId="77777777" w:rsidR="00CD4BAB" w:rsidRPr="00A04D7B" w:rsidRDefault="00000000">
      <w:pPr>
        <w:jc w:val="both"/>
      </w:pPr>
      <w:r w:rsidRPr="00A04D7B">
        <w:rPr>
          <w:b/>
          <w:bCs/>
        </w:rPr>
        <w:t>Figure S4 Induction of Perforin expression by CC-3</w:t>
      </w:r>
      <w:r w:rsidRPr="00A04D7B">
        <w:t>. Monocyte-depleted PBMC of healthy donors were incubated with the target cell lines</w:t>
      </w:r>
      <w:r w:rsidRPr="00A04D7B">
        <w:rPr>
          <w:b/>
          <w:bCs/>
        </w:rPr>
        <w:t xml:space="preserve"> A </w:t>
      </w:r>
      <w:r w:rsidRPr="00A04D7B">
        <w:t xml:space="preserve">PANC-1, </w:t>
      </w:r>
      <w:r w:rsidRPr="00A04D7B">
        <w:rPr>
          <w:b/>
          <w:bCs/>
        </w:rPr>
        <w:t>B</w:t>
      </w:r>
      <w:r w:rsidRPr="00A04D7B">
        <w:t xml:space="preserve"> Hep3B or </w:t>
      </w:r>
      <w:r w:rsidRPr="00A04D7B">
        <w:rPr>
          <w:b/>
          <w:bCs/>
        </w:rPr>
        <w:t>C</w:t>
      </w:r>
      <w:r w:rsidRPr="00A04D7B">
        <w:t xml:space="preserve"> NCI-N87 (E:T 4:1) in the presence or absence of CC-3 or MOPCxCD3 (1 </w:t>
      </w:r>
      <w:proofErr w:type="spellStart"/>
      <w:r w:rsidRPr="00A04D7B">
        <w:t>nM</w:t>
      </w:r>
      <w:proofErr w:type="spellEnd"/>
      <w:r w:rsidRPr="00A04D7B">
        <w:t xml:space="preserve"> each) for 3 h and subsequently stained for Perforin (green) and α-Tubulin (red). DAPI was used for counterstaining. Scale bars indicate 20 µm, original magnification x63. DAPI, 4′,6-diamidino-2-phenylindole; E:T, effector to target.</w:t>
      </w:r>
    </w:p>
    <w:p w14:paraId="2A0CD533" w14:textId="77777777" w:rsidR="00CD4BAB" w:rsidRPr="00A04D7B" w:rsidRDefault="00CD4BAB">
      <w:pPr>
        <w:jc w:val="both"/>
      </w:pPr>
    </w:p>
    <w:p w14:paraId="495BC54B" w14:textId="77777777" w:rsidR="00CD4BAB" w:rsidRPr="00A04D7B" w:rsidRDefault="00000000">
      <w:pPr>
        <w:spacing w:before="240"/>
        <w:jc w:val="both"/>
      </w:pPr>
      <w:r w:rsidRPr="00A04D7B">
        <w:rPr>
          <w:noProof/>
        </w:rPr>
        <w:lastRenderedPageBreak/>
        <w:drawing>
          <wp:inline distT="0" distB="0" distL="0" distR="0" wp14:anchorId="6EE74F19" wp14:editId="3AD2597C">
            <wp:extent cx="5072400" cy="390960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39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AC97D3" w14:textId="77777777" w:rsidR="00CD4BAB" w:rsidRPr="00A04D7B" w:rsidRDefault="00000000">
      <w:pPr>
        <w:jc w:val="both"/>
      </w:pPr>
      <w:r w:rsidRPr="00A04D7B">
        <w:rPr>
          <w:b/>
          <w:bCs/>
        </w:rPr>
        <w:t xml:space="preserve">Figure S5 Induction of T cell proliferation by CC-3. </w:t>
      </w:r>
      <w:r w:rsidRPr="00A04D7B">
        <w:t xml:space="preserve">Monocyte-depleted PBMC of healthy donors (n=4) were labelled with </w:t>
      </w:r>
      <w:proofErr w:type="spellStart"/>
      <w:r w:rsidRPr="00A04D7B">
        <w:t>CellTrace</w:t>
      </w:r>
      <w:r w:rsidRPr="00A04D7B">
        <w:rPr>
          <w:vertAlign w:val="superscript"/>
        </w:rPr>
        <w:t>TM</w:t>
      </w:r>
      <w:proofErr w:type="spellEnd"/>
      <w:r w:rsidRPr="00A04D7B">
        <w:t xml:space="preserve"> Violet cell dye and incubated with or without MOPCxCD3 or CC-3 (1 </w:t>
      </w:r>
      <w:proofErr w:type="spellStart"/>
      <w:r w:rsidRPr="00A04D7B">
        <w:t>nM</w:t>
      </w:r>
      <w:proofErr w:type="spellEnd"/>
      <w:r w:rsidRPr="00A04D7B">
        <w:t xml:space="preserve"> each) in the presence of the indicated target cell lines (E:T 4:1). After 72 h, cells were </w:t>
      </w:r>
      <w:proofErr w:type="spellStart"/>
      <w:r w:rsidRPr="00A04D7B">
        <w:t>reexposed</w:t>
      </w:r>
      <w:proofErr w:type="spellEnd"/>
      <w:r w:rsidRPr="00A04D7B">
        <w:t xml:space="preserve"> to fresh target cells and the respective treatment. After additional 24 h, cell dye dilution was determined by flow cytometry.</w:t>
      </w:r>
      <w:r w:rsidRPr="00A04D7B">
        <w:rPr>
          <w:rFonts w:cs="Times New Roman"/>
          <w:szCs w:val="24"/>
        </w:rPr>
        <w:t xml:space="preserve"> E:T, effector to target; PBMC, peripheral blood mononuclear cell.</w:t>
      </w:r>
    </w:p>
    <w:p w14:paraId="584961BA" w14:textId="77777777" w:rsidR="00CD4BAB" w:rsidRPr="00A04D7B" w:rsidRDefault="00000000">
      <w:pPr>
        <w:spacing w:before="240"/>
      </w:pPr>
      <w:r w:rsidRPr="00A04D7B">
        <w:rPr>
          <w:noProof/>
        </w:rPr>
        <w:lastRenderedPageBreak/>
        <w:drawing>
          <wp:inline distT="0" distB="0" distL="0" distR="0" wp14:anchorId="32BFB700" wp14:editId="7FDC4361">
            <wp:extent cx="4690800" cy="49140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49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701E0" w14:textId="77777777" w:rsidR="00CD4BAB" w:rsidRDefault="00000000">
      <w:pPr>
        <w:spacing w:before="240"/>
        <w:jc w:val="both"/>
      </w:pPr>
      <w:r w:rsidRPr="00A04D7B">
        <w:rPr>
          <w:b/>
          <w:bCs/>
        </w:rPr>
        <w:t xml:space="preserve">Figure S6 Extended functional characterization of CC-3. A </w:t>
      </w:r>
      <w:r w:rsidRPr="00A04D7B">
        <w:rPr>
          <w:rFonts w:cs="Times New Roman"/>
          <w:szCs w:val="24"/>
        </w:rPr>
        <w:t>The indicated cancer cell lines were stained using a murine monoclonal B7-H3 antibody (clone 7C4) followed by an anti-mouse PE conjugate and analyzed using flow cytometry. B7-H3 expression on</w:t>
      </w:r>
      <w:r w:rsidRPr="00A04D7B">
        <w:rPr>
          <w:rFonts w:cs="Times New Roman"/>
          <w:b/>
          <w:szCs w:val="24"/>
        </w:rPr>
        <w:t xml:space="preserve"> </w:t>
      </w:r>
      <w:r w:rsidRPr="00A04D7B">
        <w:rPr>
          <w:rFonts w:cs="Times New Roman"/>
          <w:szCs w:val="24"/>
        </w:rPr>
        <w:t>pancreatic cell lines Capan-1, Capan-2 and MIA-</w:t>
      </w:r>
      <w:proofErr w:type="spellStart"/>
      <w:r w:rsidRPr="00A04D7B">
        <w:rPr>
          <w:rFonts w:cs="Times New Roman"/>
          <w:szCs w:val="24"/>
        </w:rPr>
        <w:t>PaCa</w:t>
      </w:r>
      <w:proofErr w:type="spellEnd"/>
      <w:r w:rsidRPr="00A04D7B">
        <w:rPr>
          <w:rFonts w:cs="Times New Roman"/>
          <w:b/>
          <w:szCs w:val="24"/>
        </w:rPr>
        <w:t xml:space="preserve"> </w:t>
      </w:r>
      <w:r w:rsidRPr="00A04D7B">
        <w:rPr>
          <w:rFonts w:cs="Times New Roman"/>
          <w:szCs w:val="24"/>
        </w:rPr>
        <w:t xml:space="preserve">is shown (shaded peaks, anti-B7H3; open peaks, control). </w:t>
      </w:r>
      <w:r w:rsidRPr="00A04D7B">
        <w:rPr>
          <w:rFonts w:cs="Times New Roman"/>
          <w:b/>
          <w:szCs w:val="24"/>
        </w:rPr>
        <w:t>B </w:t>
      </w:r>
      <w:r w:rsidRPr="00A04D7B">
        <w:t xml:space="preserve">Monocyte-depleted </w:t>
      </w:r>
      <w:r w:rsidRPr="00A04D7B">
        <w:rPr>
          <w:rFonts w:cs="Times New Roman"/>
          <w:szCs w:val="24"/>
        </w:rPr>
        <w:t xml:space="preserve">PBMC of healthy donors (at least 2 donors) were incubated with the indicated target cells at an E:T ratio of 4:1 in the presence or absence of MOPCxCD3 or CC-3 (1 </w:t>
      </w:r>
      <w:proofErr w:type="spellStart"/>
      <w:r w:rsidRPr="00A04D7B">
        <w:rPr>
          <w:rFonts w:cs="Times New Roman"/>
          <w:szCs w:val="24"/>
        </w:rPr>
        <w:t>nM</w:t>
      </w:r>
      <w:proofErr w:type="spellEnd"/>
      <w:r w:rsidRPr="00A04D7B">
        <w:rPr>
          <w:rFonts w:cs="Times New Roman"/>
          <w:szCs w:val="24"/>
        </w:rPr>
        <w:t xml:space="preserve"> each). Lysis of Capan-1, Capan-2, MIA-</w:t>
      </w:r>
      <w:proofErr w:type="spellStart"/>
      <w:r w:rsidRPr="00A04D7B">
        <w:rPr>
          <w:rFonts w:cs="Times New Roman"/>
          <w:szCs w:val="24"/>
        </w:rPr>
        <w:t>PaCa</w:t>
      </w:r>
      <w:proofErr w:type="spellEnd"/>
      <w:r w:rsidRPr="00A04D7B">
        <w:rPr>
          <w:rFonts w:cs="Times New Roman"/>
          <w:szCs w:val="24"/>
        </w:rPr>
        <w:t>, SNU387 and MKN-45 was determined by flow cytometry-based lysis assay after 72 h. E:T, effector to target; PBMC, peripheral</w:t>
      </w:r>
      <w:r>
        <w:rPr>
          <w:rFonts w:cs="Times New Roman"/>
          <w:szCs w:val="24"/>
        </w:rPr>
        <w:t xml:space="preserve"> blood mononuclear cells.</w:t>
      </w:r>
    </w:p>
    <w:sectPr w:rsidR="00CD4BAB">
      <w:headerReference w:type="even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BE60D" w14:textId="77777777" w:rsidR="001F40FB" w:rsidRDefault="001F40FB">
      <w:pPr>
        <w:spacing w:after="0"/>
      </w:pPr>
      <w:r>
        <w:separator/>
      </w:r>
    </w:p>
  </w:endnote>
  <w:endnote w:type="continuationSeparator" w:id="0">
    <w:p w14:paraId="0B7BF8E5" w14:textId="77777777" w:rsidR="001F40FB" w:rsidRDefault="001F40F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9975" w14:textId="77777777" w:rsidR="001F40FB" w:rsidRDefault="001F40FB">
      <w:pPr>
        <w:spacing w:after="0"/>
      </w:pPr>
      <w:r>
        <w:separator/>
      </w:r>
    </w:p>
  </w:footnote>
  <w:footnote w:type="continuationSeparator" w:id="0">
    <w:p w14:paraId="491E6AA0" w14:textId="77777777" w:rsidR="001F40FB" w:rsidRDefault="001F40F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3D32E" w14:textId="77777777" w:rsidR="00CD4BAB" w:rsidRDefault="00000000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6E521" w14:textId="77777777" w:rsidR="00CD4BAB" w:rsidRDefault="00000000">
    <w:r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5B3BBFC" wp14:editId="5B3F599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942833577">
    <w:abstractNumId w:val="0"/>
  </w:num>
  <w:num w:numId="2" w16cid:durableId="1990986083">
    <w:abstractNumId w:val="4"/>
  </w:num>
  <w:num w:numId="3" w16cid:durableId="465321106">
    <w:abstractNumId w:val="1"/>
  </w:num>
  <w:num w:numId="4" w16cid:durableId="1372537490">
    <w:abstractNumId w:val="5"/>
  </w:num>
  <w:num w:numId="5" w16cid:durableId="1429426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70973314">
    <w:abstractNumId w:val="3"/>
  </w:num>
  <w:num w:numId="7" w16cid:durableId="537162075">
    <w:abstractNumId w:val="6"/>
  </w:num>
  <w:num w:numId="8" w16cid:durableId="1225599399">
    <w:abstractNumId w:val="6"/>
  </w:num>
  <w:num w:numId="9" w16cid:durableId="782387709">
    <w:abstractNumId w:val="6"/>
  </w:num>
  <w:num w:numId="10" w16cid:durableId="1556426172">
    <w:abstractNumId w:val="6"/>
  </w:num>
  <w:num w:numId="11" w16cid:durableId="1238174583">
    <w:abstractNumId w:val="6"/>
  </w:num>
  <w:num w:numId="12" w16cid:durableId="1890874646">
    <w:abstractNumId w:val="6"/>
  </w:num>
  <w:num w:numId="13" w16cid:durableId="1792935813">
    <w:abstractNumId w:val="3"/>
  </w:num>
  <w:num w:numId="14" w16cid:durableId="1424646355">
    <w:abstractNumId w:val="2"/>
  </w:num>
  <w:num w:numId="15" w16cid:durableId="641234521">
    <w:abstractNumId w:val="2"/>
  </w:num>
  <w:num w:numId="16" w16cid:durableId="1277563713">
    <w:abstractNumId w:val="2"/>
  </w:num>
  <w:num w:numId="17" w16cid:durableId="2112045046">
    <w:abstractNumId w:val="2"/>
  </w:num>
  <w:num w:numId="18" w16cid:durableId="924653705">
    <w:abstractNumId w:val="2"/>
  </w:num>
  <w:num w:numId="19" w16cid:durableId="2835858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BAB"/>
    <w:rsid w:val="001F40FB"/>
    <w:rsid w:val="00A04D7B"/>
    <w:rsid w:val="00CD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BF6BBD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2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40FC2FF-E158-4981-B7B9-728493B8C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7</Pages>
  <Words>660</Words>
  <Characters>3767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Steffan Davies</cp:lastModifiedBy>
  <cp:revision>19</cp:revision>
  <cp:lastPrinted>2023-01-26T13:43:00Z</cp:lastPrinted>
  <dcterms:created xsi:type="dcterms:W3CDTF">2023-03-24T07:37:00Z</dcterms:created>
  <dcterms:modified xsi:type="dcterms:W3CDTF">2023-03-30T16:13:00Z</dcterms:modified>
</cp:coreProperties>
</file>