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34" w:rsidRPr="00AF4509" w:rsidRDefault="00926D34" w:rsidP="002B2E1A">
      <w:pPr>
        <w:outlineLvl w:val="0"/>
        <w:rPr>
          <w:rFonts w:ascii="Times New Roman" w:hAnsi="Times New Roman"/>
          <w:sz w:val="24"/>
          <w:szCs w:val="24"/>
        </w:rPr>
      </w:pPr>
      <w:r w:rsidRPr="00AF4509">
        <w:rPr>
          <w:rFonts w:ascii="Times New Roman" w:hAnsi="Times New Roman"/>
          <w:sz w:val="24"/>
          <w:szCs w:val="24"/>
        </w:rPr>
        <w:t xml:space="preserve">Pre-clinical studies on </w:t>
      </w:r>
      <w:proofErr w:type="spellStart"/>
      <w:r w:rsidRPr="00AF4509">
        <w:rPr>
          <w:rFonts w:ascii="Times New Roman" w:hAnsi="Times New Roman"/>
          <w:sz w:val="24"/>
          <w:szCs w:val="24"/>
        </w:rPr>
        <w:t>ambroxol</w:t>
      </w:r>
      <w:proofErr w:type="spellEnd"/>
      <w:r w:rsidRPr="00AF4509">
        <w:rPr>
          <w:rFonts w:ascii="Times New Roman" w:hAnsi="Times New Roman"/>
          <w:sz w:val="24"/>
          <w:szCs w:val="24"/>
        </w:rPr>
        <w:t xml:space="preserve"> in </w:t>
      </w:r>
      <w:proofErr w:type="spellStart"/>
      <w:r w:rsidRPr="00AF4509">
        <w:rPr>
          <w:rFonts w:ascii="Times New Roman" w:hAnsi="Times New Roman"/>
          <w:sz w:val="24"/>
          <w:szCs w:val="24"/>
        </w:rPr>
        <w:t>synucleinopathies</w:t>
      </w:r>
      <w:proofErr w:type="spellEnd"/>
      <w:r w:rsidRPr="00AF4509">
        <w:rPr>
          <w:rFonts w:ascii="Times New Roman" w:hAnsi="Times New Roman"/>
          <w:sz w:val="24"/>
          <w:szCs w:val="24"/>
        </w:rPr>
        <w:t xml:space="preserve"> </w:t>
      </w:r>
    </w:p>
    <w:p w:rsidR="00860516" w:rsidRDefault="003B2401"/>
    <w:tbl>
      <w:tblPr>
        <w:tblStyle w:val="Tabela-Siatka"/>
        <w:tblW w:w="5000" w:type="pct"/>
        <w:tblLook w:val="04A0" w:firstRow="1" w:lastRow="0" w:firstColumn="1" w:lastColumn="0" w:noHBand="0" w:noVBand="1"/>
      </w:tblPr>
      <w:tblGrid>
        <w:gridCol w:w="3160"/>
        <w:gridCol w:w="1148"/>
        <w:gridCol w:w="4748"/>
      </w:tblGrid>
      <w:tr w:rsidR="00926D34" w:rsidRPr="008C4626" w:rsidTr="00836F48">
        <w:tc>
          <w:tcPr>
            <w:tcW w:w="1749" w:type="pct"/>
          </w:tcPr>
          <w:p w:rsidR="00926D34" w:rsidRPr="008C4626" w:rsidRDefault="00926D34" w:rsidP="00836F48">
            <w:pPr>
              <w:rPr>
                <w:rFonts w:asciiTheme="minorHAnsi" w:eastAsia="Calibri" w:hAnsiTheme="minorHAnsi"/>
                <w:b/>
                <w:color w:val="000000"/>
                <w:sz w:val="20"/>
                <w:szCs w:val="20"/>
                <w:lang w:val="en-US" w:eastAsia="zh-CN"/>
              </w:rPr>
            </w:pPr>
            <w:r w:rsidRPr="008C4626">
              <w:rPr>
                <w:rFonts w:asciiTheme="minorHAnsi" w:eastAsia="Calibri" w:hAnsiTheme="minorHAnsi"/>
                <w:b/>
                <w:color w:val="000000"/>
                <w:sz w:val="20"/>
                <w:szCs w:val="20"/>
                <w:lang w:val="en-US" w:eastAsia="zh-CN"/>
              </w:rPr>
              <w:t>Study/paper/reference</w:t>
            </w:r>
          </w:p>
        </w:tc>
        <w:tc>
          <w:tcPr>
            <w:tcW w:w="625" w:type="pct"/>
          </w:tcPr>
          <w:p w:rsidR="00926D34" w:rsidRPr="008C4626" w:rsidRDefault="00926D34" w:rsidP="00836F48">
            <w:pPr>
              <w:rPr>
                <w:rFonts w:asciiTheme="minorHAnsi" w:eastAsia="Calibri" w:hAnsiTheme="minorHAnsi"/>
                <w:b/>
                <w:color w:val="000000"/>
                <w:sz w:val="20"/>
                <w:szCs w:val="20"/>
                <w:lang w:val="en-US" w:eastAsia="zh-CN"/>
              </w:rPr>
            </w:pPr>
            <w:r w:rsidRPr="008C4626">
              <w:rPr>
                <w:rFonts w:asciiTheme="minorHAnsi" w:eastAsia="Calibri" w:hAnsiTheme="minorHAnsi"/>
                <w:b/>
                <w:color w:val="000000"/>
                <w:sz w:val="20"/>
                <w:szCs w:val="20"/>
                <w:lang w:val="en-US" w:eastAsia="zh-CN"/>
              </w:rPr>
              <w:t>Author</w:t>
            </w:r>
          </w:p>
          <w:p w:rsidR="00926D34" w:rsidRPr="008C4626" w:rsidRDefault="00926D34" w:rsidP="00836F48">
            <w:pPr>
              <w:rPr>
                <w:rFonts w:asciiTheme="minorHAnsi" w:eastAsia="Calibri" w:hAnsiTheme="minorHAnsi"/>
                <w:b/>
                <w:color w:val="000000"/>
                <w:sz w:val="20"/>
                <w:szCs w:val="20"/>
                <w:lang w:val="en-US" w:eastAsia="zh-CN"/>
              </w:rPr>
            </w:pPr>
            <w:r w:rsidRPr="008C4626">
              <w:rPr>
                <w:rFonts w:asciiTheme="minorHAnsi" w:eastAsia="Calibri" w:hAnsiTheme="minorHAnsi"/>
                <w:b/>
                <w:color w:val="000000"/>
                <w:sz w:val="20"/>
                <w:szCs w:val="20"/>
                <w:lang w:val="en-US" w:eastAsia="zh-CN"/>
              </w:rPr>
              <w:t>year</w:t>
            </w:r>
          </w:p>
        </w:tc>
        <w:tc>
          <w:tcPr>
            <w:tcW w:w="2626" w:type="pct"/>
          </w:tcPr>
          <w:p w:rsidR="00926D34" w:rsidRPr="008C4626" w:rsidRDefault="00926D34" w:rsidP="00836F48">
            <w:pPr>
              <w:rPr>
                <w:rFonts w:asciiTheme="minorHAnsi" w:eastAsia="Calibri" w:hAnsiTheme="minorHAnsi"/>
                <w:b/>
                <w:color w:val="000000"/>
                <w:sz w:val="20"/>
                <w:szCs w:val="20"/>
                <w:lang w:val="en-US" w:eastAsia="zh-CN"/>
              </w:rPr>
            </w:pPr>
            <w:r w:rsidRPr="008C4626">
              <w:rPr>
                <w:rFonts w:asciiTheme="minorHAnsi" w:eastAsia="Calibri" w:hAnsiTheme="minorHAnsi"/>
                <w:b/>
                <w:color w:val="000000"/>
                <w:sz w:val="20"/>
                <w:szCs w:val="20"/>
                <w:lang w:val="en-US" w:eastAsia="zh-CN"/>
              </w:rPr>
              <w:t>Conclusion</w:t>
            </w:r>
          </w:p>
        </w:tc>
      </w:tr>
      <w:tr w:rsidR="00926D34" w:rsidRPr="008C4626" w:rsidTr="00836F48">
        <w:tc>
          <w:tcPr>
            <w:tcW w:w="1749" w:type="pct"/>
          </w:tcPr>
          <w:p w:rsidR="00926D34" w:rsidRPr="008C4626" w:rsidRDefault="00926D34" w:rsidP="00836F48">
            <w:pPr>
              <w:rPr>
                <w:rFonts w:asciiTheme="minorHAnsi" w:eastAsia="Calibri" w:hAnsiTheme="minorHAnsi"/>
                <w:color w:val="000000"/>
                <w:sz w:val="20"/>
                <w:szCs w:val="20"/>
                <w:lang w:eastAsia="zh-CN"/>
              </w:rPr>
            </w:pPr>
            <w:r w:rsidRPr="008C4626">
              <w:rPr>
                <w:rFonts w:asciiTheme="minorHAnsi" w:eastAsia="Calibri" w:hAnsiTheme="minorHAnsi"/>
                <w:color w:val="000000"/>
                <w:sz w:val="20"/>
                <w:szCs w:val="20"/>
                <w:lang w:val="en-US" w:eastAsia="zh-CN"/>
              </w:rPr>
              <w:t xml:space="preserve">Identification and characterization of ambroxol as an enzyme enhancement agent for GD </w:t>
            </w:r>
            <w:r w:rsidR="0021398D"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&lt;citation&gt;&lt;priority&gt;0&lt;/priority&gt;&lt;uuid&gt;ACBEDD40-C2FE-47E0-848A-43B4BE489369&lt;/uuid&gt;&lt;publications&gt;&lt;publication&gt;&lt;subtype&gt;400&lt;/subtype&gt;&lt;publisher&gt;American Society for Biochemistry and Molecular Biology&lt;/publisher&gt;&lt;title&gt;Identification and characterization of ambroxol as an enzyme enhancement agent for Gaucher disease.&lt;/title&gt;&lt;url&gt;http://www.jbc.org/content/284/35/23502.full&lt;/url&gt;&lt;volume&gt;284&lt;/volume&gt;&lt;publication_date&gt;99200908281200000000222000&lt;/publication_date&gt;&lt;uuid&gt;4EF467B4-7504-48DA-800B-4403FDAAB420&lt;/uuid&gt;&lt;type&gt;400&lt;/type&gt;&lt;number&gt;35&lt;/number&gt;&lt;doi&gt;10.1074/jbc.M109.012393&lt;/doi&gt;&lt;institution&gt;Division of Clinical and Metabolic Genetics, Department of Paediatrics, The Hospital for Sick Children, 555 University Ave., Toronto, Ontario M5G 1X8, Canada.&lt;/institution&gt;&lt;startpage&gt;23502&lt;/startpage&gt;&lt;endpage&gt;23516&lt;/endpage&gt;&lt;bundle&gt;&lt;publication&gt;&lt;title&gt;Journal of Biological Chemistry&lt;/title&gt;&lt;uuid&gt;679D37AC-5626-4B18-BFD2-B5F406042070&lt;/uuid&gt;&lt;subtype&gt;-100&lt;/subtype&gt;&lt;type&gt;-100&lt;/type&gt;&lt;/publication&gt;&lt;/bundle&gt;&lt;authors&gt;&lt;author&gt;&lt;lastName&gt;Maegawa&lt;/lastName&gt;&lt;firstName&gt;Gustavo&lt;/firstName&gt;&lt;middleNames&gt;H B&lt;/middleNames&gt;&lt;/author&gt;&lt;author&gt;&lt;lastName&gt;Tropak&lt;/lastName&gt;&lt;firstName&gt;Michael&lt;/firstName&gt;&lt;middleNames&gt;B&lt;/middleNames&gt;&lt;/author&gt;&lt;author&gt;&lt;lastName&gt;Buttner&lt;/lastName&gt;&lt;firstName&gt;Justin&lt;/firstName&gt;&lt;middleNames&gt;D&lt;/middleNames&gt;&lt;/author&gt;&lt;author&gt;&lt;lastName&gt;Rigat&lt;/lastName&gt;&lt;firstName&gt;Brigitte&lt;/firstName&gt;&lt;middleNames&gt;A&lt;/middleNames&gt;&lt;/author&gt;&lt;author&gt;&lt;lastName&gt;Fuller&lt;/lastName&gt;&lt;firstName&gt;Maria&lt;/firstName&gt;&lt;/author&gt;&lt;author&gt;&lt;lastName&gt;Pandit&lt;/lastName&gt;&lt;firstName&gt;Deepangi&lt;/firstName&gt;&lt;/author&gt;&lt;author&gt;&lt;lastName&gt;Tang&lt;/lastName&gt;&lt;firstName&gt;Liangiie&lt;/firstName&gt;&lt;/author&gt;&lt;author&gt;&lt;lastName&gt;Kornhaber&lt;/lastName&gt;&lt;firstName&gt;Gregory&lt;/firstName&gt;&lt;middleNames&gt;J&lt;/middleNames&gt;&lt;/author&gt;&lt;author&gt;&lt;lastName&gt;Hamuro&lt;/lastName&gt;&lt;firstName&gt;Yoshitomo&lt;/firstName&gt;&lt;/author&gt;&lt;author&gt;&lt;lastName&gt;Clarke&lt;/lastName&gt;&lt;firstName&gt;Joe&lt;/firstName&gt;&lt;middleNames&gt;T R&lt;/middleNames&gt;&lt;/author&gt;&lt;author&gt;&lt;lastName&gt;Mahuran&lt;/lastName&gt;&lt;firstName&gt;Don&lt;/firstName&gt;&lt;middleNames&gt;J&lt;/middleNames&gt;&lt;/author&gt;&lt;/authors&gt;&lt;/publication&gt;&lt;/publications&gt;&lt;cites&gt;&lt;/cites&gt;&lt;/citation&gt;</w:instrText>
            </w:r>
            <w:r w:rsidR="0021398D"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(1)</w:t>
            </w:r>
            <w:r w:rsidR="0021398D"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Maegawa</w:t>
            </w:r>
            <w:proofErr w:type="spellEnd"/>
          </w:p>
          <w:p w:rsidR="00926D34" w:rsidRPr="008C4626" w:rsidRDefault="00926D34" w:rsidP="00836F48">
            <w:pPr>
              <w:rPr>
                <w:rFonts w:asciiTheme="minorHAnsi" w:eastAsia="Calibri" w:hAnsiTheme="minorHAnsi"/>
                <w:color w:val="000000"/>
                <w:sz w:val="20"/>
                <w:szCs w:val="20"/>
                <w:highlight w:val="yellow"/>
                <w:lang w:val="en-US" w:eastAsia="zh-CN"/>
              </w:rPr>
            </w:pPr>
            <w:r w:rsidRPr="008C4626">
              <w:rPr>
                <w:rFonts w:asciiTheme="minorHAnsi" w:eastAsia="Calibri" w:hAnsiTheme="minorHAnsi"/>
                <w:color w:val="000000"/>
                <w:sz w:val="20"/>
                <w:szCs w:val="20"/>
                <w:lang w:val="en-US" w:eastAsia="zh-CN"/>
              </w:rPr>
              <w:t>2009</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ABX has the biochemical characteristics of a safe and effective enzyme enhancement agent for the treatment of patients with GD patients.</w:t>
            </w:r>
          </w:p>
        </w:tc>
      </w:tr>
      <w:tr w:rsidR="00926D34" w:rsidRPr="008C4626" w:rsidTr="00836F48">
        <w:tc>
          <w:tcPr>
            <w:tcW w:w="1749" w:type="pct"/>
          </w:tcPr>
          <w:p w:rsidR="00926D34" w:rsidRPr="008C4626" w:rsidRDefault="00926D34" w:rsidP="00C30E21">
            <w:pPr>
              <w:rPr>
                <w:rFonts w:asciiTheme="minorHAnsi" w:eastAsia="Calibri" w:hAnsiTheme="minorHAnsi"/>
                <w:color w:val="000000"/>
                <w:sz w:val="20"/>
                <w:szCs w:val="20"/>
                <w:lang w:eastAsia="zh-CN"/>
              </w:rPr>
            </w:pPr>
            <w:r w:rsidRPr="008C4626">
              <w:rPr>
                <w:rFonts w:asciiTheme="minorHAnsi" w:eastAsia="Calibri" w:hAnsiTheme="minorHAnsi"/>
                <w:color w:val="000000"/>
                <w:sz w:val="20"/>
                <w:szCs w:val="20"/>
                <w:lang w:val="en-US" w:eastAsia="zh-CN"/>
              </w:rPr>
              <w:t xml:space="preserve">The chaperone activity and toxicity of ambroxol on </w:t>
            </w:r>
            <w:proofErr w:type="spellStart"/>
            <w:r w:rsidRPr="008C4626">
              <w:rPr>
                <w:rFonts w:asciiTheme="minorHAnsi" w:eastAsia="Calibri" w:hAnsiTheme="minorHAnsi"/>
                <w:color w:val="000000"/>
                <w:sz w:val="20"/>
                <w:szCs w:val="20"/>
                <w:lang w:val="en-US" w:eastAsia="zh-CN"/>
              </w:rPr>
              <w:t>Gaucher</w:t>
            </w:r>
            <w:proofErr w:type="spellEnd"/>
            <w:r w:rsidRPr="008C4626">
              <w:rPr>
                <w:rFonts w:asciiTheme="minorHAnsi" w:eastAsia="Calibri" w:hAnsiTheme="minorHAnsi"/>
                <w:color w:val="000000"/>
                <w:sz w:val="20"/>
                <w:szCs w:val="20"/>
                <w:lang w:val="en-US" w:eastAsia="zh-CN"/>
              </w:rPr>
              <w:t xml:space="preserve"> cells and normal mice </w:t>
            </w:r>
            <w:r w:rsidR="00C30E21"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&lt;citation&gt;&lt;priority&gt;0&lt;/priority&gt;&lt;uuid&gt;6F51684E-1C4B-4699-9BF5-F195A37F9CCD&lt;/uuid&gt;&lt;publications&gt;&lt;publication&gt;&lt;subtype&gt;400&lt;/subtype&gt;&lt;title&gt;The chaperone activity and toxicity of ambroxol on Gaucher cells and normal mice.&lt;/title&gt;&lt;url&gt;http://eutils.ncbi.nlm.nih.gov/entrez/eutils/elink.fcgi?dbfrom=pubmed&amp;amp;id=22682976&amp;amp;retmode=ref&amp;amp;cmd=prlinks&lt;/url&gt;&lt;volume&gt;35&lt;/volume&gt;&lt;revision_date&gt;99201202271200000000222000&lt;/revision_date&gt;&lt;publication_date&gt;99201304001200000000220000&lt;/publication_date&gt;&lt;uuid&gt;D1EDFCD8-050D-4BD2-AEC8-0340529E5937&lt;/uuid&gt;&lt;type&gt;400&lt;/type&gt;&lt;accepted_date&gt;99201205101200000000222000&lt;/accepted_date&gt;&lt;number&gt;4&lt;/number&gt;&lt;submission_date&gt;99201110171200000000222000&lt;/submission_date&gt;&lt;doi&gt;10.1016/j.braindev.2012.05.008&lt;/doi&gt;&lt;institution&gt;Division of Child Neurology, Institute of Neurological Sciences, Faculty of Medicine, Tottori University, 36-1 Nishi-cho, Yonago, Japan. nicholasluan@gmail.com&lt;/institution&gt;&lt;startpage&gt;317&lt;/startpage&gt;&lt;endpage&gt;322&lt;/endpage&gt;&lt;bundle&gt;&lt;publication&gt;&lt;title&gt;Brain and Development&lt;/title&gt;&lt;uuid&gt;E379FACD-FA5D-4EDE-83B3-5E5260565669&lt;/uuid&gt;&lt;subtype&gt;-100&lt;/subtype&gt;&lt;type&gt;-100&lt;/type&gt;&lt;/publication&gt;&lt;/bundle&gt;&lt;authors&gt;&lt;author&gt;&lt;lastName&gt;Luan&lt;/lastName&gt;&lt;firstName&gt;Zhuo&lt;/firstName&gt;&lt;/author&gt;&lt;author&gt;&lt;lastName&gt;Li&lt;/lastName&gt;&lt;firstName&gt;Linjing&lt;/firstName&gt;&lt;/author&gt;&lt;author&gt;&lt;lastName&gt;Higaki&lt;/lastName&gt;&lt;firstName&gt;Katsumi&lt;/firstName&gt;&lt;/author&gt;&lt;author&gt;&lt;lastName&gt;Nanba&lt;/lastName&gt;&lt;firstName&gt;Eiji&lt;/firstName&gt;&lt;/author&gt;&lt;author&gt;&lt;lastName&gt;Suzuki&lt;/lastName&gt;&lt;firstName&gt;Yoshiyuki&lt;/firstName&gt;&lt;/author&gt;&lt;author&gt;&lt;lastName&gt;Ohno&lt;/lastName&gt;&lt;firstName&gt;Kousaku&lt;/firstName&gt;&lt;/author&gt;&lt;/authors&gt;&lt;/publication&gt;&lt;/publications&gt;&lt;cites&gt;&lt;/cites&gt;&lt;/citation&gt;</w:instrText>
            </w:r>
            <w:r w:rsidR="00C30E21"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(2)</w:t>
            </w:r>
            <w:r w:rsidR="00C30E21"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pStyle w:val="Listapunktowana"/>
              <w:numPr>
                <w:ilvl w:val="0"/>
                <w:numId w:val="0"/>
              </w:numPr>
              <w:ind w:left="360" w:hanging="360"/>
              <w:rPr>
                <w:rFonts w:asciiTheme="minorHAnsi" w:hAnsiTheme="minorHAnsi"/>
                <w:sz w:val="20"/>
                <w:szCs w:val="20"/>
                <w:lang w:val="en-US" w:eastAsia="zh-CN"/>
              </w:rPr>
            </w:pPr>
            <w:r w:rsidRPr="008C4626">
              <w:rPr>
                <w:rFonts w:asciiTheme="minorHAnsi" w:hAnsiTheme="minorHAnsi"/>
                <w:sz w:val="20"/>
                <w:szCs w:val="20"/>
                <w:lang w:val="en-US" w:eastAsia="zh-CN"/>
              </w:rPr>
              <w:t>Luan</w:t>
            </w:r>
          </w:p>
          <w:p w:rsidR="00926D34" w:rsidRPr="008C4626" w:rsidRDefault="00926D34" w:rsidP="00836F48">
            <w:pPr>
              <w:rPr>
                <w:rFonts w:asciiTheme="minorHAnsi" w:eastAsia="Calibri" w:hAnsiTheme="minorHAnsi"/>
                <w:color w:val="000000"/>
                <w:sz w:val="20"/>
                <w:szCs w:val="20"/>
                <w:highlight w:val="yellow"/>
                <w:lang w:val="en-US" w:eastAsia="zh-CN"/>
              </w:rPr>
            </w:pPr>
            <w:r w:rsidRPr="008C4626">
              <w:rPr>
                <w:rFonts w:asciiTheme="minorHAnsi" w:hAnsiTheme="minorHAnsi"/>
                <w:sz w:val="20"/>
                <w:szCs w:val="20"/>
                <w:lang w:val="en-US" w:eastAsia="zh-CN"/>
              </w:rPr>
              <w:t>2013</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significantly increased the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in the spleen, heart and cerebellum of the mice. Good oral availability and wide distribution and chaperone activity in the tissues, including the brain and its lack of acute toxicity. </w:t>
            </w:r>
          </w:p>
        </w:tc>
      </w:tr>
      <w:tr w:rsidR="00926D34" w:rsidRPr="008C4626" w:rsidTr="00836F48">
        <w:tc>
          <w:tcPr>
            <w:tcW w:w="1749" w:type="pct"/>
          </w:tcPr>
          <w:p w:rsidR="00926D34" w:rsidRPr="008C4626" w:rsidRDefault="00926D34" w:rsidP="00C30E21">
            <w:pPr>
              <w:rPr>
                <w:rFonts w:asciiTheme="minorHAnsi" w:eastAsia="Calibri" w:hAnsiTheme="minorHAnsi"/>
                <w:color w:val="000000"/>
                <w:sz w:val="20"/>
                <w:szCs w:val="20"/>
                <w:lang w:eastAsia="zh-CN"/>
              </w:rPr>
            </w:pPr>
            <w:r w:rsidRPr="008C4626">
              <w:rPr>
                <w:rFonts w:asciiTheme="minorHAnsi" w:eastAsia="Calibri" w:hAnsiTheme="minorHAnsi"/>
                <w:color w:val="000000"/>
                <w:sz w:val="20"/>
                <w:szCs w:val="20"/>
                <w:lang w:val="en-US" w:eastAsia="zh-CN"/>
              </w:rPr>
              <w:t xml:space="preserve">Ambroxol as a pharmacological chaperone for mutant glucocerebrosidase </w:t>
            </w:r>
            <w:r w:rsidR="000F6C6A"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&lt;citation&gt;&lt;priority&gt;0&lt;/priority&gt;&lt;uuid&gt;5F9B3203-BC3A-4958-8C7B-D0B13E28909A&lt;/uuid&gt;&lt;publications&gt;&lt;publication&gt;&lt;subtype&gt;400&lt;/subtype&gt;&lt;title&gt;Ambroxol as a pharmacological chaperone for mutant glucocerebrosidase.&lt;/title&gt;&lt;url&gt;http://eutils.ncbi.nlm.nih.gov/entrez/eutils/elink.fcgi?dbfrom=pubmed&amp;amp;id=23158495&amp;amp;retmode=ref&amp;amp;cmd=prlinks&lt;/url&gt;&lt;volume&gt;50&lt;/volume&gt;&lt;publication_date&gt;99201302001200000000220000&lt;/publication_date&gt;&lt;uuid&gt;B0E454F1-AF95-4628-8B61-9084079AAB15&lt;/uuid&gt;&lt;type&gt;400&lt;/type&gt;&lt;accepted_date&gt;99201210131200000000222000&lt;/accepted_date&gt;&lt;number&gt;2&lt;/number&gt;&lt;submission_date&gt;99201210111200000000222000&lt;/submission_date&gt;&lt;doi&gt;10.1016/j.bcmd.2012.10.007&lt;/doi&gt;&lt;institution&gt;Department of Cell Research and Immunology, Tel Aviv University, Ramat Aviv, Israel.&lt;/institution&gt;&lt;startpage&gt;141&lt;/startpage&gt;&lt;endpage&gt;145&lt;/endpage&gt;&lt;bundle&gt;&lt;publication&gt;&lt;title&gt;Blood cells, molecules &amp;amp; diseases&lt;/title&gt;&lt;uuid&gt;B0371D63-31EA-45CA-8FB6-58119C69088B&lt;/uuid&gt;&lt;subtype&gt;-100&lt;/subtype&gt;&lt;type&gt;-100&lt;/type&gt;&lt;/publication&gt;&lt;/bundle&gt;&lt;authors&gt;&lt;author&gt;&lt;lastName&gt;Bendikov-Bar&lt;/lastName&gt;&lt;firstName&gt;Inna&lt;/firstName&gt;&lt;/author&gt;&lt;author&gt;&lt;lastName&gt;Maor&lt;/lastName&gt;&lt;firstName&gt;Gali&lt;/firstName&gt;&lt;/author&gt;&lt;author&gt;&lt;lastName&gt;Filocamo&lt;/lastName&gt;&lt;firstName&gt;Mirella&lt;/firstName&gt;&lt;/author&gt;&lt;author&gt;&lt;lastName&gt;Horowitz&lt;/lastName&gt;&lt;firstName&gt;Mia&lt;/firstName&gt;&lt;/author&gt;&lt;/authors&gt;&lt;/publication&gt;&lt;/publications&gt;&lt;cites&gt;&lt;/cites&gt;&lt;/citation&gt;</w:instrText>
            </w:r>
            <w:r w:rsidR="000F6C6A"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(3)</w:t>
            </w:r>
            <w:r w:rsidR="000F6C6A"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Bendikov</w:t>
            </w:r>
            <w:proofErr w:type="spellEnd"/>
            <w:r w:rsidRPr="008C4626">
              <w:rPr>
                <w:rFonts w:asciiTheme="minorHAnsi" w:eastAsia="Calibri" w:hAnsiTheme="minorHAnsi"/>
                <w:color w:val="000000"/>
                <w:sz w:val="20"/>
                <w:szCs w:val="20"/>
                <w:lang w:val="en-US" w:eastAsia="zh-CN"/>
              </w:rPr>
              <w:t xml:space="preserve"> Bar</w:t>
            </w:r>
          </w:p>
          <w:p w:rsidR="00926D34" w:rsidRPr="008C4626" w:rsidRDefault="00926D34" w:rsidP="00836F48">
            <w:pPr>
              <w:rPr>
                <w:rFonts w:asciiTheme="minorHAnsi" w:eastAsia="Calibri" w:hAnsiTheme="minorHAnsi"/>
                <w:color w:val="000000"/>
                <w:sz w:val="20"/>
                <w:szCs w:val="20"/>
                <w:highlight w:val="yellow"/>
                <w:lang w:val="en-US" w:eastAsia="zh-CN"/>
              </w:rPr>
            </w:pPr>
            <w:r w:rsidRPr="008C4626">
              <w:rPr>
                <w:rFonts w:asciiTheme="minorHAnsi" w:eastAsia="Calibri" w:hAnsiTheme="minorHAnsi"/>
                <w:color w:val="000000"/>
                <w:sz w:val="20"/>
                <w:szCs w:val="20"/>
                <w:lang w:val="en-US" w:eastAsia="zh-CN"/>
              </w:rPr>
              <w:t>2013</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increases the lysosomal fraction and the enzymatic activity of several mutant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variants in skin fibroblasts derived from Type 1 and Type 2 GD patients.</w:t>
            </w:r>
          </w:p>
        </w:tc>
      </w:tr>
      <w:tr w:rsidR="00926D34" w:rsidRPr="008C4626" w:rsidTr="00836F48">
        <w:tc>
          <w:tcPr>
            <w:tcW w:w="1749" w:type="pct"/>
          </w:tcPr>
          <w:p w:rsidR="00926D34" w:rsidRPr="008C4626" w:rsidRDefault="00926D34" w:rsidP="00C42984">
            <w:pPr>
              <w:rPr>
                <w:rFonts w:asciiTheme="minorHAnsi" w:eastAsia="Calibri" w:hAnsiTheme="minorHAnsi"/>
                <w:b/>
                <w:color w:val="000000"/>
                <w:sz w:val="20"/>
                <w:szCs w:val="20"/>
                <w:lang w:eastAsia="zh-CN"/>
              </w:rPr>
            </w:pPr>
            <w:r w:rsidRPr="008C4626">
              <w:rPr>
                <w:rFonts w:asciiTheme="minorHAnsi" w:eastAsia="Calibri" w:hAnsiTheme="minorHAnsi"/>
                <w:color w:val="000000"/>
                <w:sz w:val="20"/>
                <w:szCs w:val="20"/>
                <w:lang w:val="en-US" w:eastAsia="zh-CN"/>
              </w:rPr>
              <w:t xml:space="preserve">Ambroxol improves lysosomal biochemistry in glucocerebrosidase mutation-linked Parkinson disease cells </w:t>
            </w:r>
            <w:r w:rsidR="00C42984"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&lt;citation&gt;&lt;priority&gt;0&lt;/priority&gt;&lt;uuid&gt;4B1881DC-0CE4-439B-9E32-B6B278F3127D&lt;/uuid&gt;&lt;publications&gt;&lt;publication&gt;&lt;subtype&gt;400&lt;/subtype&gt;&lt;title&gt;Ambroxol improves lysosomal biochemistry in glucocerebrosidase mutation-linked Parkinson disease cells.&lt;/title&gt;&lt;url&gt;http://eutils.ncbi.nlm.nih.gov/entrez/eutils/elink.fcgi?dbfrom=pubmed&amp;amp;id=24574503&amp;amp;retmode=ref&amp;amp;cmd=prlinks&lt;/url&gt;&lt;volume&gt;137&lt;/volume&gt;&lt;publication_date&gt;99201405001200000000220000&lt;/publication_date&gt;&lt;uuid&gt;14D123A2-A58B-4264-AB56-DD76270D323B&lt;/uuid&gt;&lt;type&gt;400&lt;/type&gt;&lt;number&gt;Pt 5&lt;/number&gt;&lt;doi&gt;10.1093/brain/awu020&lt;/doi&gt;&lt;institution&gt;1 Department of Clinical Neurosciences, Institute of Neurology, University College London, UK.&lt;/institution&gt;&lt;startpage&gt;1481&lt;/startpage&gt;&lt;endpage&gt;1495&lt;/endpage&gt;&lt;bundle&gt;&lt;publication&gt;&lt;title&gt;Brain : a journal of neurology&lt;/title&gt;&lt;uuid&gt;3B45E2FA-2EE3-441E-9394-A40212A30146&lt;/uuid&gt;&lt;subtype&gt;-100&lt;/subtype&gt;&lt;publisher&gt;Oxford University Press&lt;/publisher&gt;&lt;type&gt;-100&lt;/type&gt;&lt;/publication&gt;&lt;/bundle&gt;&lt;authors&gt;&lt;author&gt;&lt;lastName&gt;McNeill&lt;/lastName&gt;&lt;firstName&gt;Alisdair&lt;/firstName&gt;&lt;/author&gt;&lt;author&gt;&lt;lastName&gt;Magalhaes&lt;/lastName&gt;&lt;firstName&gt;Joana&lt;/firstName&gt;&lt;/author&gt;&lt;author&gt;&lt;lastName&gt;Shen&lt;/lastName&gt;&lt;firstName&gt;Chengguo&lt;/firstName&gt;&lt;/author&gt;&lt;author&gt;&lt;lastName&gt;Chau&lt;/lastName&gt;&lt;firstName&gt;Kai-Yin&lt;/firstName&gt;&lt;/author&gt;&lt;author&gt;&lt;lastName&gt;Hughes&lt;/lastName&gt;&lt;firstName&gt;Derralyn&lt;/firstName&gt;&lt;/author&gt;&lt;author&gt;&lt;lastName&gt;Mehta&lt;/lastName&gt;&lt;firstName&gt;Atul&lt;/firstName&gt;&lt;/author&gt;&lt;author&gt;&lt;lastName&gt;Foltynie&lt;/lastName&gt;&lt;firstName&gt;Tom&lt;/firstName&gt;&lt;/author&gt;&lt;author&gt;&lt;lastName&gt;Cooper&lt;/lastName&gt;&lt;firstName&gt;J&lt;/firstName&gt;&lt;middleNames&gt;Mark&lt;/middleNames&gt;&lt;/author&gt;&lt;author&gt;&lt;lastName&gt;Abramov&lt;/lastName&gt;&lt;firstName&gt;Andrey&lt;/firstName&gt;&lt;middleNames&gt;Y&lt;/middleNames&gt;&lt;/author&gt;&lt;author&gt;&lt;lastName&gt;Gegg&lt;/lastName&gt;&lt;firstName&gt;Matthew&lt;/firstName&gt;&lt;/author&gt;&lt;author&gt;&lt;lastName&gt;Schapira&lt;/lastName&gt;&lt;firstName&gt;Anthony&lt;/firstName&gt;&lt;middleNames&gt;H V&lt;/middleNames&gt;&lt;/author&gt;&lt;/authors&gt;&lt;/publication&gt;&lt;/publications&gt;&lt;cites&gt;&lt;/cites&gt;&lt;/citation&gt;</w:instrText>
            </w:r>
            <w:r w:rsidR="00C42984"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(4)</w:t>
            </w:r>
            <w:r w:rsidR="00C42984"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McNeill</w:t>
            </w:r>
          </w:p>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2014</w:t>
            </w:r>
          </w:p>
        </w:tc>
        <w:tc>
          <w:tcPr>
            <w:tcW w:w="2626" w:type="pct"/>
          </w:tcPr>
          <w:p w:rsidR="00926D34" w:rsidRPr="008C4626" w:rsidRDefault="00926D34" w:rsidP="00EE14D9">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Treatment with ABX increased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in fibroblasts from healthy controls, GD and heterozygous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mutation carriers with and without PD. ABX significantly increases </w:t>
            </w:r>
            <w:proofErr w:type="spellStart"/>
            <w:r w:rsidR="00302467">
              <w:rPr>
                <w:rFonts w:asciiTheme="minorHAnsi" w:eastAsia="Calibri" w:hAnsiTheme="minorHAnsi"/>
                <w:color w:val="000000"/>
                <w:sz w:val="20"/>
                <w:szCs w:val="20"/>
                <w:lang w:val="en-US" w:eastAsia="zh-CN"/>
              </w:rPr>
              <w:t>GC</w:t>
            </w:r>
            <w:r w:rsidR="00EE14D9">
              <w:rPr>
                <w:rFonts w:asciiTheme="minorHAnsi" w:eastAsia="Calibri" w:hAnsiTheme="minorHAnsi"/>
                <w:color w:val="000000"/>
                <w:sz w:val="20"/>
                <w:szCs w:val="20"/>
                <w:lang w:val="en-US" w:eastAsia="zh-CN"/>
              </w:rPr>
              <w:t>ase</w:t>
            </w:r>
            <w:proofErr w:type="spellEnd"/>
            <w:r w:rsidR="00EE14D9">
              <w:rPr>
                <w:rFonts w:asciiTheme="minorHAnsi" w:eastAsia="Calibri" w:hAnsiTheme="minorHAnsi"/>
                <w:color w:val="000000"/>
                <w:sz w:val="20"/>
                <w:szCs w:val="20"/>
                <w:lang w:val="en-US" w:eastAsia="zh-CN"/>
              </w:rPr>
              <w:t xml:space="preserve"> </w:t>
            </w:r>
            <w:r w:rsidRPr="008C4626">
              <w:rPr>
                <w:rFonts w:asciiTheme="minorHAnsi" w:eastAsia="Calibri" w:hAnsiTheme="minorHAnsi"/>
                <w:color w:val="000000"/>
                <w:sz w:val="20"/>
                <w:szCs w:val="20"/>
                <w:lang w:val="en-US" w:eastAsia="zh-CN"/>
              </w:rPr>
              <w:t xml:space="preserve">activity and reduces markers of oxidative stress in cells bearing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mutations. </w:t>
            </w:r>
          </w:p>
        </w:tc>
      </w:tr>
      <w:tr w:rsidR="00926D34" w:rsidRPr="008C4626" w:rsidTr="00836F48">
        <w:tc>
          <w:tcPr>
            <w:tcW w:w="1749" w:type="pct"/>
          </w:tcPr>
          <w:p w:rsidR="00926D34" w:rsidRPr="008C4626" w:rsidRDefault="00926D34" w:rsidP="000F6C6A">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Ambroxol-induced rescue of defective glucocerebrosidase is associated with increased LIMP-2 and </w:t>
            </w:r>
            <w:proofErr w:type="spellStart"/>
            <w:r w:rsidRPr="008C4626">
              <w:rPr>
                <w:rFonts w:asciiTheme="minorHAnsi" w:eastAsia="Calibri" w:hAnsiTheme="minorHAnsi"/>
                <w:color w:val="000000"/>
                <w:sz w:val="20"/>
                <w:szCs w:val="20"/>
                <w:lang w:val="en-US" w:eastAsia="zh-CN"/>
              </w:rPr>
              <w:t>saposin</w:t>
            </w:r>
            <w:proofErr w:type="spellEnd"/>
            <w:r w:rsidRPr="008C4626">
              <w:rPr>
                <w:rFonts w:asciiTheme="minorHAnsi" w:eastAsia="Calibri" w:hAnsiTheme="minorHAnsi"/>
                <w:color w:val="000000"/>
                <w:sz w:val="20"/>
                <w:szCs w:val="20"/>
                <w:lang w:val="en-US" w:eastAsia="zh-CN"/>
              </w:rPr>
              <w:t xml:space="preserve"> C levels in GBA1 mutant Parkinson's disease cells</w:t>
            </w:r>
            <w:r w:rsidR="000F6C6A" w:rsidRPr="008C4626">
              <w:rPr>
                <w:rFonts w:asciiTheme="minorHAnsi" w:eastAsia="Calibri" w:hAnsiTheme="minorHAnsi"/>
                <w:color w:val="000000"/>
                <w:sz w:val="20"/>
                <w:szCs w:val="20"/>
                <w:lang w:val="en-US" w:eastAsia="zh-CN"/>
              </w:rPr>
              <w:t xml:space="preserve"> </w:t>
            </w:r>
            <w:r w:rsidR="007D2164"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&lt;citation&gt;&lt;priority&gt;0&lt;/priority&gt;&lt;uuid&gt;D72B2B8D-3550-45C9-B110-D1069C8D4850&lt;/uuid&gt;&lt;publications&gt;&lt;publication&gt;&lt;subtype&gt;400&lt;/subtype&gt;&lt;title&gt;Ambroxol-induced rescue of defective glucocerebrosidase is associated with increased LIMP-2 and saposin C levels in GBA1 mutant Parkinson's disease cells.&lt;/title&gt;&lt;url&gt;http://eutils.ncbi.nlm.nih.gov/entrez/eutils/elink.fcgi?dbfrom=pubmed&amp;amp;id=26094596&amp;amp;retmode=ref&amp;amp;cmd=prlinks&lt;/url&gt;&lt;volume&gt;82&lt;/volume&gt;&lt;revision_date&gt;99201506031200000000222000&lt;/revision_date&gt;&lt;publication_date&gt;99201510001200000000220000&lt;/publication_date&gt;&lt;uuid&gt;81453552-C53B-4A3D-AEF1-7A9A42BCA74E&lt;/uuid&gt;&lt;type&gt;400&lt;/type&gt;&lt;accepted_date&gt;99201506151200000000222000&lt;/accepted_date&gt;&lt;submission_date&gt;99201503101200000000222000&lt;/submission_date&gt;&lt;doi&gt;10.1016/j.nbd.2015.06.008&lt;/doi&gt;&lt;institution&gt;Center for Research in Neurodegenerative Diseases, C. Mondino National Neurological Institute, Pavia, Italy.&lt;/institution&gt;&lt;startpage&gt;235&lt;/startpage&gt;&lt;endpage&gt;242&lt;/endpage&gt;&lt;bundle&gt;&lt;publication&gt;&lt;title&gt;Neurobiology of disease&lt;/title&gt;&lt;uuid&gt;540F7E05-C26A-4486-AAE5-287D190A5AC5&lt;/uuid&gt;&lt;subtype&gt;-100&lt;/subtype&gt;&lt;type&gt;-100&lt;/type&gt;&lt;/publication&gt;&lt;/bundle&gt;&lt;authors&gt;&lt;author&gt;&lt;lastName&gt;Ambrosi&lt;/lastName&gt;&lt;firstName&gt;Giulia&lt;/firstName&gt;&lt;/author&gt;&lt;author&gt;&lt;lastName&gt;Ghezzi&lt;/lastName&gt;&lt;firstName&gt;Cristina&lt;/firstName&gt;&lt;/author&gt;&lt;author&gt;&lt;lastName&gt;Zangaglia&lt;/lastName&gt;&lt;firstName&gt;Roberta&lt;/firstName&gt;&lt;/author&gt;&lt;author&gt;&lt;lastName&gt;Levandis&lt;/lastName&gt;&lt;firstName&gt;Giovanna&lt;/firstName&gt;&lt;/author&gt;&lt;author&gt;&lt;lastName&gt;Pacchetti&lt;/lastName&gt;&lt;firstName&gt;Claudio&lt;/firstName&gt;&lt;/author&gt;&lt;author&gt;&lt;lastName&gt;Blandini&lt;/lastName&gt;&lt;firstName&gt;Fabio&lt;/firstName&gt;&lt;/author&gt;&lt;/authors&gt;&lt;/publication&gt;&lt;/publications&gt;&lt;cites&gt;&lt;/cites&gt;&lt;/citation&gt;</w:instrText>
            </w:r>
            <w:r w:rsidR="007D2164"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(5)</w:t>
            </w:r>
            <w:r w:rsidR="007D2164"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Ambrosi</w:t>
            </w:r>
            <w:proofErr w:type="spellEnd"/>
          </w:p>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2015</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increased </w:t>
            </w:r>
            <w:proofErr w:type="spellStart"/>
            <w:r w:rsidRPr="008C4626">
              <w:rPr>
                <w:rFonts w:asciiTheme="minorHAnsi" w:eastAsia="Calibri" w:hAnsiTheme="minorHAnsi"/>
                <w:color w:val="000000"/>
                <w:sz w:val="20"/>
                <w:szCs w:val="20"/>
                <w:lang w:val="en-US" w:eastAsia="zh-CN"/>
              </w:rPr>
              <w:t>cathepsin</w:t>
            </w:r>
            <w:proofErr w:type="spellEnd"/>
            <w:r w:rsidRPr="008C4626">
              <w:rPr>
                <w:rFonts w:asciiTheme="minorHAnsi" w:eastAsia="Calibri" w:hAnsiTheme="minorHAnsi"/>
                <w:color w:val="000000"/>
                <w:sz w:val="20"/>
                <w:szCs w:val="20"/>
                <w:lang w:val="en-US" w:eastAsia="zh-CN"/>
              </w:rPr>
              <w:t xml:space="preserve"> D,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and Sap C protein levels in all groups, while LIMP-2 levels were increased only in GBA1-mutant PD fibroblasts.</w:t>
            </w:r>
          </w:p>
        </w:tc>
      </w:tr>
      <w:tr w:rsidR="00926D34" w:rsidRPr="008C4626" w:rsidTr="00836F48">
        <w:tc>
          <w:tcPr>
            <w:tcW w:w="1749" w:type="pct"/>
          </w:tcPr>
          <w:p w:rsidR="00926D34" w:rsidRPr="008C4626" w:rsidRDefault="00926D34" w:rsidP="00153209">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Ambroxol effects in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and α-</w:t>
            </w:r>
            <w:proofErr w:type="spellStart"/>
            <w:r w:rsidRPr="008C4626">
              <w:rPr>
                <w:rFonts w:asciiTheme="minorHAnsi" w:eastAsia="Calibri" w:hAnsiTheme="minorHAnsi"/>
                <w:color w:val="000000"/>
                <w:sz w:val="20"/>
                <w:szCs w:val="20"/>
                <w:lang w:val="en-US" w:eastAsia="zh-CN"/>
              </w:rPr>
              <w:t>synuclein</w:t>
            </w:r>
            <w:proofErr w:type="spellEnd"/>
            <w:r w:rsidRPr="008C4626">
              <w:rPr>
                <w:rFonts w:asciiTheme="minorHAnsi" w:eastAsia="Calibri" w:hAnsiTheme="minorHAnsi"/>
                <w:color w:val="000000"/>
                <w:sz w:val="20"/>
                <w:szCs w:val="20"/>
                <w:lang w:val="en-US" w:eastAsia="zh-CN"/>
              </w:rPr>
              <w:t xml:space="preserve"> transgenic mice</w:t>
            </w:r>
            <w:r w:rsidR="000F6C6A" w:rsidRPr="008C4626">
              <w:rPr>
                <w:rFonts w:asciiTheme="minorHAnsi" w:eastAsia="Calibri" w:hAnsiTheme="minorHAnsi"/>
                <w:color w:val="000000"/>
                <w:sz w:val="20"/>
                <w:szCs w:val="20"/>
                <w:lang w:val="en-US" w:eastAsia="zh-CN"/>
              </w:rPr>
              <w:t xml:space="preserve"> </w:t>
            </w:r>
            <w:r w:rsidR="00153209"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&lt;citation&gt;&lt;priority&gt;0&lt;/priority&gt;&lt;uuid&gt;9BB8B6CA-4ADE-433E-8FA8-66A987DF1070&lt;/uuid&gt;&lt;publications&gt;&lt;publication&gt;&lt;subtype&gt;400&lt;/subtype&gt;&lt;publisher&gt;John Wiley &amp;amp; Sons, Ltd&lt;/publisher&gt;&lt;title&gt;Ambroxol effects in glucocerebrosidase and α</w:instrText>
            </w:r>
            <w:r w:rsidR="008C4626" w:rsidRPr="008C4626">
              <w:rPr>
                <w:rFonts w:asciiTheme="minorHAnsi" w:eastAsia="Calibri" w:hAnsiTheme="minorHAnsi" w:cs="Calibri"/>
                <w:color w:val="000000"/>
                <w:sz w:val="20"/>
                <w:szCs w:val="20"/>
                <w:lang w:val="en-US" w:eastAsia="zh-CN"/>
              </w:rPr>
              <w:instrText>‐</w:instrText>
            </w:r>
            <w:r w:rsidR="008C4626" w:rsidRPr="008C4626">
              <w:rPr>
                <w:rFonts w:asciiTheme="minorHAnsi" w:eastAsia="Calibri" w:hAnsiTheme="minorHAnsi"/>
                <w:color w:val="000000"/>
                <w:sz w:val="20"/>
                <w:szCs w:val="20"/>
                <w:lang w:val="en-US" w:eastAsia="zh-CN"/>
              </w:rPr>
              <w:instrText>synuclein transgenic mice&lt;/title&gt;&lt;url&gt;https://onlinelibrary.wiley.com/doi/full/10.1002/ana.24790&lt;/url&gt;&lt;volume&gt;80&lt;/volume&gt;&lt;publication_date&gt;99201611011200000000222000&lt;/publication_date&gt;&lt;uuid&gt;01EDAD09-875E-4312-85B9-459D042E3F14&lt;/uuid&gt;&lt;type&gt;400&lt;/type&gt;&lt;number&gt;5&lt;/number&gt;&lt;subtitle&gt;Ambroxol in Transgenic Mice&lt;/subtitle&gt;&lt;doi&gt;10.1002/ana.24790&lt;/doi&gt;&lt;startpage&gt;766&lt;/startpage&gt;&lt;endpage&gt;775&lt;/endpage&gt;&lt;bundle&gt;&lt;publication&gt;&lt;title&gt;Annals of Neurology&lt;/title&gt;&lt;uuid&gt;5D3D2C3E-A058-4EBC-BDA6-876BAF404110&lt;/uuid&gt;&lt;subtype&gt;-100&lt;/subtype&gt;&lt;publisher&gt;Wiley Subscription Services, Inc., A Wiley Company&lt;/publisher&gt;&lt;type&gt;-100&lt;/type&gt;&lt;/publication&gt;&lt;/bundle&gt;&lt;authors&gt;&lt;author&gt;&lt;lastName&gt;Richards&lt;/lastName&gt;&lt;firstName&gt;Anna&lt;/firstName&gt;&lt;middleNames&gt;Migdalska&lt;/middleNames&gt;&lt;/author&gt;&lt;author&gt;&lt;lastName&gt;Daly&lt;/lastName&gt;&lt;firstName&gt;Liam&lt;/firstName&gt;&lt;/author&gt;&lt;author&gt;&lt;lastName&gt;Bezard&lt;/lastName&gt;&lt;firstName&gt;Erwan&lt;/firstName&gt;&lt;/author&gt;&lt;author&gt;&lt;lastName&gt;Schapira&lt;/lastName&gt;&lt;firstName&gt;Anthony&lt;/firstName&gt;&lt;middleNames&gt;H V&lt;/middleNames&gt;&lt;/author&gt;&lt;/authors&gt;&lt;/publication&gt;&lt;/publications&gt;&lt;cites&gt;&lt;/cites&gt;&lt;/citation&gt;</w:instrText>
            </w:r>
            <w:r w:rsidR="00153209"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(6)</w:t>
            </w:r>
            <w:r w:rsidR="00153209"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Migdalska</w:t>
            </w:r>
            <w:proofErr w:type="spellEnd"/>
            <w:r w:rsidRPr="008C4626">
              <w:rPr>
                <w:rFonts w:asciiTheme="minorHAnsi" w:eastAsia="Calibri" w:hAnsiTheme="minorHAnsi"/>
                <w:color w:val="000000"/>
                <w:sz w:val="20"/>
                <w:szCs w:val="20"/>
                <w:lang w:val="en-US" w:eastAsia="zh-CN"/>
              </w:rPr>
              <w:t>-Richards</w:t>
            </w:r>
          </w:p>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2016</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treatment resulted in increased brain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in (1) wild-type mice, (2) transgenic mice expressing the heterozygous mutation in the murine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1 gene, and (3) transgenic mice overexpressing human alpha-</w:t>
            </w:r>
            <w:proofErr w:type="spellStart"/>
            <w:r w:rsidRPr="008C4626">
              <w:rPr>
                <w:rFonts w:asciiTheme="minorHAnsi" w:eastAsia="Calibri" w:hAnsiTheme="minorHAnsi"/>
                <w:color w:val="000000"/>
                <w:sz w:val="20"/>
                <w:szCs w:val="20"/>
                <w:lang w:val="en-US" w:eastAsia="zh-CN"/>
              </w:rPr>
              <w:t>synuclein</w:t>
            </w:r>
            <w:proofErr w:type="spellEnd"/>
            <w:r w:rsidRPr="008C4626">
              <w:rPr>
                <w:rFonts w:asciiTheme="minorHAnsi" w:eastAsia="Calibri" w:hAnsiTheme="minorHAnsi"/>
                <w:color w:val="000000"/>
                <w:sz w:val="20"/>
                <w:szCs w:val="20"/>
                <w:lang w:val="en-US" w:eastAsia="zh-CN"/>
              </w:rPr>
              <w:t xml:space="preserve">. </w:t>
            </w:r>
          </w:p>
        </w:tc>
      </w:tr>
      <w:tr w:rsidR="00926D34" w:rsidRPr="008C4626" w:rsidTr="00836F48">
        <w:tc>
          <w:tcPr>
            <w:tcW w:w="1749" w:type="pct"/>
          </w:tcPr>
          <w:p w:rsidR="00926D34" w:rsidRPr="008C4626" w:rsidRDefault="00926D34" w:rsidP="00DF6772">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Oral ambroxol increases brain glucocerebrosidase activity in a nonhuman primate </w:t>
            </w:r>
            <w:r w:rsidR="00FA56E2"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&lt;citation&gt;&lt;priority&gt;0&lt;/priority&gt;&lt;uuid&gt;82252FF1-2B30-444C-8F54-F3C0E031CD64&lt;/uuid&gt;&lt;publications&gt;&lt;publication&gt;&lt;subtype&gt;400&lt;/subtype&gt;&lt;publisher&gt;John Wiley &amp;amp; Sons, Ltd&lt;/publisher&gt;&lt;title&gt;Oral ambroxol increases brain glucocerebrosidase activity in a nonhuman primate.&lt;/title&gt;&lt;url&gt;https://onlinelibrary.wiley.com/doi/full/10.1002/syn.21967&lt;/url&gt;&lt;volume&gt;71&lt;/volume&gt;&lt;revision_date&gt;99201701241200000000222000&lt;/revision_date&gt;&lt;publication_date&gt;99201707001200000000220000&lt;/publication_date&gt;&lt;uuid&gt;F6843940-4164-4F91-86E1-07F906EB33D5&lt;/uuid&gt;&lt;type&gt;400&lt;/type&gt;&lt;accepted_date&gt;99201702121200000000222000&lt;/accepted_date&gt;&lt;number&gt;7&lt;/number&gt;&lt;submission_date&gt;99201611171200000000222000&lt;/submission_date&gt;&lt;doi&gt;10.1002/syn.21967&lt;/doi&gt;&lt;institution&gt;Department of Clinical Neurosciences, Institute of Neurology, University College London, NW3 2PF, United Kingdom.&lt;/institution&gt;&lt;startpage&gt;e21967&lt;/startpage&gt;&lt;bundle&gt;&lt;publication&gt;&lt;title&gt;Synapse (New York, N.Y.)&lt;/title&gt;&lt;uuid&gt;8F5E6437-32D6-4C83-97D0-AD15D4078F00&lt;/uuid&gt;&lt;subtype&gt;-100&lt;/subtype&gt;&lt;type&gt;-100&lt;/type&gt;&lt;/publication&gt;&lt;/bundle&gt;&lt;authors&gt;&lt;author&gt;&lt;lastName&gt;Migdalska-Richards&lt;/lastName&gt;&lt;firstName&gt;Anna&lt;/firstName&gt;&lt;/author&gt;&lt;author&gt;&lt;lastName&gt;Ko&lt;/lastName&gt;&lt;firstName&gt;Wai&lt;/firstName&gt;&lt;middleNames&gt;Kin D&lt;/middleNames&gt;&lt;/author&gt;&lt;author&gt;&lt;lastName&gt;Li&lt;/lastName&gt;&lt;firstName&gt;Qin&lt;/firstName&gt;&lt;/author&gt;&lt;author&gt;&lt;lastName&gt;Bezard&lt;/lastName&gt;&lt;firstName&gt;Erwan&lt;/firstName&gt;&lt;/author&gt;&lt;author&gt;&lt;lastName&gt;Schapira&lt;/lastName&gt;&lt;firstName&gt;Anthony&lt;/firstName&gt;&lt;middleNames&gt;H V&lt;/middleNames&gt;&lt;/author&gt;&lt;/authors&gt;&lt;/publication&gt;&lt;/publications&gt;&lt;cites&gt;&lt;/cites&gt;&lt;/citation&gt;</w:instrText>
            </w:r>
            <w:r w:rsidR="00FA56E2"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(7)</w:t>
            </w:r>
            <w:r w:rsidR="00FA56E2"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Migdalska</w:t>
            </w:r>
            <w:proofErr w:type="spellEnd"/>
            <w:r w:rsidRPr="008C4626">
              <w:rPr>
                <w:rFonts w:asciiTheme="minorHAnsi" w:eastAsia="Calibri" w:hAnsiTheme="minorHAnsi"/>
                <w:color w:val="000000"/>
                <w:sz w:val="20"/>
                <w:szCs w:val="20"/>
                <w:lang w:val="en-US" w:eastAsia="zh-CN"/>
              </w:rPr>
              <w:t>-Richards</w:t>
            </w:r>
          </w:p>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2017</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treatment increased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in </w:t>
            </w:r>
            <w:proofErr w:type="spellStart"/>
            <w:r w:rsidRPr="008C4626">
              <w:rPr>
                <w:rFonts w:asciiTheme="minorHAnsi" w:eastAsia="Calibri" w:hAnsiTheme="minorHAnsi"/>
                <w:color w:val="000000"/>
                <w:sz w:val="20"/>
                <w:szCs w:val="20"/>
                <w:lang w:val="en-US" w:eastAsia="zh-CN"/>
              </w:rPr>
              <w:t>cynomolgus</w:t>
            </w:r>
            <w:proofErr w:type="spellEnd"/>
            <w:r w:rsidRPr="008C4626">
              <w:rPr>
                <w:rFonts w:asciiTheme="minorHAnsi" w:eastAsia="Calibri" w:hAnsiTheme="minorHAnsi"/>
                <w:color w:val="000000"/>
                <w:sz w:val="20"/>
                <w:szCs w:val="20"/>
                <w:lang w:val="en-US" w:eastAsia="zh-CN"/>
              </w:rPr>
              <w:t xml:space="preserve"> monkeys. 20% increase in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 in the midbrain, cortex, and striatum. ABX might be capable of crossing the primate brain</w:t>
            </w:r>
            <w:r w:rsidRPr="008C4626">
              <w:rPr>
                <w:rFonts w:asciiTheme="minorHAnsi" w:eastAsia="Calibri" w:hAnsiTheme="minorHAnsi" w:cs="Calibri"/>
                <w:color w:val="000000"/>
                <w:sz w:val="20"/>
                <w:szCs w:val="20"/>
                <w:lang w:val="en-US" w:eastAsia="zh-CN"/>
              </w:rPr>
              <w:t>‐</w:t>
            </w:r>
            <w:r w:rsidRPr="008C4626">
              <w:rPr>
                <w:rFonts w:asciiTheme="minorHAnsi" w:eastAsia="Calibri" w:hAnsiTheme="minorHAnsi"/>
                <w:color w:val="000000"/>
                <w:sz w:val="20"/>
                <w:szCs w:val="20"/>
                <w:lang w:val="en-US" w:eastAsia="zh-CN"/>
              </w:rPr>
              <w:t>blood barrier and increasing wild</w:t>
            </w:r>
            <w:r w:rsidRPr="008C4626">
              <w:rPr>
                <w:rFonts w:asciiTheme="minorHAnsi" w:eastAsia="Calibri" w:hAnsiTheme="minorHAnsi" w:cs="Calibri"/>
                <w:color w:val="000000"/>
                <w:sz w:val="20"/>
                <w:szCs w:val="20"/>
                <w:lang w:val="en-US" w:eastAsia="zh-CN"/>
              </w:rPr>
              <w:t>‐</w:t>
            </w:r>
            <w:r w:rsidRPr="008C4626">
              <w:rPr>
                <w:rFonts w:asciiTheme="minorHAnsi" w:eastAsia="Calibri" w:hAnsiTheme="minorHAnsi"/>
                <w:color w:val="000000"/>
                <w:sz w:val="20"/>
                <w:szCs w:val="20"/>
                <w:lang w:val="en-US" w:eastAsia="zh-CN"/>
              </w:rPr>
              <w:t xml:space="preserve">type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activity.</w:t>
            </w:r>
          </w:p>
        </w:tc>
      </w:tr>
      <w:tr w:rsidR="00926D34" w:rsidRPr="008C4626" w:rsidTr="00836F48">
        <w:tc>
          <w:tcPr>
            <w:tcW w:w="1749" w:type="pct"/>
          </w:tcPr>
          <w:p w:rsidR="00926D34" w:rsidRPr="008C4626" w:rsidRDefault="00926D34" w:rsidP="00FA56E2">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Ambroxol modulates 6-Hydroxydopamine-induced temporal reduction in glucocerebrosidase enzymatic activity and PD symptoms </w:t>
            </w:r>
            <w:r w:rsidR="001A69C7"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&lt;citation&gt;&lt;priority&gt;0&lt;/priority&gt;&lt;uuid&gt;DEA6F2C5-A6EA-4902-8EEB-1838096EF80E&lt;/uuid&gt;&lt;publications&gt;&lt;publication&gt;&lt;subtype&gt;400&lt;/subtype&gt;&lt;title&gt;Ambroxol modulates 6-Hydroxydopamine-induced temporal reduction in Glucocerebrosidase (GCase) enzymatic activity and Parkinson's disease symptoms.&lt;/title&gt;&lt;url&gt;http://eutils.ncbi.nlm.nih.gov/entrez/eutils/elink.fcgi?dbfrom=pubmed&amp;amp;id=30040928&amp;amp;retmode=ref&amp;amp;cmd=prlinks&lt;/url&gt;&lt;volume&gt;155&lt;/volume&gt;&lt;publication_date&gt;99201809001200000000220000&lt;/publication_date&gt;&lt;uuid&gt;DDD296A4-678A-4969-80AB-18CFC5408272&lt;/uuid&gt;&lt;type&gt;400&lt;/type&gt;&lt;accepted_date&gt;99201807201200000000222000&lt;/accepted_date&gt;&lt;submission_date&gt;99201805071200000000222000&lt;/submission_date&gt;&lt;doi&gt;10.1016/j.bcp.2018.07.028&lt;/doi&gt;&lt;institution&gt;Neurotherapeutics Laboratory, Department of Pharmaceutical Engineering &amp;amp; Technology, Indian Institute of Technology (Banaras Hindu University), Varanasi 221005, U.P., India.&lt;/institution&gt;&lt;startpage&gt;479&lt;/startpage&gt;&lt;endpage&gt;493&lt;/endpage&gt;&lt;bundle&gt;&lt;publication&gt;&lt;title&gt;Biochemical pharmacology&lt;/title&gt;&lt;uuid&gt;96840050-F1C8-472B-9A32-3C21D7645CC5&lt;/uuid&gt;&lt;subtype&gt;-100&lt;/subtype&gt;&lt;type&gt;-100&lt;/type&gt;&lt;/publication&gt;&lt;/bundle&gt;&lt;authors&gt;&lt;author&gt;&lt;lastName&gt;Mishra&lt;/lastName&gt;&lt;firstName&gt;Akanksha&lt;/firstName&gt;&lt;/author&gt;&lt;author&gt;&lt;lastName&gt;Chandravanshi&lt;/lastName&gt;&lt;firstName&gt;Lalit&lt;/firstName&gt;&lt;middleNames&gt;Pratap&lt;/middleNames&gt;&lt;/author&gt;&lt;author&gt;&lt;lastName&gt;Trigun&lt;/lastName&gt;&lt;firstName&gt;Surendra&lt;/firstName&gt;&lt;middleNames&gt;Kumar&lt;/middleNames&gt;&lt;/author&gt;&lt;author&gt;&lt;lastName&gt;Krishnamurthy&lt;/lastName&gt;&lt;firstName&gt;Sairam&lt;/firstName&gt;&lt;/author&gt;&lt;/authors&gt;&lt;/publication&gt;&lt;/publications&gt;&lt;cites&gt;&lt;/cites&gt;&lt;/citation&gt;</w:instrText>
            </w:r>
            <w:r w:rsidR="001A69C7"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(8)</w:t>
            </w:r>
            <w:r w:rsidR="001A69C7"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Mishra</w:t>
            </w:r>
          </w:p>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2018</w:t>
            </w:r>
          </w:p>
          <w:p w:rsidR="00926D34" w:rsidRPr="008C4626" w:rsidRDefault="00926D34" w:rsidP="00836F48">
            <w:pPr>
              <w:rPr>
                <w:rFonts w:asciiTheme="minorHAnsi" w:eastAsia="Calibri" w:hAnsiTheme="minorHAnsi"/>
                <w:color w:val="000000"/>
                <w:sz w:val="20"/>
                <w:szCs w:val="20"/>
                <w:highlight w:val="yellow"/>
                <w:lang w:val="en-US" w:eastAsia="zh-CN"/>
              </w:rPr>
            </w:pP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The results suggest that Ambroxol attenuated 6-OHDA-induced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deficiency and PD symptoms.</w:t>
            </w:r>
          </w:p>
        </w:tc>
      </w:tr>
      <w:tr w:rsidR="00926D34" w:rsidRPr="008C4626" w:rsidTr="00836F48">
        <w:tc>
          <w:tcPr>
            <w:tcW w:w="1749"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hAnsiTheme="minorHAnsi"/>
                <w:color w:val="212121"/>
                <w:sz w:val="20"/>
                <w:szCs w:val="20"/>
                <w:shd w:val="clear" w:color="auto" w:fill="FFFFFF"/>
              </w:rPr>
              <w:t xml:space="preserve">Effects of </w:t>
            </w:r>
            <w:proofErr w:type="spellStart"/>
            <w:r w:rsidRPr="008C4626">
              <w:rPr>
                <w:rFonts w:asciiTheme="minorHAnsi" w:hAnsiTheme="minorHAnsi"/>
                <w:color w:val="212121"/>
                <w:sz w:val="20"/>
                <w:szCs w:val="20"/>
                <w:shd w:val="clear" w:color="auto" w:fill="FFFFFF"/>
              </w:rPr>
              <w:t>ambroxol</w:t>
            </w:r>
            <w:proofErr w:type="spellEnd"/>
            <w:r w:rsidRPr="008C4626">
              <w:rPr>
                <w:rFonts w:asciiTheme="minorHAnsi" w:hAnsiTheme="minorHAnsi"/>
                <w:color w:val="212121"/>
                <w:sz w:val="20"/>
                <w:szCs w:val="20"/>
                <w:shd w:val="clear" w:color="auto" w:fill="FFFFFF"/>
              </w:rPr>
              <w:t xml:space="preserve"> on the autophagy-lysosome pathway and mitochondria in primary cortical neurons</w:t>
            </w:r>
            <w:r w:rsidRPr="008C4626" w:rsidDel="001E75F6">
              <w:rPr>
                <w:rFonts w:asciiTheme="minorHAnsi" w:hAnsiTheme="minorHAnsi"/>
                <w:color w:val="212121"/>
                <w:sz w:val="20"/>
                <w:szCs w:val="20"/>
                <w:shd w:val="clear" w:color="auto" w:fill="FFFFFF"/>
              </w:rPr>
              <w:t xml:space="preserve"> </w:t>
            </w:r>
            <w:r w:rsidR="00BD1796" w:rsidRPr="008C4626">
              <w:rPr>
                <w:rFonts w:asciiTheme="minorHAnsi" w:hAnsiTheme="minorHAnsi"/>
                <w:color w:val="212121"/>
                <w:sz w:val="20"/>
                <w:szCs w:val="20"/>
                <w:shd w:val="clear" w:color="auto" w:fill="FFFFFF"/>
              </w:rPr>
              <w:fldChar w:fldCharType="begin"/>
            </w:r>
            <w:r w:rsidR="008C4626" w:rsidRPr="008C4626">
              <w:rPr>
                <w:rFonts w:asciiTheme="minorHAnsi" w:hAnsiTheme="minorHAnsi"/>
                <w:color w:val="212121"/>
                <w:sz w:val="20"/>
                <w:szCs w:val="20"/>
                <w:shd w:val="clear" w:color="auto" w:fill="FFFFFF"/>
              </w:rPr>
              <w:instrText xml:space="preserve"> ADDIN PAPERS2_CITATIONS &lt;citation&gt;&lt;priority&gt;0&lt;/priority&gt;&lt;uuid&gt;CFBF5778-BA59-4915-8854-1752C23482AE&lt;/uuid&gt;&lt;publications&gt;&lt;publication&gt;&lt;subtype&gt;400&lt;/subtype&gt;&lt;publisher&gt;Nature Publishing Group&lt;/publisher&gt;&lt;title&gt;Effects of ambroxol on the autophagy-lysosome pathway and mitochondria in primary cortical neurons&lt;/title&gt;&lt;url&gt;https://www.nature.com/articles/s41598-018-19479-8&lt;/url&gt;&lt;volume&gt;8&lt;/volume&gt;&lt;publication_date&gt;99201801231200000000222000&lt;/publication_date&gt;&lt;uuid&gt;A8F30C05-85C2-4C97-8F75-E3251A5924D6&lt;/uuid&gt;&lt;type&gt;400&lt;/type&gt;&lt;number&gt;1&lt;/number&gt;&lt;doi&gt;10.1038/s41598-018-19479-8&lt;/doi&gt;&lt;startpage&gt;1&lt;/startpage&gt;&lt;endpage&gt;12&lt;/endpage&gt;&lt;bundle&gt;&lt;publication&gt;&lt;title&gt;Scientific reports&lt;/title&gt;&lt;uuid&gt;6B6FF42C-3F76-4423-8947-88E95038950D&lt;/uuid&gt;&lt;subtype&gt;-100&lt;/subtype&gt;&lt;publisher&gt;Nature Publishing Group&lt;/publisher&gt;&lt;type&gt;-100&lt;/type&gt;&lt;/publication&gt;&lt;/bundle&gt;&lt;authors&gt;&lt;author&gt;&lt;lastName&gt;Magalhaes&lt;/lastName&gt;&lt;firstName&gt;J&lt;/firstName&gt;&lt;/author&gt;&lt;author&gt;&lt;lastName&gt;Gegg&lt;/lastName&gt;&lt;firstName&gt;M&lt;/firstName&gt;&lt;middleNames&gt;E&lt;/middleNames&gt;&lt;/author&gt;&lt;author&gt;&lt;lastName&gt;Migdalska-Richards&lt;/lastName&gt;&lt;firstName&gt;A&lt;/firstName&gt;&lt;/author&gt;&lt;author&gt;&lt;lastName&gt;Schapira&lt;/lastName&gt;&lt;firstName&gt;A&lt;/firstName&gt;&lt;middleNames&gt;H&lt;/middleNames&gt;&lt;/author&gt;&lt;/authors&gt;&lt;/publication&gt;&lt;/publications&gt;&lt;cites&gt;&lt;/cites&gt;&lt;/citation&gt;</w:instrText>
            </w:r>
            <w:r w:rsidR="00BD1796" w:rsidRPr="008C4626">
              <w:rPr>
                <w:rFonts w:asciiTheme="minorHAnsi" w:hAnsiTheme="minorHAnsi"/>
                <w:color w:val="212121"/>
                <w:sz w:val="20"/>
                <w:szCs w:val="20"/>
                <w:shd w:val="clear" w:color="auto" w:fill="FFFFFF"/>
              </w:rPr>
              <w:fldChar w:fldCharType="separate"/>
            </w:r>
            <w:r w:rsidR="008C4626" w:rsidRPr="008C4626">
              <w:rPr>
                <w:rFonts w:asciiTheme="minorHAnsi" w:eastAsiaTheme="minorHAnsi" w:hAnsiTheme="minorHAnsi"/>
                <w:sz w:val="20"/>
                <w:szCs w:val="20"/>
                <w:lang w:val="en" w:eastAsia="en-US"/>
              </w:rPr>
              <w:t>(9)</w:t>
            </w:r>
            <w:r w:rsidR="00BD1796" w:rsidRPr="008C4626">
              <w:rPr>
                <w:rFonts w:asciiTheme="minorHAnsi" w:hAnsiTheme="minorHAnsi"/>
                <w:color w:val="212121"/>
                <w:sz w:val="20"/>
                <w:szCs w:val="20"/>
                <w:shd w:val="clear" w:color="auto" w:fill="FFFFFF"/>
              </w:rPr>
              <w:fldChar w:fldCharType="end"/>
            </w:r>
          </w:p>
        </w:tc>
        <w:tc>
          <w:tcPr>
            <w:tcW w:w="625" w:type="pct"/>
          </w:tcPr>
          <w:p w:rsidR="00926D34" w:rsidRPr="008C4626" w:rsidRDefault="00926D34" w:rsidP="00836F48">
            <w:pPr>
              <w:rPr>
                <w:rFonts w:asciiTheme="minorHAnsi" w:eastAsia="Calibri" w:hAnsiTheme="minorHAnsi"/>
                <w:color w:val="000000"/>
                <w:sz w:val="20"/>
                <w:szCs w:val="20"/>
                <w:highlight w:val="yellow"/>
                <w:lang w:val="en-US" w:eastAsia="zh-CN"/>
              </w:rPr>
            </w:pPr>
            <w:proofErr w:type="spellStart"/>
            <w:r w:rsidRPr="008C4626">
              <w:rPr>
                <w:rFonts w:asciiTheme="minorHAnsi" w:hAnsiTheme="minorHAnsi"/>
                <w:color w:val="303030"/>
                <w:sz w:val="20"/>
                <w:szCs w:val="20"/>
                <w:shd w:val="clear" w:color="auto" w:fill="FFFFFF"/>
              </w:rPr>
              <w:t>Magalhaes</w:t>
            </w:r>
            <w:proofErr w:type="spellEnd"/>
            <w:r w:rsidRPr="008C4626">
              <w:rPr>
                <w:rFonts w:asciiTheme="minorHAnsi" w:hAnsiTheme="minorHAnsi"/>
                <w:color w:val="303030"/>
                <w:sz w:val="20"/>
                <w:szCs w:val="20"/>
                <w:shd w:val="clear" w:color="auto" w:fill="FFFFFF"/>
              </w:rPr>
              <w:t>, 2018</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hAnsiTheme="minorHAnsi"/>
                <w:color w:val="212121"/>
                <w:sz w:val="20"/>
                <w:szCs w:val="20"/>
                <w:shd w:val="clear" w:color="auto" w:fill="FFFFFF"/>
              </w:rPr>
              <w:t xml:space="preserve">Mitochondria content increased by ABX via peroxisome PGC1-α. Study suggest that ABX, besides being a </w:t>
            </w:r>
            <w:proofErr w:type="spellStart"/>
            <w:r w:rsidRPr="008C4626">
              <w:rPr>
                <w:rFonts w:asciiTheme="minorHAnsi" w:hAnsiTheme="minorHAnsi"/>
                <w:color w:val="212121"/>
                <w:sz w:val="20"/>
                <w:szCs w:val="20"/>
                <w:shd w:val="clear" w:color="auto" w:fill="FFFFFF"/>
              </w:rPr>
              <w:t>GCase</w:t>
            </w:r>
            <w:proofErr w:type="spellEnd"/>
            <w:r w:rsidRPr="008C4626">
              <w:rPr>
                <w:rFonts w:asciiTheme="minorHAnsi" w:hAnsiTheme="minorHAnsi"/>
                <w:color w:val="212121"/>
                <w:sz w:val="20"/>
                <w:szCs w:val="20"/>
                <w:shd w:val="clear" w:color="auto" w:fill="FFFFFF"/>
              </w:rPr>
              <w:t xml:space="preserve"> chaperone, also acts on other pathways (mitochondria, lysosomal biogenesis and the secretory).</w:t>
            </w:r>
          </w:p>
        </w:tc>
      </w:tr>
      <w:tr w:rsidR="00926D34" w:rsidRPr="008C4626" w:rsidTr="00836F48">
        <w:tc>
          <w:tcPr>
            <w:tcW w:w="1749"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Drosophila melanogaster mutated in its GBA1b </w:t>
            </w:r>
            <w:proofErr w:type="spellStart"/>
            <w:r w:rsidRPr="008C4626">
              <w:rPr>
                <w:rFonts w:asciiTheme="minorHAnsi" w:eastAsia="Calibri" w:hAnsiTheme="minorHAnsi"/>
                <w:color w:val="000000"/>
                <w:sz w:val="20"/>
                <w:szCs w:val="20"/>
                <w:lang w:val="en-US" w:eastAsia="zh-CN"/>
              </w:rPr>
              <w:t>ortholog</w:t>
            </w:r>
            <w:proofErr w:type="spellEnd"/>
            <w:r w:rsidRPr="008C4626">
              <w:rPr>
                <w:rFonts w:asciiTheme="minorHAnsi" w:eastAsia="Calibri" w:hAnsiTheme="minorHAnsi"/>
                <w:color w:val="000000"/>
                <w:sz w:val="20"/>
                <w:szCs w:val="20"/>
                <w:lang w:val="en-US" w:eastAsia="zh-CN"/>
              </w:rPr>
              <w:t xml:space="preserve"> recapitulates </w:t>
            </w:r>
            <w:proofErr w:type="spellStart"/>
            <w:r w:rsidRPr="008C4626">
              <w:rPr>
                <w:rFonts w:asciiTheme="minorHAnsi" w:eastAsia="Calibri" w:hAnsiTheme="minorHAnsi"/>
                <w:color w:val="000000"/>
                <w:sz w:val="20"/>
                <w:szCs w:val="20"/>
                <w:lang w:val="en-US" w:eastAsia="zh-CN"/>
              </w:rPr>
              <w:t>neuronopathic</w:t>
            </w:r>
            <w:proofErr w:type="spellEnd"/>
            <w:r w:rsidRPr="008C4626">
              <w:rPr>
                <w:rFonts w:asciiTheme="minorHAnsi" w:eastAsia="Calibri" w:hAnsiTheme="minorHAnsi"/>
                <w:color w:val="000000"/>
                <w:sz w:val="20"/>
                <w:szCs w:val="20"/>
                <w:lang w:val="en-US" w:eastAsia="zh-CN"/>
              </w:rPr>
              <w:t xml:space="preserve"> GD </w:t>
            </w:r>
            <w:r w:rsidR="00C377C3" w:rsidRPr="008C4626">
              <w:rPr>
                <w:rFonts w:asciiTheme="minorHAnsi" w:eastAsia="Calibri" w:hAnsiTheme="minorHAnsi"/>
                <w:color w:val="000000"/>
                <w:sz w:val="20"/>
                <w:szCs w:val="20"/>
                <w:lang w:val="en-US" w:eastAsia="zh-CN"/>
              </w:rPr>
              <w:fldChar w:fldCharType="begin"/>
            </w:r>
            <w:r w:rsidR="008C4626" w:rsidRPr="008C4626">
              <w:rPr>
                <w:rFonts w:asciiTheme="minorHAnsi" w:eastAsia="Calibri" w:hAnsiTheme="minorHAnsi"/>
                <w:color w:val="000000"/>
                <w:sz w:val="20"/>
                <w:szCs w:val="20"/>
                <w:lang w:val="en-US" w:eastAsia="zh-CN"/>
              </w:rPr>
              <w:instrText xml:space="preserve"> ADDIN PAPERS2_CITATIONS &lt;citation&gt;&lt;priority&gt;0&lt;/priority&gt;&lt;uuid&gt;3EF349FF-3C11-48DD-84D5-C8997D994B49&lt;/uuid&gt;&lt;publications&gt;&lt;publication&gt;&lt;subtype&gt;400&lt;/subtype&gt;&lt;publisher&gt;Multidisciplinary Digital Publishing Institute&lt;/publisher&gt;&lt;title&gt;Drosophila melanogaster Mutated in its GBA1b Ortholog Recapitulates Neuronopathic Gaucher Disease.&lt;/title&gt;&lt;url&gt;https://www.mdpi.com/2077-0383/8/9/1420/htm&lt;/url&gt;&lt;volume&gt;8&lt;/volume&gt;&lt;revision_date&gt;99201909041200000000222000&lt;/revision_date&gt;&lt;publication_date&gt;99201909091200000000222000&lt;/publication_date&gt;&lt;uuid&gt;1E93A551-6477-4FED-B023-ADB2E8849EDB&lt;/uuid&gt;&lt;type&gt;400&lt;/type&gt;&lt;accepted_date&gt;99201909051200000000222000&lt;/accepted_date&gt;&lt;number&gt;9&lt;/number&gt;&lt;submission_date&gt;99201907251200000000222000&lt;/submission_date&gt;&lt;doi&gt;10.3390/jcm8091420&lt;/doi&gt;&lt;institution&gt;School of Molecular Cell Biology and Biotechnology, Faculty of Life Sciences, Tel Aviv University, Ramat Aviv 69978, Israel.&lt;/institution&gt;&lt;startpage&gt;1420&lt;/startpage&gt;&lt;bundle&gt;&lt;publication&gt;&lt;title&gt;Journal of Clinical Medicine&lt;/title&gt;&lt;uuid&gt;B3C98CD9-BF55-40E2-934B-CEB18D30E542&lt;/uuid&gt;&lt;subtype&gt;-100&lt;/subtype&gt;&lt;publisher&gt;Multidisciplinary Digital Publishing Institute&lt;/publisher&gt;&lt;type&gt;-100&lt;/type&gt;&lt;/publication&gt;&lt;/bundle&gt;&lt;authors&gt;&lt;author&gt;&lt;lastName&gt;Cabasso&lt;/lastName&gt;&lt;firstName&gt;Or&lt;/firstName&gt;&lt;/author&gt;&lt;author&gt;&lt;lastName&gt;Paul&lt;/lastName&gt;&lt;firstName&gt;Sumit&lt;/firstName&gt;&lt;/author&gt;&lt;author&gt;&lt;lastName&gt;Dorot&lt;/lastName&gt;&lt;firstName&gt;Orly&lt;/firstName&gt;&lt;/author&gt;&lt;author&gt;&lt;lastName&gt;Maor&lt;/lastName&gt;&lt;firstName&gt;Gali&lt;/firstName&gt;&lt;/author&gt;&lt;author&gt;&lt;lastName&gt;Krivoruk&lt;/lastName&gt;&lt;firstName&gt;Olga&lt;/firstName&gt;&lt;/author&gt;&lt;author&gt;&lt;lastName&gt;Pasmanik-Chor&lt;/lastName&gt;&lt;firstName&gt;Metsada&lt;/firstName&gt;&lt;/author&gt;&lt;author&gt;&lt;lastName&gt;Mirzaian&lt;/lastName&gt;&lt;firstName&gt;Mina&lt;/firstName&gt;&lt;/author&gt;&lt;author&gt;&lt;lastName&gt;Ferraz&lt;/lastName&gt;&lt;firstName&gt;Maria&lt;/firstName&gt;&lt;/author&gt;&lt;author&gt;&lt;lastName&gt;Aerts&lt;/lastName&gt;&lt;firstName&gt;Johannes&lt;/firstName&gt;&lt;/author&gt;&lt;author&gt;&lt;lastName&gt;Horowitz&lt;/lastName&gt;&lt;firstName&gt;Mia&lt;/firstName&gt;&lt;/author&gt;&lt;/authors&gt;&lt;/publication&gt;&lt;/publications&gt;&lt;cites&gt;&lt;/cites&gt;&lt;/citation&gt;</w:instrText>
            </w:r>
            <w:r w:rsidR="00C377C3" w:rsidRPr="008C4626">
              <w:rPr>
                <w:rFonts w:asciiTheme="minorHAnsi" w:eastAsia="Calibri" w:hAnsiTheme="minorHAnsi"/>
                <w:color w:val="000000"/>
                <w:sz w:val="20"/>
                <w:szCs w:val="20"/>
                <w:lang w:val="en-US" w:eastAsia="zh-CN"/>
              </w:rPr>
              <w:fldChar w:fldCharType="separate"/>
            </w:r>
            <w:r w:rsidR="008C4626" w:rsidRPr="008C4626">
              <w:rPr>
                <w:rFonts w:asciiTheme="minorHAnsi" w:eastAsiaTheme="minorHAnsi" w:hAnsiTheme="minorHAnsi"/>
                <w:sz w:val="20"/>
                <w:szCs w:val="20"/>
                <w:lang w:val="en" w:eastAsia="en-US"/>
              </w:rPr>
              <w:t>(10)</w:t>
            </w:r>
            <w:r w:rsidR="00C377C3" w:rsidRPr="008C4626">
              <w:rPr>
                <w:rFonts w:asciiTheme="minorHAnsi" w:eastAsia="Calibri" w:hAnsiTheme="minorHAnsi"/>
                <w:color w:val="000000"/>
                <w:sz w:val="20"/>
                <w:szCs w:val="20"/>
                <w:lang w:val="en-US" w:eastAsia="zh-CN"/>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val="en-US" w:eastAsia="zh-CN"/>
              </w:rPr>
              <w:t>Cabaso</w:t>
            </w:r>
            <w:proofErr w:type="spellEnd"/>
            <w:r w:rsidRPr="008C4626">
              <w:rPr>
                <w:rFonts w:asciiTheme="minorHAnsi" w:eastAsia="Calibri" w:hAnsiTheme="minorHAnsi"/>
                <w:color w:val="000000"/>
                <w:sz w:val="20"/>
                <w:szCs w:val="20"/>
                <w:lang w:val="en-US" w:eastAsia="zh-CN"/>
              </w:rPr>
              <w:t xml:space="preserve"> </w:t>
            </w:r>
          </w:p>
          <w:p w:rsidR="00926D34" w:rsidRPr="008C4626" w:rsidRDefault="00926D34" w:rsidP="00836F48">
            <w:pPr>
              <w:pStyle w:val="Listapunktowana"/>
              <w:numPr>
                <w:ilvl w:val="0"/>
                <w:numId w:val="0"/>
              </w:numPr>
              <w:ind w:left="360" w:hanging="360"/>
              <w:rPr>
                <w:rFonts w:asciiTheme="minorHAnsi" w:hAnsiTheme="minorHAnsi"/>
                <w:sz w:val="20"/>
                <w:szCs w:val="20"/>
                <w:lang w:val="en-US" w:eastAsia="zh-CN"/>
              </w:rPr>
            </w:pPr>
            <w:r w:rsidRPr="008C4626">
              <w:rPr>
                <w:rFonts w:asciiTheme="minorHAnsi" w:eastAsia="Calibri" w:hAnsiTheme="minorHAnsi"/>
                <w:color w:val="000000"/>
                <w:sz w:val="20"/>
                <w:szCs w:val="20"/>
                <w:lang w:val="en-US" w:eastAsia="zh-CN"/>
              </w:rPr>
              <w:t>2019</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Reduced unfolded protein response. Reduced </w:t>
            </w:r>
            <w:proofErr w:type="spellStart"/>
            <w:r w:rsidRPr="008C4626">
              <w:rPr>
                <w:rFonts w:asciiTheme="minorHAnsi" w:eastAsia="Calibri" w:hAnsiTheme="minorHAnsi"/>
                <w:color w:val="000000"/>
                <w:sz w:val="20"/>
                <w:szCs w:val="20"/>
                <w:lang w:val="en-US" w:eastAsia="zh-CN"/>
              </w:rPr>
              <w:t>neuroinflammation</w:t>
            </w:r>
            <w:proofErr w:type="spellEnd"/>
            <w:r w:rsidRPr="008C4626">
              <w:rPr>
                <w:rFonts w:asciiTheme="minorHAnsi" w:eastAsia="Calibri" w:hAnsiTheme="minorHAnsi"/>
                <w:color w:val="000000"/>
                <w:sz w:val="20"/>
                <w:szCs w:val="20"/>
                <w:lang w:val="en-US" w:eastAsia="zh-CN"/>
              </w:rPr>
              <w:t>. Enhanced lifespan.</w:t>
            </w:r>
          </w:p>
        </w:tc>
      </w:tr>
      <w:tr w:rsidR="00926D34" w:rsidRPr="008C4626" w:rsidTr="00836F48">
        <w:tc>
          <w:tcPr>
            <w:tcW w:w="1749" w:type="pct"/>
          </w:tcPr>
          <w:p w:rsidR="00926D34" w:rsidRPr="008C4626" w:rsidRDefault="00926D34" w:rsidP="00B72208">
            <w:pPr>
              <w:rPr>
                <w:rFonts w:asciiTheme="minorHAnsi" w:eastAsia="Calibri" w:hAnsiTheme="minorHAnsi"/>
                <w:color w:val="000000"/>
                <w:sz w:val="20"/>
                <w:szCs w:val="20"/>
                <w:lang w:val="en-US" w:eastAsia="zh-CN"/>
              </w:rPr>
            </w:pPr>
            <w:proofErr w:type="spellStart"/>
            <w:r w:rsidRPr="008C4626">
              <w:rPr>
                <w:rFonts w:asciiTheme="minorHAnsi" w:eastAsia="Calibri" w:hAnsiTheme="minorHAnsi"/>
                <w:color w:val="000000"/>
                <w:sz w:val="20"/>
                <w:szCs w:val="20"/>
                <w:lang w:eastAsia="zh-CN"/>
              </w:rPr>
              <w:t>Neurorestorative</w:t>
            </w:r>
            <w:proofErr w:type="spellEnd"/>
            <w:r w:rsidRPr="008C4626">
              <w:rPr>
                <w:rFonts w:asciiTheme="minorHAnsi" w:eastAsia="Calibri" w:hAnsiTheme="minorHAnsi"/>
                <w:color w:val="000000"/>
                <w:sz w:val="20"/>
                <w:szCs w:val="20"/>
                <w:lang w:eastAsia="zh-CN"/>
              </w:rPr>
              <w:t xml:space="preserve"> effects of sub-chronic administration of </w:t>
            </w:r>
            <w:proofErr w:type="spellStart"/>
            <w:r w:rsidRPr="008C4626">
              <w:rPr>
                <w:rFonts w:asciiTheme="minorHAnsi" w:eastAsia="Calibri" w:hAnsiTheme="minorHAnsi"/>
                <w:color w:val="000000"/>
                <w:sz w:val="20"/>
                <w:szCs w:val="20"/>
                <w:lang w:eastAsia="zh-CN"/>
              </w:rPr>
              <w:t>ambroxol</w:t>
            </w:r>
            <w:proofErr w:type="spellEnd"/>
            <w:r w:rsidRPr="008C4626">
              <w:rPr>
                <w:rFonts w:asciiTheme="minorHAnsi" w:eastAsia="Calibri" w:hAnsiTheme="minorHAnsi"/>
                <w:color w:val="000000"/>
                <w:sz w:val="20"/>
                <w:szCs w:val="20"/>
                <w:lang w:eastAsia="zh-CN"/>
              </w:rPr>
              <w:t xml:space="preserve"> in rodent model of Parkinson's disease </w:t>
            </w:r>
            <w:r w:rsidR="00A47C75" w:rsidRPr="008C4626">
              <w:rPr>
                <w:rFonts w:asciiTheme="minorHAnsi" w:eastAsia="Calibri" w:hAnsiTheme="minorHAnsi"/>
                <w:color w:val="000000"/>
                <w:sz w:val="20"/>
                <w:szCs w:val="20"/>
                <w:lang w:eastAsia="zh-CN"/>
              </w:rPr>
              <w:fldChar w:fldCharType="begin"/>
            </w:r>
            <w:r w:rsidR="008C4626" w:rsidRPr="008C4626">
              <w:rPr>
                <w:rFonts w:asciiTheme="minorHAnsi" w:eastAsia="Calibri" w:hAnsiTheme="minorHAnsi"/>
                <w:color w:val="000000"/>
                <w:sz w:val="20"/>
                <w:szCs w:val="20"/>
                <w:lang w:eastAsia="zh-CN"/>
              </w:rPr>
              <w:instrText xml:space="preserve"> ADDIN PAPERS2_CITATIONS &lt;citation&gt;&lt;priority&gt;0&lt;/priority&gt;&lt;uuid&gt;D8F6B33E-60EA-4CD7-BB8B-706E6A404AC1&lt;/uuid&gt;&lt;publications&gt;&lt;publication&gt;&lt;subtype&gt;400&lt;/subtype&gt;&lt;publisher&gt;Springer Berlin Heidelberg&lt;/publisher&gt;&lt;title&gt;Neurorestorative effects of sub-chronic administration of ambroxol in rodent model of Parkinson’s disease&lt;/title&gt;&lt;url&gt;https://link.springer.com/article/10.1007/s00210-019-01737-9&lt;/url&gt;&lt;volume&gt;393&lt;/volume&gt;&lt;publication_date&gt;99202003011200000000222000&lt;/publication_date&gt;&lt;uuid&gt;E1EC7688-A383-4993-BFF7-86177E260F77&lt;/uuid&gt;&lt;type&gt;400&lt;/type&gt;&lt;number&gt;3&lt;/number&gt;&lt;doi&gt;10.1007/s00210-019-01737-9&lt;/doi&gt;&lt;startpage&gt;429&lt;/startpage&gt;&lt;endpage&gt;444&lt;/endpage&gt;&lt;bundle&gt;&lt;publication&gt;&lt;title&gt;Naunyn-Schmiedeberg's Archives of Pharmacology&lt;/title&gt;&lt;uuid&gt;2B297EC7-4E18-42C4-AFD6-276AE05F5640&lt;/uuid&gt;&lt;subtype&gt;-100&lt;/subtype&gt;&lt;publisher&gt;Springer Berlin Heidelberg&lt;/publisher&gt;&lt;type&gt;-100&lt;/type&gt;&lt;/publication&gt;&lt;/bundle&gt;&lt;authors&gt;&lt;author&gt;&lt;lastName&gt;Mishra&lt;/lastName&gt;&lt;firstName&gt;Akanksha&lt;/firstName&gt;&lt;/author&gt;&lt;author&gt;&lt;lastName&gt;Krishnamurthy&lt;/lastName&gt;&lt;firstName&gt;Sairam&lt;/firstName&gt;&lt;/author&gt;&lt;/authors&gt;&lt;/publication&gt;&lt;/publications&gt;&lt;cites&gt;&lt;/cites&gt;&lt;/citation&gt;</w:instrText>
            </w:r>
            <w:r w:rsidR="00A47C75" w:rsidRPr="008C4626">
              <w:rPr>
                <w:rFonts w:asciiTheme="minorHAnsi" w:eastAsia="Calibri" w:hAnsiTheme="minorHAnsi"/>
                <w:color w:val="000000"/>
                <w:sz w:val="20"/>
                <w:szCs w:val="20"/>
                <w:lang w:eastAsia="zh-CN"/>
              </w:rPr>
              <w:fldChar w:fldCharType="separate"/>
            </w:r>
            <w:r w:rsidR="008C4626" w:rsidRPr="008C4626">
              <w:rPr>
                <w:rFonts w:asciiTheme="minorHAnsi" w:eastAsiaTheme="minorHAnsi" w:hAnsiTheme="minorHAnsi"/>
                <w:sz w:val="20"/>
                <w:szCs w:val="20"/>
                <w:lang w:val="en" w:eastAsia="en-US"/>
              </w:rPr>
              <w:t>(11)</w:t>
            </w:r>
            <w:r w:rsidR="00A47C75" w:rsidRPr="008C4626">
              <w:rPr>
                <w:rFonts w:asciiTheme="minorHAnsi" w:eastAsia="Calibri" w:hAnsiTheme="minorHAnsi"/>
                <w:color w:val="000000"/>
                <w:sz w:val="20"/>
                <w:szCs w:val="20"/>
                <w:lang w:eastAsia="zh-CN"/>
              </w:rPr>
              <w:fldChar w:fldCharType="end"/>
            </w:r>
          </w:p>
        </w:tc>
        <w:tc>
          <w:tcPr>
            <w:tcW w:w="625" w:type="pct"/>
          </w:tcPr>
          <w:p w:rsidR="00926D34" w:rsidRPr="002B2E1A" w:rsidRDefault="00926D34" w:rsidP="00836F48">
            <w:pPr>
              <w:rPr>
                <w:rFonts w:asciiTheme="minorHAnsi" w:eastAsia="Calibri" w:hAnsiTheme="minorHAnsi"/>
                <w:color w:val="000000"/>
                <w:sz w:val="20"/>
                <w:szCs w:val="20"/>
                <w:lang w:val="en-US" w:eastAsia="zh-CN"/>
              </w:rPr>
            </w:pPr>
            <w:r w:rsidRPr="002B2E1A">
              <w:rPr>
                <w:rFonts w:asciiTheme="minorHAnsi" w:eastAsia="Calibri" w:hAnsiTheme="minorHAnsi"/>
                <w:color w:val="000000"/>
                <w:sz w:val="20"/>
                <w:szCs w:val="20"/>
                <w:lang w:val="en-US" w:eastAsia="zh-CN"/>
              </w:rPr>
              <w:t>Mishra</w:t>
            </w:r>
          </w:p>
          <w:p w:rsidR="00926D34" w:rsidRPr="008C4626" w:rsidRDefault="00926D34" w:rsidP="00836F48">
            <w:pPr>
              <w:rPr>
                <w:rFonts w:asciiTheme="minorHAnsi" w:eastAsia="Calibri" w:hAnsiTheme="minorHAnsi"/>
                <w:color w:val="000000"/>
                <w:sz w:val="20"/>
                <w:szCs w:val="20"/>
                <w:lang w:val="en-US" w:eastAsia="zh-CN"/>
              </w:rPr>
            </w:pPr>
            <w:r w:rsidRPr="002B2E1A">
              <w:rPr>
                <w:rFonts w:asciiTheme="minorHAnsi" w:eastAsia="Calibri" w:hAnsiTheme="minorHAnsi"/>
                <w:color w:val="000000"/>
                <w:sz w:val="20"/>
                <w:szCs w:val="20"/>
                <w:lang w:val="en-US" w:eastAsia="zh-CN"/>
              </w:rPr>
              <w:t>2020</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 xml:space="preserve">ABX restored TH and DAT levels and extracellular DA concentration, indicating the recovery of dopaminergic system. </w:t>
            </w:r>
            <w:proofErr w:type="spellStart"/>
            <w:r w:rsidRPr="008C4626">
              <w:rPr>
                <w:rFonts w:asciiTheme="minorHAnsi" w:eastAsia="Calibri" w:hAnsiTheme="minorHAnsi"/>
                <w:color w:val="000000"/>
                <w:sz w:val="20"/>
                <w:szCs w:val="20"/>
                <w:lang w:val="en-US" w:eastAsia="zh-CN"/>
              </w:rPr>
              <w:t>GCase</w:t>
            </w:r>
            <w:proofErr w:type="spellEnd"/>
            <w:r w:rsidRPr="008C4626">
              <w:rPr>
                <w:rFonts w:asciiTheme="minorHAnsi" w:eastAsia="Calibri" w:hAnsiTheme="minorHAnsi"/>
                <w:color w:val="000000"/>
                <w:sz w:val="20"/>
                <w:szCs w:val="20"/>
                <w:lang w:val="en-US" w:eastAsia="zh-CN"/>
              </w:rPr>
              <w:t xml:space="preserve"> enzymatic and mitochondrial complex-I activity were restored, and </w:t>
            </w:r>
            <w:proofErr w:type="spellStart"/>
            <w:r w:rsidRPr="008C4626">
              <w:rPr>
                <w:rFonts w:asciiTheme="minorHAnsi" w:eastAsia="Calibri" w:hAnsiTheme="minorHAnsi"/>
                <w:color w:val="000000"/>
                <w:sz w:val="20"/>
                <w:szCs w:val="20"/>
                <w:lang w:val="en-US" w:eastAsia="zh-CN"/>
              </w:rPr>
              <w:t>aS</w:t>
            </w:r>
            <w:proofErr w:type="spellEnd"/>
            <w:r w:rsidRPr="008C4626">
              <w:rPr>
                <w:rFonts w:asciiTheme="minorHAnsi" w:eastAsia="Calibri" w:hAnsiTheme="minorHAnsi"/>
                <w:color w:val="000000"/>
                <w:sz w:val="20"/>
                <w:szCs w:val="20"/>
                <w:lang w:val="en-US" w:eastAsia="zh-CN"/>
              </w:rPr>
              <w:t xml:space="preserve"> pathology was decreased</w:t>
            </w:r>
          </w:p>
        </w:tc>
      </w:tr>
      <w:tr w:rsidR="00926D34" w:rsidRPr="008C4626" w:rsidTr="00836F48">
        <w:tc>
          <w:tcPr>
            <w:tcW w:w="1749" w:type="pct"/>
          </w:tcPr>
          <w:p w:rsidR="00926D34" w:rsidRPr="008C4626" w:rsidRDefault="00926D34" w:rsidP="0019067F">
            <w:pPr>
              <w:rPr>
                <w:rFonts w:asciiTheme="minorHAnsi" w:eastAsia="Calibri" w:hAnsiTheme="minorHAnsi"/>
                <w:color w:val="000000"/>
                <w:sz w:val="20"/>
                <w:szCs w:val="20"/>
                <w:lang w:val="en-US" w:eastAsia="zh-CN"/>
              </w:rPr>
            </w:pPr>
            <w:proofErr w:type="spellStart"/>
            <w:r w:rsidRPr="008C4626">
              <w:rPr>
                <w:rFonts w:asciiTheme="minorHAnsi" w:hAnsiTheme="minorHAnsi"/>
                <w:color w:val="212121"/>
                <w:sz w:val="20"/>
                <w:szCs w:val="20"/>
                <w:shd w:val="clear" w:color="auto" w:fill="FFFFFF"/>
              </w:rPr>
              <w:t>Ambroxol</w:t>
            </w:r>
            <w:proofErr w:type="spellEnd"/>
            <w:r w:rsidRPr="008C4626">
              <w:rPr>
                <w:rFonts w:asciiTheme="minorHAnsi" w:hAnsiTheme="minorHAnsi"/>
                <w:color w:val="212121"/>
                <w:sz w:val="20"/>
                <w:szCs w:val="20"/>
                <w:shd w:val="clear" w:color="auto" w:fill="FFFFFF"/>
              </w:rPr>
              <w:t xml:space="preserve"> increases </w:t>
            </w:r>
            <w:proofErr w:type="spellStart"/>
            <w:r w:rsidRPr="008C4626">
              <w:rPr>
                <w:rFonts w:asciiTheme="minorHAnsi" w:hAnsiTheme="minorHAnsi"/>
                <w:color w:val="212121"/>
                <w:sz w:val="20"/>
                <w:szCs w:val="20"/>
                <w:shd w:val="clear" w:color="auto" w:fill="FFFFFF"/>
              </w:rPr>
              <w:t>GCase</w:t>
            </w:r>
            <w:proofErr w:type="spellEnd"/>
            <w:r w:rsidRPr="008C4626">
              <w:rPr>
                <w:rFonts w:asciiTheme="minorHAnsi" w:hAnsiTheme="minorHAnsi"/>
                <w:color w:val="212121"/>
                <w:sz w:val="20"/>
                <w:szCs w:val="20"/>
                <w:shd w:val="clear" w:color="auto" w:fill="FFFFFF"/>
              </w:rPr>
              <w:t xml:space="preserve"> activity and restores </w:t>
            </w:r>
            <w:proofErr w:type="spellStart"/>
            <w:r w:rsidRPr="008C4626">
              <w:rPr>
                <w:rFonts w:asciiTheme="minorHAnsi" w:hAnsiTheme="minorHAnsi"/>
                <w:color w:val="212121"/>
                <w:sz w:val="20"/>
                <w:szCs w:val="20"/>
                <w:shd w:val="clear" w:color="auto" w:fill="FFFFFF"/>
              </w:rPr>
              <w:t>GCase</w:t>
            </w:r>
            <w:proofErr w:type="spellEnd"/>
            <w:r w:rsidRPr="008C4626">
              <w:rPr>
                <w:rFonts w:asciiTheme="minorHAnsi" w:hAnsiTheme="minorHAnsi"/>
                <w:color w:val="212121"/>
                <w:sz w:val="20"/>
                <w:szCs w:val="20"/>
                <w:shd w:val="clear" w:color="auto" w:fill="FFFFFF"/>
              </w:rPr>
              <w:t xml:space="preserve"> translocation in primary patient-derived </w:t>
            </w:r>
            <w:r w:rsidR="00A47C75" w:rsidRPr="008C4626">
              <w:rPr>
                <w:rFonts w:asciiTheme="minorHAnsi" w:hAnsiTheme="minorHAnsi"/>
                <w:color w:val="212121"/>
                <w:sz w:val="20"/>
                <w:szCs w:val="20"/>
                <w:shd w:val="clear" w:color="auto" w:fill="FFFFFF"/>
              </w:rPr>
              <w:fldChar w:fldCharType="begin"/>
            </w:r>
            <w:r w:rsidR="008C4626" w:rsidRPr="008C4626">
              <w:rPr>
                <w:rFonts w:asciiTheme="minorHAnsi" w:hAnsiTheme="minorHAnsi"/>
                <w:color w:val="212121"/>
                <w:sz w:val="20"/>
                <w:szCs w:val="20"/>
                <w:shd w:val="clear" w:color="auto" w:fill="FFFFFF"/>
              </w:rPr>
              <w:instrText xml:space="preserve"> ADDIN PAPERS2_CITATIONS &lt;citation&gt;&lt;priority&gt;0&lt;/priority&gt;&lt;uuid&gt;0A8A8504-58AC-46F4-ABFC-4768AB384DFC&lt;/uuid&gt;&lt;publications&gt;&lt;publication&gt;&lt;subtype&gt;400&lt;/subtype&gt;&lt;title&gt;Ambroxol increases glucocerebrosidase (GCase) activity and restores GCase translocation in primary patient-derived macrophages in Gaucher disease and Parkinsonism.&lt;/title&gt;&lt;url&gt;http://eutils.ncbi.nlm.nih.gov/entrez/eutils/elink.fcgi?dbfrom=pubmed&amp;amp;id=33609962&amp;amp;retmode=ref&amp;amp;cmd=prlinks&lt;/url&gt;&lt;volume&gt;84&lt;/volume&gt;&lt;revision_date&gt;99202101111200000000222000&lt;/revision_date&gt;&lt;publication_date&gt;99202103001200000000220000&lt;/publication_date&gt;&lt;uuid&gt;94E4BB08-13C9-4B04-BA7E-9471F09AAC5B&lt;/uuid&gt;&lt;type&gt;400&lt;/type&gt;&lt;accepted_date&gt;99202102011200000000222000&lt;/accepted_date&gt;&lt;submission_date&gt;99202005141200000000222000&lt;/submission_date&gt;&lt;doi&gt;10.1016/j.parkreldis.2021.02.003&lt;/doi&gt;&lt;institution&gt;Petersburg Nuclear Physics Institute Named By B.P. Konstantinov of National Research Center «Kurchatov Institute», Gatchina, Russia. Electronic address: kopytovaalena@mail.ru.&lt;/institution&gt;&lt;startpage&gt;112&lt;/startpage&gt;&lt;endpage&gt;121&lt;/endpage&gt;&lt;bundle&gt;&lt;publication&gt;&lt;title&gt;Parkinsonism &amp;amp; related disorders&lt;/title&gt;&lt;uuid&gt;C9DC86C3-5290-44AD-9944-4B649F1A3699&lt;/uuid&gt;&lt;subtype&gt;-100&lt;/subtype&gt;&lt;publisher&gt;Elsevier Ltd&lt;/publisher&gt;&lt;type&gt;-100&lt;/type&gt;&lt;/publication&gt;&lt;/bundle&gt;&lt;authors&gt;&lt;author&gt;&lt;lastName&gt;Kopytova&lt;/lastName&gt;&lt;firstName&gt;A&lt;/firstName&gt;&lt;middleNames&gt;E&lt;/middleNames&gt;&lt;/author&gt;&lt;author&gt;&lt;lastName&gt;Rychkov&lt;/lastName&gt;&lt;firstName&gt;G&lt;/firstName&gt;&lt;middleNames&gt;N&lt;/middleNames&gt;&lt;/author&gt;&lt;author&gt;&lt;lastName&gt;Nikolaev&lt;/lastName&gt;&lt;firstName&gt;M&lt;/firstName&gt;&lt;middleNames&gt;A&lt;/middleNames&gt;&lt;/author&gt;&lt;author&gt;&lt;lastName&gt;Baydakova&lt;/lastName&gt;&lt;firstName&gt;G&lt;/firstName&gt;&lt;middleNames&gt;V&lt;/middleNames&gt;&lt;/author&gt;&lt;author&gt;&lt;lastName&gt;Cheblokov&lt;/lastName&gt;&lt;firstName&gt;A&lt;/firstName&gt;&lt;middleNames&gt;A&lt;/middleNames&gt;&lt;/author&gt;&lt;author&gt;&lt;lastName&gt;Senkevich&lt;/lastName&gt;&lt;firstName&gt;K&lt;/firstName&gt;&lt;middleNames&gt;A&lt;/middleNames&gt;&lt;/author&gt;&lt;author&gt;&lt;lastName&gt;Bogdanova&lt;/lastName&gt;&lt;firstName&gt;D&lt;/firstName&gt;&lt;middleNames&gt;A&lt;/middleNames&gt;&lt;/author&gt;&lt;author&gt;&lt;lastName&gt;Bolshakova&lt;/lastName&gt;&lt;firstName&gt;O&lt;/firstName&gt;&lt;middleNames&gt;I&lt;/middleNames&gt;&lt;/author&gt;&lt;author&gt;&lt;lastName&gt;Miliukhina&lt;/lastName&gt;&lt;firstName&gt;I&lt;/firstName&gt;&lt;middleNames&gt;V&lt;/middleNames&gt;&lt;/author&gt;&lt;author&gt;&lt;lastName&gt;Bezrukikh&lt;/lastName&gt;&lt;firstName&gt;V&lt;/firstName&gt;&lt;middleNames&gt;A&lt;/middleNames&gt;&lt;/author&gt;&lt;author&gt;&lt;lastName&gt;Salogub&lt;/lastName&gt;&lt;firstName&gt;G&lt;/firstName&gt;&lt;middleNames&gt;N&lt;/middleNames&gt;&lt;/author&gt;&lt;author&gt;&lt;lastName&gt;Sarantseva&lt;/lastName&gt;&lt;firstName&gt;S&lt;/firstName&gt;&lt;middleNames&gt;V&lt;/middleNames&gt;&lt;/author&gt;&lt;author&gt;&lt;lastName&gt;Usenko&lt;/lastName&gt;&lt;firstName&gt;T&lt;/firstName&gt;&lt;middleNames&gt;C&lt;/middleNames&gt;&lt;/author&gt;&lt;author&gt;&lt;lastName&gt;Zakharova&lt;/lastName&gt;&lt;firstName&gt;E&lt;/firstName&gt;&lt;middleNames&gt;Y&lt;/middleNames&gt;&lt;/author&gt;&lt;author&gt;&lt;lastName&gt;Emelyanov&lt;/lastName&gt;&lt;firstName&gt;A&lt;/firstName&gt;&lt;middleNames&gt;K&lt;/middleNames&gt;&lt;/author&gt;&lt;author&gt;&lt;lastName&gt;Pchelina&lt;/lastName&gt;&lt;firstName&gt;S&lt;/firstName&gt;&lt;middleNames&gt;N&lt;/middleNames&gt;&lt;/author&gt;&lt;/authors&gt;&lt;/publication&gt;&lt;/publications&gt;&lt;cites&gt;&lt;/cites&gt;&lt;/citation&gt;</w:instrText>
            </w:r>
            <w:r w:rsidR="00A47C75" w:rsidRPr="008C4626">
              <w:rPr>
                <w:rFonts w:asciiTheme="minorHAnsi" w:hAnsiTheme="minorHAnsi"/>
                <w:color w:val="212121"/>
                <w:sz w:val="20"/>
                <w:szCs w:val="20"/>
                <w:shd w:val="clear" w:color="auto" w:fill="FFFFFF"/>
              </w:rPr>
              <w:fldChar w:fldCharType="separate"/>
            </w:r>
            <w:r w:rsidR="008C4626" w:rsidRPr="008C4626">
              <w:rPr>
                <w:rFonts w:asciiTheme="minorHAnsi" w:eastAsiaTheme="minorHAnsi" w:hAnsiTheme="minorHAnsi"/>
                <w:sz w:val="20"/>
                <w:szCs w:val="20"/>
                <w:lang w:val="en" w:eastAsia="en-US"/>
              </w:rPr>
              <w:t>(12)</w:t>
            </w:r>
            <w:r w:rsidR="00A47C75" w:rsidRPr="008C4626">
              <w:rPr>
                <w:rFonts w:asciiTheme="minorHAnsi" w:hAnsiTheme="minorHAnsi"/>
                <w:color w:val="212121"/>
                <w:sz w:val="20"/>
                <w:szCs w:val="20"/>
                <w:shd w:val="clear" w:color="auto" w:fill="FFFFFF"/>
              </w:rPr>
              <w:fldChar w:fldCharType="end"/>
            </w:r>
            <w:r w:rsidR="0019067F" w:rsidRPr="008C4626">
              <w:rPr>
                <w:rFonts w:asciiTheme="minorHAnsi" w:hAnsiTheme="minorHAnsi"/>
                <w:color w:val="212121"/>
                <w:sz w:val="20"/>
                <w:szCs w:val="20"/>
                <w:shd w:val="clear" w:color="auto" w:fill="FFFFFF"/>
              </w:rPr>
              <w:t xml:space="preserve"> </w:t>
            </w:r>
            <w:r w:rsidRPr="008C4626">
              <w:rPr>
                <w:rFonts w:asciiTheme="minorHAnsi" w:hAnsiTheme="minorHAnsi"/>
                <w:color w:val="212121"/>
                <w:sz w:val="20"/>
                <w:szCs w:val="20"/>
                <w:shd w:val="clear" w:color="auto" w:fill="FFFFFF"/>
              </w:rPr>
              <w:lastRenderedPageBreak/>
              <w:t>macrophages in GD and parkinsonism</w:t>
            </w:r>
            <w:r w:rsidR="0019067F" w:rsidRPr="008C4626">
              <w:rPr>
                <w:rFonts w:asciiTheme="minorHAnsi" w:eastAsiaTheme="minorHAnsi" w:hAnsiTheme="minorHAnsi"/>
                <w:sz w:val="20"/>
                <w:szCs w:val="20"/>
                <w:lang w:val="en" w:eastAsia="en-US"/>
              </w:rPr>
              <w:t xml:space="preserve"> Kopytova:2021cc}</w:t>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hAnsiTheme="minorHAnsi"/>
                <w:color w:val="303030"/>
                <w:sz w:val="20"/>
                <w:szCs w:val="20"/>
                <w:shd w:val="clear" w:color="auto" w:fill="FFFFFF"/>
              </w:rPr>
              <w:lastRenderedPageBreak/>
              <w:t>Kopytova</w:t>
            </w:r>
            <w:proofErr w:type="spellEnd"/>
            <w:r w:rsidRPr="008C4626">
              <w:rPr>
                <w:rFonts w:asciiTheme="minorHAnsi" w:hAnsiTheme="minorHAnsi"/>
                <w:color w:val="303030"/>
                <w:sz w:val="20"/>
                <w:szCs w:val="20"/>
                <w:shd w:val="clear" w:color="auto" w:fill="FFFFFF"/>
              </w:rPr>
              <w:t>, 2021</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hAnsiTheme="minorHAnsi"/>
                <w:color w:val="212121"/>
                <w:sz w:val="20"/>
                <w:szCs w:val="20"/>
                <w:shd w:val="clear" w:color="auto" w:fill="FFFFFF"/>
              </w:rPr>
              <w:t xml:space="preserve">GD macrophage treatment resulted in increased </w:t>
            </w:r>
            <w:proofErr w:type="spellStart"/>
            <w:r w:rsidRPr="008C4626">
              <w:rPr>
                <w:rFonts w:asciiTheme="minorHAnsi" w:hAnsiTheme="minorHAnsi"/>
                <w:color w:val="212121"/>
                <w:sz w:val="20"/>
                <w:szCs w:val="20"/>
                <w:shd w:val="clear" w:color="auto" w:fill="FFFFFF"/>
              </w:rPr>
              <w:t>GCase</w:t>
            </w:r>
            <w:proofErr w:type="spellEnd"/>
            <w:r w:rsidRPr="008C4626">
              <w:rPr>
                <w:rFonts w:asciiTheme="minorHAnsi" w:hAnsiTheme="minorHAnsi"/>
                <w:color w:val="212121"/>
                <w:sz w:val="20"/>
                <w:szCs w:val="20"/>
                <w:shd w:val="clear" w:color="auto" w:fill="FFFFFF"/>
              </w:rPr>
              <w:t xml:space="preserve"> level and increased enzyme </w:t>
            </w:r>
            <w:proofErr w:type="spellStart"/>
            <w:r w:rsidRPr="008C4626">
              <w:rPr>
                <w:rFonts w:asciiTheme="minorHAnsi" w:hAnsiTheme="minorHAnsi"/>
                <w:color w:val="212121"/>
                <w:sz w:val="20"/>
                <w:szCs w:val="20"/>
                <w:shd w:val="clear" w:color="auto" w:fill="FFFFFF"/>
              </w:rPr>
              <w:t>colocalization</w:t>
            </w:r>
            <w:proofErr w:type="spellEnd"/>
            <w:r w:rsidRPr="008C4626">
              <w:rPr>
                <w:rFonts w:asciiTheme="minorHAnsi" w:hAnsiTheme="minorHAnsi"/>
                <w:color w:val="212121"/>
                <w:sz w:val="20"/>
                <w:szCs w:val="20"/>
                <w:shd w:val="clear" w:color="auto" w:fill="FFFFFF"/>
              </w:rPr>
              <w:t xml:space="preserve"> with the lysosomal marker LAMP2. </w:t>
            </w:r>
          </w:p>
        </w:tc>
      </w:tr>
      <w:tr w:rsidR="00926D34" w:rsidRPr="008C4626" w:rsidTr="00836F48">
        <w:tc>
          <w:tcPr>
            <w:tcW w:w="1749" w:type="pct"/>
          </w:tcPr>
          <w:p w:rsidR="00926D34" w:rsidRPr="008C4626" w:rsidRDefault="00926D34" w:rsidP="00836F48">
            <w:pPr>
              <w:rPr>
                <w:rFonts w:asciiTheme="minorHAnsi" w:eastAsia="Calibri" w:hAnsiTheme="minorHAnsi"/>
                <w:color w:val="000000"/>
                <w:sz w:val="20"/>
                <w:szCs w:val="20"/>
                <w:lang w:val="en-US" w:eastAsia="zh-CN"/>
              </w:rPr>
            </w:pPr>
            <w:proofErr w:type="spellStart"/>
            <w:r w:rsidRPr="008C4626">
              <w:rPr>
                <w:rFonts w:asciiTheme="minorHAnsi" w:hAnsiTheme="minorHAnsi"/>
                <w:color w:val="212121"/>
                <w:sz w:val="20"/>
                <w:szCs w:val="20"/>
                <w:shd w:val="clear" w:color="auto" w:fill="FFFFFF"/>
              </w:rPr>
              <w:lastRenderedPageBreak/>
              <w:t>Ambroxol</w:t>
            </w:r>
            <w:proofErr w:type="spellEnd"/>
            <w:r w:rsidRPr="008C4626">
              <w:rPr>
                <w:rFonts w:asciiTheme="minorHAnsi" w:hAnsiTheme="minorHAnsi"/>
                <w:color w:val="212121"/>
                <w:sz w:val="20"/>
                <w:szCs w:val="20"/>
                <w:shd w:val="clear" w:color="auto" w:fill="FFFFFF"/>
              </w:rPr>
              <w:t xml:space="preserve"> reverses tau and α-</w:t>
            </w:r>
            <w:proofErr w:type="spellStart"/>
            <w:r w:rsidRPr="008C4626">
              <w:rPr>
                <w:rFonts w:asciiTheme="minorHAnsi" w:hAnsiTheme="minorHAnsi"/>
                <w:color w:val="212121"/>
                <w:sz w:val="20"/>
                <w:szCs w:val="20"/>
                <w:shd w:val="clear" w:color="auto" w:fill="FFFFFF"/>
              </w:rPr>
              <w:t>synuclein</w:t>
            </w:r>
            <w:proofErr w:type="spellEnd"/>
            <w:r w:rsidRPr="008C4626">
              <w:rPr>
                <w:rFonts w:asciiTheme="minorHAnsi" w:hAnsiTheme="minorHAnsi"/>
                <w:color w:val="212121"/>
                <w:sz w:val="20"/>
                <w:szCs w:val="20"/>
                <w:shd w:val="clear" w:color="auto" w:fill="FFFFFF"/>
              </w:rPr>
              <w:t xml:space="preserve"> accumulation in a cholinergic N370S GBA1 mutation model</w:t>
            </w:r>
            <w:r w:rsidR="0019067F" w:rsidRPr="008C4626">
              <w:rPr>
                <w:rFonts w:asciiTheme="minorHAnsi" w:hAnsiTheme="minorHAnsi"/>
                <w:color w:val="212121"/>
                <w:sz w:val="20"/>
                <w:szCs w:val="20"/>
                <w:shd w:val="clear" w:color="auto" w:fill="FFFFFF"/>
              </w:rPr>
              <w:t xml:space="preserve"> </w:t>
            </w:r>
            <w:r w:rsidR="0080178A" w:rsidRPr="008C4626">
              <w:rPr>
                <w:rFonts w:asciiTheme="minorHAnsi" w:hAnsiTheme="minorHAnsi"/>
                <w:color w:val="212121"/>
                <w:sz w:val="20"/>
                <w:szCs w:val="20"/>
                <w:shd w:val="clear" w:color="auto" w:fill="FFFFFF"/>
              </w:rPr>
              <w:fldChar w:fldCharType="begin"/>
            </w:r>
            <w:r w:rsidR="008C4626" w:rsidRPr="008C4626">
              <w:rPr>
                <w:rFonts w:asciiTheme="minorHAnsi" w:hAnsiTheme="minorHAnsi"/>
                <w:color w:val="212121"/>
                <w:sz w:val="20"/>
                <w:szCs w:val="20"/>
                <w:shd w:val="clear" w:color="auto" w:fill="FFFFFF"/>
              </w:rPr>
              <w:instrText xml:space="preserve"> ADDIN PAPERS2_CITATIONS &lt;citation&gt;&lt;priority&gt;0&lt;/priority&gt;&lt;uuid&gt;3A41731E-5B8D-443A-B011-2C580D50424A&lt;/uuid&gt;&lt;publications&gt;&lt;publication&gt;&lt;subtype&gt;400&lt;/subtype&gt;&lt;publisher&gt;Oxford University Press (OUP)&lt;/publisher&gt;&lt;title&gt;Ambroxol reverses tau and α-synuclein accumulation in a cholinergic N370S GBA1 mutation model&lt;/title&gt;&lt;url&gt;https://discovery.ucl.ac.uk/id/eprint/10144197/&lt;/url&gt;&lt;publication_date&gt;99202202181200000000222000&lt;/publication_date&gt;&lt;uuid&gt;2B75E817-4CAE-4FCB-96FF-C4054C319FFA&lt;/uuid&gt;&lt;type&gt;400&lt;/type&gt;&lt;doi&gt;10.1093/hmg/ddac038&lt;/doi&gt;&lt;bundle&gt;&lt;publication&gt;&lt;title&gt; Human Molecular Genetics (2022) (In press).&lt;/title&gt;&lt;uuid&gt;B794E5F6-C482-435A-831F-54315B71BD1E&lt;/uuid&gt;&lt;subtype&gt;-100&lt;/subtype&gt;&lt;type&gt;-100&lt;/type&gt;&lt;/publication&gt;&lt;/bundle&gt;&lt;authors&gt;&lt;author&gt;&lt;lastName&gt;Yang&lt;/lastName&gt;&lt;firstName&gt;Shi&lt;/firstName&gt;&lt;middleNames&gt;Yu&lt;/middleNames&gt;&lt;/author&gt;&lt;author&gt;&lt;lastName&gt;Taanman&lt;/lastName&gt;&lt;firstName&gt;Jan-Willem&lt;/firstName&gt;&lt;/author&gt;&lt;author&gt;&lt;lastName&gt;Gegg&lt;/lastName&gt;&lt;firstName&gt;Matthew&lt;/firstName&gt;&lt;/author&gt;&lt;author&gt;&lt;lastName&gt;Schapira&lt;/lastName&gt;&lt;firstName&gt;Anthony&lt;/firstName&gt;&lt;middleNames&gt;HV&lt;/middleNames&gt;&lt;/author&gt;&lt;/authors&gt;&lt;/publication&gt;&lt;/publications&gt;&lt;cites&gt;&lt;/cites&gt;&lt;/citation&gt;</w:instrText>
            </w:r>
            <w:r w:rsidR="0080178A" w:rsidRPr="008C4626">
              <w:rPr>
                <w:rFonts w:asciiTheme="minorHAnsi" w:hAnsiTheme="minorHAnsi"/>
                <w:color w:val="212121"/>
                <w:sz w:val="20"/>
                <w:szCs w:val="20"/>
                <w:shd w:val="clear" w:color="auto" w:fill="FFFFFF"/>
              </w:rPr>
              <w:fldChar w:fldCharType="separate"/>
            </w:r>
            <w:r w:rsidR="008C4626" w:rsidRPr="008C4626">
              <w:rPr>
                <w:rFonts w:asciiTheme="minorHAnsi" w:eastAsiaTheme="minorHAnsi" w:hAnsiTheme="minorHAnsi"/>
                <w:sz w:val="20"/>
                <w:szCs w:val="20"/>
                <w:lang w:val="en" w:eastAsia="en-US"/>
              </w:rPr>
              <w:t>(13)</w:t>
            </w:r>
            <w:r w:rsidR="0080178A" w:rsidRPr="008C4626">
              <w:rPr>
                <w:rFonts w:asciiTheme="minorHAnsi" w:hAnsiTheme="minorHAnsi"/>
                <w:color w:val="212121"/>
                <w:sz w:val="20"/>
                <w:szCs w:val="20"/>
                <w:shd w:val="clear" w:color="auto" w:fill="FFFFFF"/>
              </w:rPr>
              <w:fldChar w:fldCharType="end"/>
            </w:r>
          </w:p>
        </w:tc>
        <w:tc>
          <w:tcPr>
            <w:tcW w:w="625"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eastAsia="Calibri" w:hAnsiTheme="minorHAnsi"/>
                <w:color w:val="000000"/>
                <w:sz w:val="20"/>
                <w:szCs w:val="20"/>
                <w:lang w:val="en-US" w:eastAsia="zh-CN"/>
              </w:rPr>
              <w:t>Yang, 2022</w:t>
            </w:r>
          </w:p>
        </w:tc>
        <w:tc>
          <w:tcPr>
            <w:tcW w:w="2626" w:type="pct"/>
          </w:tcPr>
          <w:p w:rsidR="00926D34" w:rsidRPr="008C4626" w:rsidRDefault="00926D34" w:rsidP="00836F48">
            <w:pPr>
              <w:rPr>
                <w:rFonts w:asciiTheme="minorHAnsi" w:eastAsia="Calibri" w:hAnsiTheme="minorHAnsi"/>
                <w:color w:val="000000"/>
                <w:sz w:val="20"/>
                <w:szCs w:val="20"/>
                <w:lang w:val="en-US" w:eastAsia="zh-CN"/>
              </w:rPr>
            </w:pPr>
            <w:r w:rsidRPr="008C4626">
              <w:rPr>
                <w:rFonts w:asciiTheme="minorHAnsi" w:hAnsiTheme="minorHAnsi"/>
                <w:color w:val="212121"/>
                <w:sz w:val="20"/>
                <w:szCs w:val="20"/>
                <w:shd w:val="clear" w:color="auto" w:fill="FFFFFF"/>
              </w:rPr>
              <w:t xml:space="preserve">ABX significantly enhanced </w:t>
            </w:r>
            <w:proofErr w:type="spellStart"/>
            <w:r w:rsidRPr="008C4626">
              <w:rPr>
                <w:rFonts w:asciiTheme="minorHAnsi" w:hAnsiTheme="minorHAnsi"/>
                <w:color w:val="212121"/>
                <w:sz w:val="20"/>
                <w:szCs w:val="20"/>
                <w:shd w:val="clear" w:color="auto" w:fill="FFFFFF"/>
              </w:rPr>
              <w:t>GCase</w:t>
            </w:r>
            <w:proofErr w:type="spellEnd"/>
            <w:r w:rsidRPr="008C4626">
              <w:rPr>
                <w:rFonts w:asciiTheme="minorHAnsi" w:hAnsiTheme="minorHAnsi"/>
                <w:color w:val="212121"/>
                <w:sz w:val="20"/>
                <w:szCs w:val="20"/>
                <w:shd w:val="clear" w:color="auto" w:fill="FFFFFF"/>
              </w:rPr>
              <w:t xml:space="preserve"> activity and decreased both tau and aS levels in cholinergic neurons. </w:t>
            </w:r>
          </w:p>
        </w:tc>
      </w:tr>
    </w:tbl>
    <w:p w:rsidR="00926D34" w:rsidRDefault="00926D34"/>
    <w:p w:rsidR="003D5FF9" w:rsidRPr="003F0EF9" w:rsidRDefault="003D5FF9" w:rsidP="003D5FF9">
      <w:pPr>
        <w:rPr>
          <w:rFonts w:asciiTheme="minorHAnsi" w:hAnsiTheme="minorHAnsi"/>
          <w:color w:val="212121"/>
          <w:sz w:val="20"/>
          <w:szCs w:val="20"/>
          <w:shd w:val="clear" w:color="auto" w:fill="FFFFFF"/>
        </w:rPr>
      </w:pPr>
      <w:r w:rsidRPr="003F0EF9">
        <w:rPr>
          <w:rFonts w:asciiTheme="minorHAnsi" w:hAnsiTheme="minorHAnsi"/>
          <w:color w:val="212121"/>
          <w:sz w:val="20"/>
          <w:szCs w:val="20"/>
          <w:shd w:val="clear" w:color="auto" w:fill="FFFFFF"/>
        </w:rPr>
        <w:t xml:space="preserve">Abbreviations: </w:t>
      </w:r>
      <w:r w:rsidRPr="003F0EF9">
        <w:rPr>
          <w:rFonts w:asciiTheme="minorHAnsi" w:eastAsia="Calibri" w:hAnsiTheme="minorHAnsi"/>
          <w:color w:val="000000"/>
          <w:sz w:val="20"/>
          <w:szCs w:val="20"/>
          <w:lang w:val="en-US" w:eastAsia="zh-CN"/>
        </w:rPr>
        <w:t>6-OHDA</w:t>
      </w:r>
      <w:r w:rsidRPr="003F0EF9">
        <w:rPr>
          <w:rFonts w:asciiTheme="minorHAnsi" w:hAnsiTheme="minorHAnsi"/>
          <w:color w:val="212121"/>
          <w:sz w:val="20"/>
          <w:szCs w:val="20"/>
          <w:shd w:val="clear" w:color="auto" w:fill="FFFFFF"/>
        </w:rPr>
        <w:t xml:space="preserve"> – 6 – </w:t>
      </w:r>
      <w:proofErr w:type="spellStart"/>
      <w:r w:rsidRPr="003F0EF9">
        <w:rPr>
          <w:rFonts w:asciiTheme="minorHAnsi" w:hAnsiTheme="minorHAnsi"/>
          <w:color w:val="212121"/>
          <w:sz w:val="20"/>
          <w:szCs w:val="20"/>
          <w:shd w:val="clear" w:color="auto" w:fill="FFFFFF"/>
        </w:rPr>
        <w:t>hydroxydopamine</w:t>
      </w:r>
      <w:proofErr w:type="spellEnd"/>
      <w:r w:rsidRPr="003F0EF9">
        <w:rPr>
          <w:rFonts w:asciiTheme="minorHAnsi" w:hAnsiTheme="minorHAnsi"/>
          <w:color w:val="212121"/>
          <w:sz w:val="20"/>
          <w:szCs w:val="20"/>
          <w:shd w:val="clear" w:color="auto" w:fill="FFFFFF"/>
        </w:rPr>
        <w:t xml:space="preserve">; aS – alpha </w:t>
      </w:r>
      <w:proofErr w:type="spellStart"/>
      <w:r w:rsidRPr="003F0EF9">
        <w:rPr>
          <w:rFonts w:asciiTheme="minorHAnsi" w:hAnsiTheme="minorHAnsi"/>
          <w:color w:val="212121"/>
          <w:sz w:val="20"/>
          <w:szCs w:val="20"/>
          <w:shd w:val="clear" w:color="auto" w:fill="FFFFFF"/>
        </w:rPr>
        <w:t>synuclein</w:t>
      </w:r>
      <w:proofErr w:type="spellEnd"/>
      <w:r w:rsidRPr="003F0EF9">
        <w:rPr>
          <w:rFonts w:asciiTheme="minorHAnsi" w:hAnsiTheme="minorHAnsi"/>
          <w:color w:val="212121"/>
          <w:sz w:val="20"/>
          <w:szCs w:val="20"/>
          <w:shd w:val="clear" w:color="auto" w:fill="FFFFFF"/>
        </w:rPr>
        <w:t xml:space="preserve">, ABX – </w:t>
      </w:r>
      <w:proofErr w:type="spellStart"/>
      <w:r w:rsidRPr="003F0EF9">
        <w:rPr>
          <w:rFonts w:asciiTheme="minorHAnsi" w:hAnsiTheme="minorHAnsi"/>
          <w:color w:val="212121"/>
          <w:sz w:val="20"/>
          <w:szCs w:val="20"/>
          <w:shd w:val="clear" w:color="auto" w:fill="FFFFFF"/>
        </w:rPr>
        <w:t>ambroxol</w:t>
      </w:r>
      <w:proofErr w:type="spellEnd"/>
      <w:r w:rsidRPr="003F0EF9">
        <w:rPr>
          <w:rFonts w:asciiTheme="minorHAnsi" w:hAnsiTheme="minorHAnsi"/>
          <w:color w:val="212121"/>
          <w:sz w:val="20"/>
          <w:szCs w:val="20"/>
          <w:shd w:val="clear" w:color="auto" w:fill="FFFFFF"/>
        </w:rPr>
        <w:t xml:space="preserve">, GD – </w:t>
      </w:r>
      <w:proofErr w:type="spellStart"/>
      <w:r w:rsidRPr="003F0EF9">
        <w:rPr>
          <w:rFonts w:asciiTheme="minorHAnsi" w:hAnsiTheme="minorHAnsi"/>
          <w:color w:val="212121"/>
          <w:sz w:val="20"/>
          <w:szCs w:val="20"/>
          <w:shd w:val="clear" w:color="auto" w:fill="FFFFFF"/>
        </w:rPr>
        <w:t>Gaucher</w:t>
      </w:r>
      <w:proofErr w:type="spellEnd"/>
      <w:r w:rsidRPr="003F0EF9">
        <w:rPr>
          <w:rFonts w:asciiTheme="minorHAnsi" w:hAnsiTheme="minorHAnsi"/>
          <w:color w:val="212121"/>
          <w:sz w:val="20"/>
          <w:szCs w:val="20"/>
          <w:shd w:val="clear" w:color="auto" w:fill="FFFFFF"/>
        </w:rPr>
        <w:t xml:space="preserve"> disease, </w:t>
      </w:r>
      <w:proofErr w:type="spellStart"/>
      <w:r w:rsidRPr="003F0EF9">
        <w:rPr>
          <w:rFonts w:asciiTheme="minorHAnsi" w:hAnsiTheme="minorHAnsi"/>
          <w:color w:val="212121"/>
          <w:sz w:val="20"/>
          <w:szCs w:val="20"/>
          <w:shd w:val="clear" w:color="auto" w:fill="FFFFFF"/>
        </w:rPr>
        <w:t>GCase</w:t>
      </w:r>
      <w:proofErr w:type="spellEnd"/>
      <w:r w:rsidRPr="003F0EF9">
        <w:rPr>
          <w:rFonts w:asciiTheme="minorHAnsi" w:hAnsiTheme="minorHAnsi"/>
          <w:color w:val="212121"/>
          <w:sz w:val="20"/>
          <w:szCs w:val="20"/>
          <w:shd w:val="clear" w:color="auto" w:fill="FFFFFF"/>
        </w:rPr>
        <w:t xml:space="preserve"> – </w:t>
      </w:r>
      <w:proofErr w:type="spellStart"/>
      <w:r w:rsidRPr="003F0EF9">
        <w:rPr>
          <w:rFonts w:asciiTheme="minorHAnsi" w:hAnsiTheme="minorHAnsi"/>
          <w:color w:val="212121"/>
          <w:sz w:val="20"/>
          <w:szCs w:val="20"/>
          <w:shd w:val="clear" w:color="auto" w:fill="FFFFFF"/>
        </w:rPr>
        <w:t>glucocerebrosidase</w:t>
      </w:r>
      <w:proofErr w:type="spellEnd"/>
      <w:r w:rsidRPr="003F0EF9">
        <w:rPr>
          <w:rFonts w:asciiTheme="minorHAnsi" w:hAnsiTheme="minorHAnsi"/>
          <w:color w:val="212121"/>
          <w:sz w:val="20"/>
          <w:szCs w:val="20"/>
          <w:shd w:val="clear" w:color="auto" w:fill="FFFFFF"/>
        </w:rPr>
        <w:t xml:space="preserve">, GBA1 – </w:t>
      </w:r>
      <w:proofErr w:type="spellStart"/>
      <w:r w:rsidRPr="003F0EF9">
        <w:rPr>
          <w:rFonts w:asciiTheme="minorHAnsi" w:hAnsiTheme="minorHAnsi"/>
          <w:color w:val="212121"/>
          <w:sz w:val="20"/>
          <w:szCs w:val="20"/>
          <w:shd w:val="clear" w:color="auto" w:fill="FFFFFF"/>
        </w:rPr>
        <w:t>glukocerebrosidase</w:t>
      </w:r>
      <w:proofErr w:type="spellEnd"/>
      <w:r w:rsidRPr="003F0EF9">
        <w:rPr>
          <w:rFonts w:asciiTheme="minorHAnsi" w:hAnsiTheme="minorHAnsi"/>
          <w:color w:val="212121"/>
          <w:sz w:val="20"/>
          <w:szCs w:val="20"/>
          <w:shd w:val="clear" w:color="auto" w:fill="FFFFFF"/>
        </w:rPr>
        <w:t xml:space="preserve"> gene, LIMP2 - </w:t>
      </w:r>
      <w:r w:rsidRPr="003F0EF9">
        <w:rPr>
          <w:rFonts w:asciiTheme="minorHAnsi" w:hAnsiTheme="minorHAnsi"/>
          <w:color w:val="333333"/>
          <w:sz w:val="20"/>
          <w:szCs w:val="20"/>
          <w:shd w:val="clear" w:color="auto" w:fill="FFFFFF"/>
        </w:rPr>
        <w:t xml:space="preserve">lysosomal integral membrane protein-2; </w:t>
      </w:r>
      <w:r w:rsidRPr="003F0EF9">
        <w:rPr>
          <w:rFonts w:asciiTheme="minorHAnsi" w:hAnsiTheme="minorHAnsi"/>
          <w:color w:val="212121"/>
          <w:sz w:val="20"/>
          <w:szCs w:val="20"/>
          <w:shd w:val="clear" w:color="auto" w:fill="FFFFFF"/>
        </w:rPr>
        <w:t xml:space="preserve">LAMP2 - lysosomal-associated membrane protein 2A; PD- Parkinson’s disease, Sap C – </w:t>
      </w:r>
      <w:proofErr w:type="spellStart"/>
      <w:r w:rsidRPr="003F0EF9">
        <w:rPr>
          <w:rFonts w:asciiTheme="minorHAnsi" w:hAnsiTheme="minorHAnsi"/>
          <w:color w:val="212121"/>
          <w:sz w:val="20"/>
          <w:szCs w:val="20"/>
          <w:shd w:val="clear" w:color="auto" w:fill="FFFFFF"/>
        </w:rPr>
        <w:t>saposin</w:t>
      </w:r>
      <w:proofErr w:type="spellEnd"/>
      <w:r w:rsidRPr="003F0EF9">
        <w:rPr>
          <w:rFonts w:asciiTheme="minorHAnsi" w:hAnsiTheme="minorHAnsi"/>
          <w:color w:val="212121"/>
          <w:sz w:val="20"/>
          <w:szCs w:val="20"/>
          <w:shd w:val="clear" w:color="auto" w:fill="FFFFFF"/>
        </w:rPr>
        <w:t xml:space="preserve"> </w:t>
      </w:r>
      <w:proofErr w:type="gramStart"/>
      <w:r w:rsidRPr="003F0EF9">
        <w:rPr>
          <w:rFonts w:asciiTheme="minorHAnsi" w:hAnsiTheme="minorHAnsi"/>
          <w:color w:val="212121"/>
          <w:sz w:val="20"/>
          <w:szCs w:val="20"/>
          <w:shd w:val="clear" w:color="auto" w:fill="FFFFFF"/>
        </w:rPr>
        <w:t>C ,</w:t>
      </w:r>
      <w:proofErr w:type="gramEnd"/>
      <w:r w:rsidRPr="003F0EF9">
        <w:rPr>
          <w:rFonts w:asciiTheme="minorHAnsi" w:hAnsiTheme="minorHAnsi"/>
          <w:color w:val="212121"/>
          <w:sz w:val="20"/>
          <w:szCs w:val="20"/>
          <w:shd w:val="clear" w:color="auto" w:fill="FFFFFF"/>
        </w:rPr>
        <w:t xml:space="preserve"> PGC1-alpha –proliferator-activated receptor gamma coactivator, TH – tyrosine hydroxylase</w:t>
      </w:r>
    </w:p>
    <w:p w:rsidR="004C7D71" w:rsidRPr="003F0EF9" w:rsidRDefault="004C7D71">
      <w:pPr>
        <w:rPr>
          <w:rFonts w:asciiTheme="minorHAnsi" w:hAnsiTheme="minorHAnsi"/>
        </w:rPr>
      </w:pPr>
    </w:p>
    <w:p w:rsidR="008C4626" w:rsidRDefault="00935B6A" w:rsidP="004C7D71">
      <w:r>
        <w:t xml:space="preserve">References: </w:t>
      </w:r>
    </w:p>
    <w:p w:rsidR="008C4626" w:rsidRDefault="008C4626" w:rsidP="004C7D71"/>
    <w:p w:rsidR="008C4626" w:rsidRPr="008C4626" w:rsidRDefault="008C4626" w:rsidP="008C4626">
      <w:pPr>
        <w:widowControl w:val="0"/>
        <w:tabs>
          <w:tab w:val="left" w:pos="640"/>
        </w:tabs>
        <w:autoSpaceDE w:val="0"/>
        <w:autoSpaceDN w:val="0"/>
        <w:adjustRightInd w:val="0"/>
        <w:spacing w:after="120"/>
        <w:ind w:left="641" w:hanging="641"/>
        <w:rPr>
          <w:rFonts w:eastAsiaTheme="minorHAnsi" w:cs="Verdana"/>
          <w:lang w:val="en" w:eastAsia="en-US"/>
        </w:rPr>
      </w:pPr>
      <w:r>
        <w:fldChar w:fldCharType="begin"/>
      </w:r>
      <w:r w:rsidRPr="002B2E1A">
        <w:rPr>
          <w:lang w:val="en"/>
        </w:rPr>
        <w:instrText xml:space="preserve"> ADDIN PAPERS2_CITATIONS &lt;papers2_bibliography/&gt;</w:instrText>
      </w:r>
      <w:r>
        <w:fldChar w:fldCharType="separate"/>
      </w:r>
      <w:r w:rsidRPr="002B2E1A">
        <w:rPr>
          <w:rFonts w:eastAsiaTheme="minorHAnsi" w:cs="Verdana"/>
          <w:lang w:val="en" w:eastAsia="en-US"/>
        </w:rPr>
        <w:t>1.</w:t>
      </w:r>
      <w:r w:rsidRPr="002B2E1A">
        <w:rPr>
          <w:rFonts w:eastAsiaTheme="minorHAnsi" w:cs="Verdana"/>
          <w:lang w:val="en" w:eastAsia="en-US"/>
        </w:rPr>
        <w:tab/>
        <w:t xml:space="preserve">Maegawa GHB, Tropak MB, Buttner JD, Rigat BA, Fuller M, Pandit D, et al. </w:t>
      </w:r>
      <w:r w:rsidRPr="008C4626">
        <w:rPr>
          <w:rFonts w:eastAsiaTheme="minorHAnsi" w:cs="Verdana"/>
          <w:lang w:val="en" w:eastAsia="en-US"/>
        </w:rPr>
        <w:t xml:space="preserve">Identification and characterization of ambroxol as an enzyme enhancement agent for Gaucher disease. J Biol Chem. American Society for Biochemistry and Molecular Biology; 2009 Aug 28;284(35):23502–16.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2.</w:t>
      </w:r>
      <w:r w:rsidRPr="008C4626">
        <w:rPr>
          <w:rFonts w:eastAsiaTheme="minorHAnsi" w:cs="Verdana"/>
          <w:lang w:val="en" w:eastAsia="en-US"/>
        </w:rPr>
        <w:tab/>
        <w:t xml:space="preserve">Luan Z, Li L, Higaki K, Nanba E, Suzuki Y, Ohno K. The chaperone activity and toxicity of </w:t>
      </w:r>
      <w:r w:rsidRPr="009821DA">
        <w:rPr>
          <w:rFonts w:asciiTheme="minorHAnsi" w:eastAsiaTheme="minorHAnsi" w:hAnsiTheme="minorHAnsi" w:cs="Verdana"/>
          <w:lang w:val="en" w:eastAsia="en-US"/>
        </w:rPr>
        <w:t>ambroxol</w:t>
      </w:r>
      <w:r w:rsidRPr="008C4626">
        <w:rPr>
          <w:rFonts w:eastAsiaTheme="minorHAnsi" w:cs="Verdana"/>
          <w:lang w:val="en" w:eastAsia="en-US"/>
        </w:rPr>
        <w:t xml:space="preserve"> on Gaucher cells and normal mice. Brain and Development. 2013 Apr;35(4):317–22.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3.</w:t>
      </w:r>
      <w:r w:rsidRPr="008C4626">
        <w:rPr>
          <w:rFonts w:eastAsiaTheme="minorHAnsi" w:cs="Verdana"/>
          <w:lang w:val="en" w:eastAsia="en-US"/>
        </w:rPr>
        <w:tab/>
        <w:t xml:space="preserve">Bendikov-Bar I, Maor G, Filocamo M, Horowitz M. Ambroxol as a pharmacological chaperone for mutant glucocerebrosidase. Blood Cells Mol Dis. 2013 Feb;50(2):141–5.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4.</w:t>
      </w:r>
      <w:r w:rsidRPr="008C4626">
        <w:rPr>
          <w:rFonts w:eastAsiaTheme="minorHAnsi" w:cs="Verdana"/>
          <w:lang w:val="en" w:eastAsia="en-US"/>
        </w:rPr>
        <w:tab/>
        <w:t xml:space="preserve">McNeill A, Magalhaes J, Shen C, Chau K-Y, Hughes D, Mehta A, et al. Ambroxol improves lysosomal biochemistry in glucocerebrosidase mutation-linked Parkinson disease cells. Brain. 2014 May;137(Pt 5):1481–95.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5.</w:t>
      </w:r>
      <w:r w:rsidRPr="008C4626">
        <w:rPr>
          <w:rFonts w:eastAsiaTheme="minorHAnsi" w:cs="Verdana"/>
          <w:lang w:val="en" w:eastAsia="en-US"/>
        </w:rPr>
        <w:tab/>
        <w:t xml:space="preserve">Ambrosi G, Ghezzi C, Zangaglia R, Levandis G, Pacchetti C, Blandini F. Ambroxol-induced rescue of defective glucocerebrosidase is associated with increased LIMP-2 and saposin C levels in GBA1 mutant Parkinson's disease cells. Neurobiol Dis. 2015 Oct;82:235–42.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6.</w:t>
      </w:r>
      <w:r w:rsidRPr="008C4626">
        <w:rPr>
          <w:rFonts w:eastAsiaTheme="minorHAnsi" w:cs="Verdana"/>
          <w:lang w:val="en" w:eastAsia="en-US"/>
        </w:rPr>
        <w:tab/>
        <w:t xml:space="preserve">Richards AM, Daly L, Bezard E, Schapira AHV. Ambroxol effects in glucocerebrosidase and </w:t>
      </w:r>
      <w:r>
        <w:rPr>
          <w:rFonts w:eastAsiaTheme="minorHAnsi" w:cs="Verdana"/>
          <w:lang w:val="pl-PL" w:eastAsia="en-US"/>
        </w:rPr>
        <w:t>α</w:t>
      </w:r>
      <w:r w:rsidRPr="008C4626">
        <w:rPr>
          <w:rFonts w:ascii="Calibri" w:eastAsia="Calibri" w:hAnsi="Calibri" w:cs="Calibri"/>
          <w:lang w:val="en" w:eastAsia="en-US"/>
        </w:rPr>
        <w:t>‐</w:t>
      </w:r>
      <w:r w:rsidRPr="008C4626">
        <w:rPr>
          <w:rFonts w:eastAsiaTheme="minorHAnsi" w:cs="Verdana"/>
          <w:lang w:val="en" w:eastAsia="en-US"/>
        </w:rPr>
        <w:t xml:space="preserve">synuclein transgenic mice. Ann Neurol. John Wiley &amp; Sons, Ltd; 2016 Nov 1;80(5):766–75.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7.</w:t>
      </w:r>
      <w:r w:rsidRPr="008C4626">
        <w:rPr>
          <w:rFonts w:eastAsiaTheme="minorHAnsi" w:cs="Verdana"/>
          <w:lang w:val="en" w:eastAsia="en-US"/>
        </w:rPr>
        <w:tab/>
        <w:t xml:space="preserve">Migdalska-Richards A, Ko WKD, Li Q, Bezard E, Schapira AHV. Oral ambroxol increases brain glucocerebrosidase activity in a nonhuman primate. Synapse. John Wiley &amp; Sons, Ltd; 2017 Jul;71(7):e21967.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8.</w:t>
      </w:r>
      <w:r w:rsidRPr="008C4626">
        <w:rPr>
          <w:rFonts w:eastAsiaTheme="minorHAnsi" w:cs="Verdana"/>
          <w:lang w:val="en" w:eastAsia="en-US"/>
        </w:rPr>
        <w:tab/>
        <w:t xml:space="preserve">Mishra A, Chandravanshi LP, Trigun SK, Krishnamurthy S. Ambroxol modulates 6-Hydroxydopamine-induced temporal reduction in Glucocerebrosidase (GCase) enzymatic activity and Parkinson's disease symptoms. Biochem Pharmacol. 2018 Sep;155:479–93.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9.</w:t>
      </w:r>
      <w:r w:rsidRPr="008C4626">
        <w:rPr>
          <w:rFonts w:eastAsiaTheme="minorHAnsi" w:cs="Verdana"/>
          <w:lang w:val="en" w:eastAsia="en-US"/>
        </w:rPr>
        <w:tab/>
        <w:t xml:space="preserve">Magalhaes J, Gegg ME, Migdalska-Richards A, Schapira AH. Effects of ambroxol on the autophagy-lysosome pathway and mitochondria in primary cortical neurons. Sci Rep. Nature Publishing Group; 2018 Jan 23;8(1):1–12.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10.</w:t>
      </w:r>
      <w:r w:rsidRPr="008C4626">
        <w:rPr>
          <w:rFonts w:eastAsiaTheme="minorHAnsi" w:cs="Verdana"/>
          <w:lang w:val="en" w:eastAsia="en-US"/>
        </w:rPr>
        <w:tab/>
        <w:t xml:space="preserve">Cabasso O, Paul S, Dorot O, Maor G, Krivoruk O, Pasmanik-Chor M, et al. Drosophila melanogaster Mutated in its GBA1b Ortholog Recapitulates Neuronopathic Gaucher Disease. Journal of Clinical Medicine 2022, Vol 11, Page 3809. Multidisciplinary Digital Publishing Institute; 2019 Sep 9;8(9):1420.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en" w:eastAsia="en-US"/>
        </w:rPr>
        <w:t>11.</w:t>
      </w:r>
      <w:r w:rsidRPr="008C4626">
        <w:rPr>
          <w:rFonts w:eastAsiaTheme="minorHAnsi" w:cs="Verdana"/>
          <w:lang w:val="en" w:eastAsia="en-US"/>
        </w:rPr>
        <w:tab/>
        <w:t xml:space="preserve">Mishra A, Krishnamurthy S. Neurorestorative effects of sub-chronic administration of ambroxol in rodent model of Parkinson’s disease. Naunyn-Schmiedeberg's Arch Pharmacol. Springer Berlin Heidelberg; 2020 Mar 1;393(3):429–44.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nb-NO" w:eastAsia="en-US"/>
        </w:rPr>
      </w:pPr>
      <w:r w:rsidRPr="008C4626">
        <w:rPr>
          <w:rFonts w:eastAsiaTheme="minorHAnsi" w:cs="Verdana"/>
          <w:lang w:val="en" w:eastAsia="en-US"/>
        </w:rPr>
        <w:t>12.</w:t>
      </w:r>
      <w:r w:rsidRPr="008C4626">
        <w:rPr>
          <w:rFonts w:eastAsiaTheme="minorHAnsi" w:cs="Verdana"/>
          <w:lang w:val="en" w:eastAsia="en-US"/>
        </w:rPr>
        <w:tab/>
        <w:t xml:space="preserve">Kopytova AE, Rychkov GN, Nikolaev MA, Baydakova GV, Cheblokov AA, Senkevich KA, et al. Ambroxol increases glucocerebrosidase (GCase) activity and restores GCase translocation in primary patient-derived macrophages in Gaucher disease and Parkinsonism. </w:t>
      </w:r>
      <w:r w:rsidRPr="008C4626">
        <w:rPr>
          <w:rFonts w:eastAsiaTheme="minorHAnsi" w:cs="Verdana"/>
          <w:lang w:val="nb-NO" w:eastAsia="en-US"/>
        </w:rPr>
        <w:t xml:space="preserve">Parkinsonism Relat Disord. 2021 Mar;84:112–21. </w:t>
      </w:r>
    </w:p>
    <w:p w:rsidR="008C4626" w:rsidRPr="008C4626" w:rsidRDefault="008C4626" w:rsidP="008C4626">
      <w:pPr>
        <w:widowControl w:val="0"/>
        <w:tabs>
          <w:tab w:val="left" w:pos="640"/>
        </w:tabs>
        <w:autoSpaceDE w:val="0"/>
        <w:autoSpaceDN w:val="0"/>
        <w:adjustRightInd w:val="0"/>
        <w:spacing w:after="240"/>
        <w:ind w:left="640" w:hanging="640"/>
        <w:rPr>
          <w:rFonts w:eastAsiaTheme="minorHAnsi" w:cs="Verdana"/>
          <w:lang w:val="en" w:eastAsia="en-US"/>
        </w:rPr>
      </w:pPr>
      <w:r w:rsidRPr="008C4626">
        <w:rPr>
          <w:rFonts w:eastAsiaTheme="minorHAnsi" w:cs="Verdana"/>
          <w:lang w:val="nb-NO" w:eastAsia="en-US"/>
        </w:rPr>
        <w:t>13.</w:t>
      </w:r>
      <w:r w:rsidRPr="008C4626">
        <w:rPr>
          <w:rFonts w:eastAsiaTheme="minorHAnsi" w:cs="Verdana"/>
          <w:lang w:val="nb-NO" w:eastAsia="en-US"/>
        </w:rPr>
        <w:tab/>
        <w:t xml:space="preserve">Yang SY, Taanman J-W, Gegg M, Schapira AH. </w:t>
      </w:r>
      <w:r w:rsidRPr="008C4626">
        <w:rPr>
          <w:rFonts w:eastAsiaTheme="minorHAnsi" w:cs="Verdana"/>
          <w:lang w:val="en" w:eastAsia="en-US"/>
        </w:rPr>
        <w:t xml:space="preserve">Ambroxol reverses tau and </w:t>
      </w:r>
      <w:r>
        <w:rPr>
          <w:rFonts w:eastAsiaTheme="minorHAnsi" w:cs="Verdana"/>
          <w:lang w:val="pl-PL" w:eastAsia="en-US"/>
        </w:rPr>
        <w:t>α</w:t>
      </w:r>
      <w:r w:rsidRPr="008C4626">
        <w:rPr>
          <w:rFonts w:eastAsiaTheme="minorHAnsi" w:cs="Verdana"/>
          <w:lang w:val="en" w:eastAsia="en-US"/>
        </w:rPr>
        <w:t>-synuclein accumulation in a choliner</w:t>
      </w:r>
      <w:r w:rsidR="00DB7292">
        <w:rPr>
          <w:rFonts w:eastAsiaTheme="minorHAnsi" w:cs="Verdana"/>
          <w:lang w:val="en" w:eastAsia="en-US"/>
        </w:rPr>
        <w:t xml:space="preserve">gic N370S GBA1 mutation model. </w:t>
      </w:r>
      <w:r w:rsidRPr="008C4626">
        <w:rPr>
          <w:rFonts w:eastAsiaTheme="minorHAnsi" w:cs="Verdana"/>
          <w:lang w:val="en" w:eastAsia="en-US"/>
        </w:rPr>
        <w:t xml:space="preserve">Human Molecular Genetics (2022) (In press). Oxford University Press (OUP); 2022 Feb 18. </w:t>
      </w:r>
    </w:p>
    <w:p w:rsidR="003D5FF9" w:rsidRPr="004C7D71" w:rsidRDefault="008C4626" w:rsidP="004C7D71">
      <w:r>
        <w:fldChar w:fldCharType="end"/>
      </w:r>
    </w:p>
    <w:sectPr w:rsidR="003D5FF9" w:rsidRPr="004C7D71" w:rsidSect="008C0C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8C6A58E"/>
    <w:lvl w:ilvl="0">
      <w:start w:val="1"/>
      <w:numFmt w:val="bullet"/>
      <w:pStyle w:val="Listapunktowan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D34"/>
    <w:rsid w:val="000A45D4"/>
    <w:rsid w:val="000E157D"/>
    <w:rsid w:val="000F6C6A"/>
    <w:rsid w:val="00153209"/>
    <w:rsid w:val="0015650C"/>
    <w:rsid w:val="00181087"/>
    <w:rsid w:val="001866FE"/>
    <w:rsid w:val="0019067F"/>
    <w:rsid w:val="001A69C7"/>
    <w:rsid w:val="001C3035"/>
    <w:rsid w:val="001C3C60"/>
    <w:rsid w:val="0021398D"/>
    <w:rsid w:val="002B2E1A"/>
    <w:rsid w:val="00302467"/>
    <w:rsid w:val="003D5FF9"/>
    <w:rsid w:val="003F0EF9"/>
    <w:rsid w:val="004162BC"/>
    <w:rsid w:val="004358D7"/>
    <w:rsid w:val="00490325"/>
    <w:rsid w:val="004C7D71"/>
    <w:rsid w:val="00634A2B"/>
    <w:rsid w:val="007D2164"/>
    <w:rsid w:val="0080178A"/>
    <w:rsid w:val="008C0CE6"/>
    <w:rsid w:val="008C4626"/>
    <w:rsid w:val="0090762E"/>
    <w:rsid w:val="00922250"/>
    <w:rsid w:val="00926D34"/>
    <w:rsid w:val="00935B6A"/>
    <w:rsid w:val="00941AFD"/>
    <w:rsid w:val="009500C4"/>
    <w:rsid w:val="009821DA"/>
    <w:rsid w:val="00A017D7"/>
    <w:rsid w:val="00A069C3"/>
    <w:rsid w:val="00A47C75"/>
    <w:rsid w:val="00AA49ED"/>
    <w:rsid w:val="00B262F4"/>
    <w:rsid w:val="00B43F9A"/>
    <w:rsid w:val="00B632CA"/>
    <w:rsid w:val="00B72208"/>
    <w:rsid w:val="00BD1796"/>
    <w:rsid w:val="00BE1AE1"/>
    <w:rsid w:val="00C1383B"/>
    <w:rsid w:val="00C30E21"/>
    <w:rsid w:val="00C377C3"/>
    <w:rsid w:val="00C42984"/>
    <w:rsid w:val="00C95CB2"/>
    <w:rsid w:val="00CA61FC"/>
    <w:rsid w:val="00DB7292"/>
    <w:rsid w:val="00DF6772"/>
    <w:rsid w:val="00EE14D9"/>
    <w:rsid w:val="00F963BE"/>
    <w:rsid w:val="00FA56E2"/>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D7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926D34"/>
    <w:rPr>
      <w:rFonts w:ascii="Verdana" w:eastAsia="SimSun" w:hAnsi="Verdana" w:cs="Times New Roman"/>
      <w:sz w:val="18"/>
      <w:szCs w:val="18"/>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26D34"/>
    <w:rPr>
      <w:rFonts w:ascii="Verdana" w:eastAsia="SimSun" w:hAnsi="Verdana"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punktowana">
    <w:name w:val="List Bullet"/>
    <w:basedOn w:val="Normalny"/>
    <w:unhideWhenUsed/>
    <w:rsid w:val="00926D34"/>
    <w:pPr>
      <w:numPr>
        <w:numId w:val="1"/>
      </w:numPr>
      <w:contextualSpacing/>
    </w:pPr>
  </w:style>
  <w:style w:type="paragraph" w:styleId="Mapadokumentu">
    <w:name w:val="Document Map"/>
    <w:basedOn w:val="Normalny"/>
    <w:link w:val="MapadokumentuZnak"/>
    <w:uiPriority w:val="99"/>
    <w:semiHidden/>
    <w:unhideWhenUsed/>
    <w:rsid w:val="002B2E1A"/>
    <w:rPr>
      <w:rFonts w:ascii="Times New Roman" w:hAnsi="Times New Roman"/>
      <w:sz w:val="24"/>
      <w:szCs w:val="24"/>
    </w:rPr>
  </w:style>
  <w:style w:type="character" w:customStyle="1" w:styleId="MapadokumentuZnak">
    <w:name w:val="Mapa dokumentu Znak"/>
    <w:basedOn w:val="Domylnaczcionkaakapitu"/>
    <w:link w:val="Mapadokumentu"/>
    <w:uiPriority w:val="99"/>
    <w:semiHidden/>
    <w:rsid w:val="002B2E1A"/>
    <w:rPr>
      <w:rFonts w:ascii="Times New Roman" w:eastAsia="SimSu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4169</Words>
  <Characters>25016</Characters>
  <Application>Microsoft Macintosh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Chwiszczuk</dc:creator>
  <cp:keywords/>
  <dc:description/>
  <cp:lastModifiedBy>Luiza Chwiszczuk</cp:lastModifiedBy>
  <cp:revision>9</cp:revision>
  <dcterms:created xsi:type="dcterms:W3CDTF">2023-01-10T16:06:00Z</dcterms:created>
  <dcterms:modified xsi:type="dcterms:W3CDTF">2023-01-26T09:44:00Z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id="http://www.zotero.org/styles/vancouver"/&gt;&lt;format class="21"/&gt;&lt;count citations="13" publications="13"/&gt;&lt;/info&gt;PAPERS2_INFO_END</vt:lpwstr>
  </property>
</Properties>
</file>