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XSpec="center" w:tblpY="582"/>
        <w:tblW w:w="6752" w:type="dxa"/>
        <w:tblLook w:val="04A0" w:firstRow="1" w:lastRow="0" w:firstColumn="1" w:lastColumn="0" w:noHBand="0" w:noVBand="1"/>
      </w:tblPr>
      <w:tblGrid>
        <w:gridCol w:w="1574"/>
        <w:gridCol w:w="1500"/>
        <w:gridCol w:w="1824"/>
        <w:gridCol w:w="1854"/>
      </w:tblGrid>
      <w:tr w:rsidR="006B323F" w:rsidRPr="00B8023A" w14:paraId="1A4BA174" w14:textId="77777777" w:rsidTr="00151071">
        <w:trPr>
          <w:trHeight w:val="254"/>
        </w:trPr>
        <w:tc>
          <w:tcPr>
            <w:tcW w:w="4898" w:type="dxa"/>
            <w:gridSpan w:val="3"/>
          </w:tcPr>
          <w:p w14:paraId="393DD215" w14:textId="6EE03520" w:rsidR="006B323F" w:rsidRPr="00B8023A" w:rsidRDefault="006B323F" w:rsidP="00B8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14:paraId="13B13F0E" w14:textId="78A1893E" w:rsidR="006B323F" w:rsidRPr="00B8023A" w:rsidRDefault="006B323F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Hemolysis</w:t>
            </w:r>
            <w:r w:rsidR="00334ABC" w:rsidRPr="00B8023A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D233CB" w:rsidRPr="00B8023A" w14:paraId="3E8F3643" w14:textId="77777777" w:rsidTr="00151071">
        <w:trPr>
          <w:trHeight w:val="213"/>
        </w:trPr>
        <w:tc>
          <w:tcPr>
            <w:tcW w:w="4898" w:type="dxa"/>
            <w:gridSpan w:val="3"/>
          </w:tcPr>
          <w:p w14:paraId="456F4A5D" w14:textId="4AB9F89C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No Additive</w:t>
            </w:r>
          </w:p>
        </w:tc>
        <w:tc>
          <w:tcPr>
            <w:tcW w:w="1854" w:type="dxa"/>
          </w:tcPr>
          <w:p w14:paraId="5984B118" w14:textId="681AFAE5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0.11 ± 0.006</w:t>
            </w:r>
          </w:p>
        </w:tc>
      </w:tr>
      <w:tr w:rsidR="00D233CB" w:rsidRPr="00B8023A" w14:paraId="598FED5F" w14:textId="77777777" w:rsidTr="00151071">
        <w:trPr>
          <w:trHeight w:val="213"/>
        </w:trPr>
        <w:tc>
          <w:tcPr>
            <w:tcW w:w="1574" w:type="dxa"/>
            <w:vMerge w:val="restart"/>
          </w:tcPr>
          <w:p w14:paraId="26D1AE12" w14:textId="28B270F1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Trehalose</w:t>
            </w:r>
          </w:p>
        </w:tc>
        <w:tc>
          <w:tcPr>
            <w:tcW w:w="1500" w:type="dxa"/>
            <w:vMerge w:val="restart"/>
          </w:tcPr>
          <w:p w14:paraId="550FA408" w14:textId="60A396E7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27.5 mM</w:t>
            </w:r>
          </w:p>
        </w:tc>
        <w:tc>
          <w:tcPr>
            <w:tcW w:w="1824" w:type="dxa"/>
          </w:tcPr>
          <w:p w14:paraId="5414A949" w14:textId="7EE11573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 xml:space="preserve">Standard </w:t>
            </w:r>
          </w:p>
        </w:tc>
        <w:tc>
          <w:tcPr>
            <w:tcW w:w="1854" w:type="dxa"/>
          </w:tcPr>
          <w:p w14:paraId="37AF4251" w14:textId="6E180844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0.11 ± 0.023</w:t>
            </w:r>
          </w:p>
        </w:tc>
      </w:tr>
      <w:tr w:rsidR="00D233CB" w:rsidRPr="00B8023A" w14:paraId="190370D1" w14:textId="77777777" w:rsidTr="00151071">
        <w:trPr>
          <w:trHeight w:val="240"/>
        </w:trPr>
        <w:tc>
          <w:tcPr>
            <w:tcW w:w="1574" w:type="dxa"/>
            <w:vMerge/>
          </w:tcPr>
          <w:p w14:paraId="78449625" w14:textId="65FCB405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14:paraId="7A40F0EA" w14:textId="2A92FE08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28673B5E" w14:textId="783ACF3B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Osmolarity-Adjusted</w:t>
            </w:r>
          </w:p>
        </w:tc>
        <w:tc>
          <w:tcPr>
            <w:tcW w:w="1854" w:type="dxa"/>
          </w:tcPr>
          <w:p w14:paraId="1B5D5074" w14:textId="2B021A2E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0.16 ± 0.012</w:t>
            </w:r>
          </w:p>
        </w:tc>
      </w:tr>
      <w:tr w:rsidR="00D233CB" w:rsidRPr="00B8023A" w14:paraId="7A03342D" w14:textId="77777777" w:rsidTr="00151071">
        <w:trPr>
          <w:trHeight w:val="171"/>
        </w:trPr>
        <w:tc>
          <w:tcPr>
            <w:tcW w:w="1574" w:type="dxa"/>
            <w:vMerge/>
          </w:tcPr>
          <w:p w14:paraId="4165F4A4" w14:textId="77777777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</w:tcPr>
          <w:p w14:paraId="7F670A5F" w14:textId="33EA57F1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55 mM</w:t>
            </w:r>
          </w:p>
        </w:tc>
        <w:tc>
          <w:tcPr>
            <w:tcW w:w="1824" w:type="dxa"/>
          </w:tcPr>
          <w:p w14:paraId="2F05D3B3" w14:textId="6E55DD2C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 xml:space="preserve">Standard </w:t>
            </w:r>
          </w:p>
        </w:tc>
        <w:tc>
          <w:tcPr>
            <w:tcW w:w="1854" w:type="dxa"/>
          </w:tcPr>
          <w:p w14:paraId="0D97572B" w14:textId="49DE85D7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0.1</w:t>
            </w:r>
            <w:r w:rsidR="00334ABC" w:rsidRPr="00B8023A">
              <w:rPr>
                <w:rFonts w:ascii="Times New Roman" w:hAnsi="Times New Roman" w:cs="Times New Roman"/>
              </w:rPr>
              <w:t>4</w:t>
            </w:r>
            <w:r w:rsidRPr="00B8023A">
              <w:rPr>
                <w:rFonts w:ascii="Times New Roman" w:hAnsi="Times New Roman" w:cs="Times New Roman"/>
              </w:rPr>
              <w:t xml:space="preserve"> ± 0.035</w:t>
            </w:r>
          </w:p>
        </w:tc>
      </w:tr>
      <w:tr w:rsidR="00D233CB" w:rsidRPr="00B8023A" w14:paraId="67A991DC" w14:textId="77777777" w:rsidTr="00151071">
        <w:trPr>
          <w:trHeight w:val="254"/>
        </w:trPr>
        <w:tc>
          <w:tcPr>
            <w:tcW w:w="1574" w:type="dxa"/>
            <w:vMerge/>
          </w:tcPr>
          <w:p w14:paraId="541C5BF8" w14:textId="77777777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14:paraId="5F012B22" w14:textId="460F4786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4AE0A2B9" w14:textId="1CF747EE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Osmolarity-Adjusted</w:t>
            </w:r>
          </w:p>
        </w:tc>
        <w:tc>
          <w:tcPr>
            <w:tcW w:w="1854" w:type="dxa"/>
          </w:tcPr>
          <w:p w14:paraId="26CF7836" w14:textId="78C155E7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0.16 ± 0.015</w:t>
            </w:r>
          </w:p>
        </w:tc>
      </w:tr>
      <w:tr w:rsidR="000F55E0" w:rsidRPr="00B8023A" w14:paraId="74F39640" w14:textId="77777777" w:rsidTr="00365FFE">
        <w:trPr>
          <w:trHeight w:val="302"/>
        </w:trPr>
        <w:tc>
          <w:tcPr>
            <w:tcW w:w="1574" w:type="dxa"/>
            <w:vMerge/>
          </w:tcPr>
          <w:p w14:paraId="0DCDC772" w14:textId="77777777" w:rsidR="000F55E0" w:rsidRPr="00B8023A" w:rsidRDefault="000F55E0" w:rsidP="00B8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2"/>
          </w:tcPr>
          <w:p w14:paraId="1CD39C00" w14:textId="4B771A29" w:rsidR="000F55E0" w:rsidRPr="00B8023A" w:rsidRDefault="000F55E0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 xml:space="preserve">110 mM </w:t>
            </w:r>
          </w:p>
        </w:tc>
        <w:tc>
          <w:tcPr>
            <w:tcW w:w="1854" w:type="dxa"/>
          </w:tcPr>
          <w:p w14:paraId="7D147C8B" w14:textId="2A08CD66" w:rsidR="000F55E0" w:rsidRPr="00B8023A" w:rsidRDefault="000F55E0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0.1</w:t>
            </w:r>
            <w:r w:rsidR="00334ABC" w:rsidRPr="00B8023A">
              <w:rPr>
                <w:rFonts w:ascii="Times New Roman" w:hAnsi="Times New Roman" w:cs="Times New Roman"/>
              </w:rPr>
              <w:t>5</w:t>
            </w:r>
            <w:r w:rsidRPr="00B8023A">
              <w:rPr>
                <w:rFonts w:ascii="Times New Roman" w:hAnsi="Times New Roman" w:cs="Times New Roman"/>
              </w:rPr>
              <w:t xml:space="preserve"> ± 0.072</w:t>
            </w:r>
          </w:p>
        </w:tc>
      </w:tr>
      <w:tr w:rsidR="000F55E0" w:rsidRPr="00B8023A" w14:paraId="11180FA1" w14:textId="77777777" w:rsidTr="00DD35AC">
        <w:trPr>
          <w:trHeight w:val="254"/>
        </w:trPr>
        <w:tc>
          <w:tcPr>
            <w:tcW w:w="1574" w:type="dxa"/>
            <w:vMerge/>
          </w:tcPr>
          <w:p w14:paraId="5B7A65D3" w14:textId="77777777" w:rsidR="000F55E0" w:rsidRPr="00B8023A" w:rsidRDefault="000F55E0" w:rsidP="00B8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2"/>
          </w:tcPr>
          <w:p w14:paraId="22C98A05" w14:textId="4E86154B" w:rsidR="000F55E0" w:rsidRPr="00B8023A" w:rsidRDefault="000F55E0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165 mM</w:t>
            </w:r>
          </w:p>
        </w:tc>
        <w:tc>
          <w:tcPr>
            <w:tcW w:w="1854" w:type="dxa"/>
          </w:tcPr>
          <w:p w14:paraId="28C0A58E" w14:textId="33704E00" w:rsidR="000F55E0" w:rsidRPr="00B8023A" w:rsidRDefault="000F55E0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0.1</w:t>
            </w:r>
            <w:r w:rsidR="00334ABC" w:rsidRPr="00B8023A">
              <w:rPr>
                <w:rFonts w:ascii="Times New Roman" w:hAnsi="Times New Roman" w:cs="Times New Roman"/>
              </w:rPr>
              <w:t>8</w:t>
            </w:r>
            <w:r w:rsidRPr="00B8023A">
              <w:rPr>
                <w:rFonts w:ascii="Times New Roman" w:hAnsi="Times New Roman" w:cs="Times New Roman"/>
              </w:rPr>
              <w:t xml:space="preserve"> ± 0.021</w:t>
            </w:r>
          </w:p>
        </w:tc>
      </w:tr>
      <w:tr w:rsidR="00D233CB" w:rsidRPr="00B8023A" w14:paraId="09CF9E36" w14:textId="77777777" w:rsidTr="00151071">
        <w:trPr>
          <w:trHeight w:val="254"/>
        </w:trPr>
        <w:tc>
          <w:tcPr>
            <w:tcW w:w="1574" w:type="dxa"/>
            <w:vMerge w:val="restart"/>
          </w:tcPr>
          <w:p w14:paraId="51060A71" w14:textId="6304EED3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PEG400</w:t>
            </w:r>
          </w:p>
        </w:tc>
        <w:tc>
          <w:tcPr>
            <w:tcW w:w="1500" w:type="dxa"/>
            <w:vMerge w:val="restart"/>
          </w:tcPr>
          <w:p w14:paraId="6FCB74B4" w14:textId="0BFC234C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27.5 mM</w:t>
            </w:r>
          </w:p>
        </w:tc>
        <w:tc>
          <w:tcPr>
            <w:tcW w:w="1824" w:type="dxa"/>
          </w:tcPr>
          <w:p w14:paraId="6B490D8E" w14:textId="33C0BFE1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 xml:space="preserve">Standard </w:t>
            </w:r>
          </w:p>
        </w:tc>
        <w:tc>
          <w:tcPr>
            <w:tcW w:w="1854" w:type="dxa"/>
          </w:tcPr>
          <w:p w14:paraId="6C99FDA4" w14:textId="766D317C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0.19 ± 0.081</w:t>
            </w:r>
          </w:p>
        </w:tc>
      </w:tr>
      <w:tr w:rsidR="00D233CB" w:rsidRPr="00B8023A" w14:paraId="287A6509" w14:textId="77777777" w:rsidTr="00151071">
        <w:trPr>
          <w:trHeight w:val="240"/>
        </w:trPr>
        <w:tc>
          <w:tcPr>
            <w:tcW w:w="1574" w:type="dxa"/>
            <w:vMerge/>
          </w:tcPr>
          <w:p w14:paraId="42FFBD98" w14:textId="704A201D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14:paraId="681942DD" w14:textId="66BEE40E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2C26FF8A" w14:textId="61851850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Osmolarity-Adjusted</w:t>
            </w:r>
          </w:p>
        </w:tc>
        <w:tc>
          <w:tcPr>
            <w:tcW w:w="1854" w:type="dxa"/>
          </w:tcPr>
          <w:p w14:paraId="6F261025" w14:textId="561059EE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0.19 ± 0.010</w:t>
            </w:r>
          </w:p>
        </w:tc>
      </w:tr>
      <w:tr w:rsidR="00D233CB" w:rsidRPr="00B8023A" w14:paraId="03201B25" w14:textId="77777777" w:rsidTr="00151071">
        <w:trPr>
          <w:trHeight w:val="168"/>
        </w:trPr>
        <w:tc>
          <w:tcPr>
            <w:tcW w:w="1574" w:type="dxa"/>
            <w:vMerge/>
          </w:tcPr>
          <w:p w14:paraId="06F21A28" w14:textId="77777777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</w:tcPr>
          <w:p w14:paraId="10E21B9E" w14:textId="40A9BD2B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55 mM</w:t>
            </w:r>
          </w:p>
        </w:tc>
        <w:tc>
          <w:tcPr>
            <w:tcW w:w="1824" w:type="dxa"/>
          </w:tcPr>
          <w:p w14:paraId="4D4A40E2" w14:textId="680B3949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 xml:space="preserve">Standard </w:t>
            </w:r>
          </w:p>
        </w:tc>
        <w:tc>
          <w:tcPr>
            <w:tcW w:w="1854" w:type="dxa"/>
          </w:tcPr>
          <w:p w14:paraId="34A7F8B1" w14:textId="4C56F147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0.18 ± 0.010</w:t>
            </w:r>
          </w:p>
        </w:tc>
      </w:tr>
      <w:tr w:rsidR="00D233CB" w:rsidRPr="00B8023A" w14:paraId="17ED3B57" w14:textId="77777777" w:rsidTr="00151071">
        <w:trPr>
          <w:trHeight w:val="254"/>
        </w:trPr>
        <w:tc>
          <w:tcPr>
            <w:tcW w:w="1574" w:type="dxa"/>
            <w:vMerge/>
          </w:tcPr>
          <w:p w14:paraId="3903410B" w14:textId="77777777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14:paraId="4CE3192A" w14:textId="72CA8E22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3F4935C0" w14:textId="3DA5D506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Osmolarity-Adjusted</w:t>
            </w:r>
          </w:p>
        </w:tc>
        <w:tc>
          <w:tcPr>
            <w:tcW w:w="1854" w:type="dxa"/>
          </w:tcPr>
          <w:p w14:paraId="769FEA40" w14:textId="3E730743" w:rsidR="00D233CB" w:rsidRPr="00B8023A" w:rsidRDefault="00D233CB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0.23 ± 0.026</w:t>
            </w:r>
          </w:p>
        </w:tc>
      </w:tr>
      <w:tr w:rsidR="000F55E0" w:rsidRPr="00B8023A" w14:paraId="35B965A4" w14:textId="77777777" w:rsidTr="00A70B64">
        <w:trPr>
          <w:trHeight w:val="126"/>
        </w:trPr>
        <w:tc>
          <w:tcPr>
            <w:tcW w:w="1574" w:type="dxa"/>
            <w:vMerge/>
          </w:tcPr>
          <w:p w14:paraId="52DCF692" w14:textId="77777777" w:rsidR="000F55E0" w:rsidRPr="00B8023A" w:rsidRDefault="000F55E0" w:rsidP="00B8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2"/>
          </w:tcPr>
          <w:p w14:paraId="586F4DD3" w14:textId="2C1D4BEF" w:rsidR="000F55E0" w:rsidRPr="00B8023A" w:rsidRDefault="000F55E0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110 mM</w:t>
            </w:r>
          </w:p>
        </w:tc>
        <w:tc>
          <w:tcPr>
            <w:tcW w:w="1854" w:type="dxa"/>
          </w:tcPr>
          <w:p w14:paraId="41097D08" w14:textId="5DEA6057" w:rsidR="000F55E0" w:rsidRPr="00B8023A" w:rsidRDefault="000F55E0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0.14 ± 0.006</w:t>
            </w:r>
          </w:p>
        </w:tc>
      </w:tr>
      <w:tr w:rsidR="000F55E0" w:rsidRPr="00B8023A" w14:paraId="16913AE0" w14:textId="77777777" w:rsidTr="007475B5">
        <w:trPr>
          <w:trHeight w:val="254"/>
        </w:trPr>
        <w:tc>
          <w:tcPr>
            <w:tcW w:w="1574" w:type="dxa"/>
            <w:vMerge/>
          </w:tcPr>
          <w:p w14:paraId="42FD368A" w14:textId="77777777" w:rsidR="000F55E0" w:rsidRPr="00B8023A" w:rsidRDefault="000F55E0" w:rsidP="00B8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2"/>
          </w:tcPr>
          <w:p w14:paraId="42BBC2C7" w14:textId="704C3B49" w:rsidR="000F55E0" w:rsidRPr="00B8023A" w:rsidRDefault="000F55E0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165 mM</w:t>
            </w:r>
          </w:p>
        </w:tc>
        <w:tc>
          <w:tcPr>
            <w:tcW w:w="1854" w:type="dxa"/>
          </w:tcPr>
          <w:p w14:paraId="382C259C" w14:textId="10814F5B" w:rsidR="000F55E0" w:rsidRPr="00B8023A" w:rsidRDefault="000F55E0" w:rsidP="00B8023A">
            <w:pPr>
              <w:rPr>
                <w:rFonts w:ascii="Times New Roman" w:hAnsi="Times New Roman" w:cs="Times New Roman"/>
              </w:rPr>
            </w:pPr>
            <w:r w:rsidRPr="00B8023A">
              <w:rPr>
                <w:rFonts w:ascii="Times New Roman" w:hAnsi="Times New Roman" w:cs="Times New Roman"/>
              </w:rPr>
              <w:t>0.1</w:t>
            </w:r>
            <w:r w:rsidR="00334ABC" w:rsidRPr="00B8023A">
              <w:rPr>
                <w:rFonts w:ascii="Times New Roman" w:hAnsi="Times New Roman" w:cs="Times New Roman"/>
              </w:rPr>
              <w:t>5</w:t>
            </w:r>
            <w:r w:rsidRPr="00B8023A">
              <w:rPr>
                <w:rFonts w:ascii="Times New Roman" w:hAnsi="Times New Roman" w:cs="Times New Roman"/>
              </w:rPr>
              <w:t xml:space="preserve"> ± 0.031</w:t>
            </w:r>
          </w:p>
        </w:tc>
      </w:tr>
    </w:tbl>
    <w:p w14:paraId="30FB4073" w14:textId="5FCA58A6" w:rsidR="00D46CD9" w:rsidRPr="00B8023A" w:rsidRDefault="00B75EFD" w:rsidP="00B8023A">
      <w:pPr>
        <w:rPr>
          <w:rFonts w:ascii="Times New Roman" w:hAnsi="Times New Roman" w:cs="Times New Roman"/>
        </w:rPr>
      </w:pPr>
      <w:r w:rsidRPr="00B8023A">
        <w:rPr>
          <w:rFonts w:ascii="Times New Roman" w:hAnsi="Times New Roman" w:cs="Times New Roman"/>
        </w:rPr>
        <w:t xml:space="preserve">Table S1. </w:t>
      </w:r>
      <w:r w:rsidR="0037193D" w:rsidRPr="00B8023A">
        <w:rPr>
          <w:rFonts w:ascii="Times New Roman" w:hAnsi="Times New Roman" w:cs="Times New Roman"/>
        </w:rPr>
        <w:t>Day 0 Hemolysis</w:t>
      </w:r>
      <w:r w:rsidRPr="00B8023A">
        <w:rPr>
          <w:rFonts w:ascii="Times New Roman" w:hAnsi="Times New Roman" w:cs="Times New Roman"/>
        </w:rPr>
        <w:t xml:space="preserve"> </w:t>
      </w:r>
    </w:p>
    <w:p w14:paraId="213E6376" w14:textId="717A5F09" w:rsidR="00F9231A" w:rsidRPr="00B8023A" w:rsidRDefault="00F9231A" w:rsidP="00B8023A">
      <w:pPr>
        <w:rPr>
          <w:rFonts w:ascii="Times New Roman" w:hAnsi="Times New Roman" w:cs="Times New Roman"/>
        </w:rPr>
      </w:pPr>
    </w:p>
    <w:p w14:paraId="7E9CCCCF" w14:textId="606A1ACE" w:rsidR="00F9231A" w:rsidRPr="00B8023A" w:rsidRDefault="00F9231A" w:rsidP="00B8023A">
      <w:pPr>
        <w:rPr>
          <w:rFonts w:ascii="Times New Roman" w:hAnsi="Times New Roman" w:cs="Times New Roman"/>
        </w:rPr>
      </w:pPr>
    </w:p>
    <w:p w14:paraId="6193498B" w14:textId="6A794B3C" w:rsidR="00F9231A" w:rsidRPr="00B8023A" w:rsidRDefault="00F9231A" w:rsidP="00B8023A">
      <w:pPr>
        <w:rPr>
          <w:rFonts w:ascii="Times New Roman" w:hAnsi="Times New Roman" w:cs="Times New Roman"/>
        </w:rPr>
      </w:pPr>
    </w:p>
    <w:p w14:paraId="4A4832A9" w14:textId="4ECC4C85" w:rsidR="00F9231A" w:rsidRPr="00B8023A" w:rsidRDefault="00F9231A" w:rsidP="00B8023A">
      <w:pPr>
        <w:rPr>
          <w:rFonts w:ascii="Times New Roman" w:hAnsi="Times New Roman" w:cs="Times New Roman"/>
        </w:rPr>
      </w:pPr>
    </w:p>
    <w:p w14:paraId="0EA05CF7" w14:textId="391B309E" w:rsidR="00F9231A" w:rsidRPr="00B8023A" w:rsidRDefault="00F9231A" w:rsidP="00B8023A">
      <w:pPr>
        <w:rPr>
          <w:rFonts w:ascii="Times New Roman" w:hAnsi="Times New Roman" w:cs="Times New Roman"/>
        </w:rPr>
      </w:pPr>
    </w:p>
    <w:p w14:paraId="632502C6" w14:textId="1DE85CEB" w:rsidR="00F9231A" w:rsidRPr="00B8023A" w:rsidRDefault="00F9231A" w:rsidP="00B8023A">
      <w:pPr>
        <w:rPr>
          <w:rFonts w:ascii="Times New Roman" w:hAnsi="Times New Roman" w:cs="Times New Roman"/>
        </w:rPr>
      </w:pPr>
    </w:p>
    <w:p w14:paraId="764167ED" w14:textId="463CF704" w:rsidR="00F9231A" w:rsidRPr="00B8023A" w:rsidRDefault="00F9231A" w:rsidP="00B8023A">
      <w:pPr>
        <w:rPr>
          <w:rFonts w:ascii="Times New Roman" w:hAnsi="Times New Roman" w:cs="Times New Roman"/>
        </w:rPr>
      </w:pPr>
    </w:p>
    <w:p w14:paraId="2BDD417A" w14:textId="6225A3CF" w:rsidR="00F9231A" w:rsidRPr="00B8023A" w:rsidRDefault="00F9231A" w:rsidP="00B8023A">
      <w:pPr>
        <w:rPr>
          <w:rFonts w:ascii="Times New Roman" w:hAnsi="Times New Roman" w:cs="Times New Roman"/>
        </w:rPr>
      </w:pPr>
    </w:p>
    <w:p w14:paraId="590A28C5" w14:textId="75CAEEF8" w:rsidR="00F9231A" w:rsidRPr="00B8023A" w:rsidRDefault="00F9231A" w:rsidP="00B8023A">
      <w:pPr>
        <w:rPr>
          <w:rFonts w:ascii="Times New Roman" w:hAnsi="Times New Roman" w:cs="Times New Roman"/>
        </w:rPr>
      </w:pPr>
    </w:p>
    <w:p w14:paraId="053EA565" w14:textId="4F5BCC90" w:rsidR="00F9231A" w:rsidRPr="00B8023A" w:rsidRDefault="00F9231A" w:rsidP="00B8023A">
      <w:pPr>
        <w:rPr>
          <w:rFonts w:ascii="Times New Roman" w:hAnsi="Times New Roman" w:cs="Times New Roman"/>
        </w:rPr>
      </w:pPr>
    </w:p>
    <w:p w14:paraId="0FC384FC" w14:textId="5AD174C3" w:rsidR="00F9231A" w:rsidRPr="00B8023A" w:rsidRDefault="00F9231A" w:rsidP="00B8023A">
      <w:pPr>
        <w:rPr>
          <w:rFonts w:ascii="Times New Roman" w:hAnsi="Times New Roman" w:cs="Times New Roman"/>
        </w:rPr>
      </w:pPr>
    </w:p>
    <w:p w14:paraId="3079460A" w14:textId="3780C85F" w:rsidR="00F9231A" w:rsidRPr="00B8023A" w:rsidRDefault="00F9231A" w:rsidP="00B8023A">
      <w:pPr>
        <w:rPr>
          <w:rFonts w:ascii="Times New Roman" w:hAnsi="Times New Roman" w:cs="Times New Roman"/>
        </w:rPr>
      </w:pPr>
    </w:p>
    <w:p w14:paraId="6293BD13" w14:textId="58C97691" w:rsidR="00F9231A" w:rsidRPr="00B8023A" w:rsidRDefault="00F9231A" w:rsidP="00B8023A">
      <w:pPr>
        <w:rPr>
          <w:rFonts w:ascii="Times New Roman" w:hAnsi="Times New Roman" w:cs="Times New Roman"/>
        </w:rPr>
      </w:pPr>
    </w:p>
    <w:p w14:paraId="041A9EE8" w14:textId="0C4ED4EB" w:rsidR="00F9231A" w:rsidRPr="00B8023A" w:rsidRDefault="00F9231A" w:rsidP="00B8023A">
      <w:pPr>
        <w:rPr>
          <w:rFonts w:ascii="Times New Roman" w:hAnsi="Times New Roman" w:cs="Times New Roman"/>
        </w:rPr>
      </w:pPr>
    </w:p>
    <w:p w14:paraId="474AFC69" w14:textId="22C21519" w:rsidR="00F9231A" w:rsidRPr="00B8023A" w:rsidRDefault="00F9231A" w:rsidP="00B8023A">
      <w:pPr>
        <w:rPr>
          <w:rFonts w:ascii="Times New Roman" w:hAnsi="Times New Roman" w:cs="Times New Roman"/>
        </w:rPr>
      </w:pPr>
      <w:r w:rsidRPr="00B8023A">
        <w:rPr>
          <w:rFonts w:ascii="Times New Roman" w:hAnsi="Times New Roman" w:cs="Times New Roman"/>
        </w:rPr>
        <w:br w:type="page"/>
      </w:r>
    </w:p>
    <w:p w14:paraId="0A29A6E3" w14:textId="73F05746" w:rsidR="00F9231A" w:rsidRPr="00B8023A" w:rsidRDefault="00C14306" w:rsidP="00B8023A">
      <w:pPr>
        <w:jc w:val="center"/>
        <w:rPr>
          <w:rFonts w:ascii="Times New Roman" w:hAnsi="Times New Roman" w:cs="Times New Roman"/>
        </w:rPr>
      </w:pPr>
      <w:r w:rsidRPr="00B8023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65104D9" wp14:editId="15102076">
            <wp:extent cx="4680241" cy="26716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0066" cy="270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99C04" w14:textId="0C09F1C9" w:rsidR="00F9231A" w:rsidRPr="00B8023A" w:rsidRDefault="00F9231A" w:rsidP="00B8023A">
      <w:pPr>
        <w:rPr>
          <w:rFonts w:ascii="Times New Roman" w:hAnsi="Times New Roman" w:cs="Times New Roman"/>
        </w:rPr>
      </w:pPr>
    </w:p>
    <w:p w14:paraId="1BF4E937" w14:textId="1DA3964F" w:rsidR="00F9231A" w:rsidRPr="00B8023A" w:rsidRDefault="00F9231A" w:rsidP="00B8023A">
      <w:pPr>
        <w:rPr>
          <w:rFonts w:ascii="Times New Roman" w:hAnsi="Times New Roman" w:cs="Times New Roman"/>
        </w:rPr>
      </w:pPr>
    </w:p>
    <w:p w14:paraId="27CA1870" w14:textId="500DA0F8" w:rsidR="00C14306" w:rsidRPr="00B8023A" w:rsidRDefault="00F9231A" w:rsidP="00B8023A">
      <w:pPr>
        <w:rPr>
          <w:rFonts w:ascii="Times New Roman" w:hAnsi="Times New Roman" w:cs="Times New Roman"/>
          <w:noProof/>
        </w:rPr>
      </w:pPr>
      <w:r w:rsidRPr="00B8023A">
        <w:rPr>
          <w:rFonts w:ascii="Times New Roman" w:hAnsi="Times New Roman" w:cs="Times New Roman"/>
        </w:rPr>
        <w:t>Figure S</w:t>
      </w:r>
      <w:r w:rsidR="00AF434B" w:rsidRPr="00B8023A">
        <w:rPr>
          <w:rFonts w:ascii="Times New Roman" w:hAnsi="Times New Roman" w:cs="Times New Roman"/>
        </w:rPr>
        <w:t>1</w:t>
      </w:r>
      <w:r w:rsidRPr="00B8023A">
        <w:rPr>
          <w:rFonts w:ascii="Times New Roman" w:hAnsi="Times New Roman" w:cs="Times New Roman"/>
        </w:rPr>
        <w:t xml:space="preserve">. </w:t>
      </w:r>
      <w:r w:rsidR="00191CE8" w:rsidRPr="00B8023A">
        <w:rPr>
          <w:rFonts w:ascii="Times New Roman" w:hAnsi="Times New Roman" w:cs="Times New Roman"/>
        </w:rPr>
        <w:t xml:space="preserve">The impact of </w:t>
      </w:r>
      <w:r w:rsidR="00FF6ABB" w:rsidRPr="00B8023A">
        <w:rPr>
          <w:rFonts w:ascii="Times New Roman" w:hAnsi="Times New Roman" w:cs="Times New Roman"/>
        </w:rPr>
        <w:t xml:space="preserve">commonly used </w:t>
      </w:r>
      <w:r w:rsidR="0047179E" w:rsidRPr="00B8023A">
        <w:rPr>
          <w:rFonts w:ascii="Times New Roman" w:hAnsi="Times New Roman" w:cs="Times New Roman"/>
        </w:rPr>
        <w:t>PEG subtypes on the</w:t>
      </w:r>
      <w:r w:rsidR="001B0D68" w:rsidRPr="00B8023A">
        <w:rPr>
          <w:rFonts w:ascii="Times New Roman" w:hAnsi="Times New Roman" w:cs="Times New Roman"/>
        </w:rPr>
        <w:t xml:space="preserve"> (A)</w:t>
      </w:r>
      <w:r w:rsidR="0047179E" w:rsidRPr="00B8023A">
        <w:rPr>
          <w:rFonts w:ascii="Times New Roman" w:hAnsi="Times New Roman" w:cs="Times New Roman"/>
        </w:rPr>
        <w:t xml:space="preserve"> </w:t>
      </w:r>
      <w:r w:rsidR="001B0D68" w:rsidRPr="00B8023A">
        <w:rPr>
          <w:rFonts w:ascii="Times New Roman" w:hAnsi="Times New Roman" w:cs="Times New Roman"/>
        </w:rPr>
        <w:t>hemolysis and (B) deformability of</w:t>
      </w:r>
      <w:r w:rsidR="0047179E" w:rsidRPr="00B8023A">
        <w:rPr>
          <w:rFonts w:ascii="Times New Roman" w:hAnsi="Times New Roman" w:cs="Times New Roman"/>
        </w:rPr>
        <w:t xml:space="preserve"> PAG3M-stored RBCs following 21 days of storage at -4 </w:t>
      </w:r>
      <w:r w:rsidR="00974F43" w:rsidRPr="00B8023A">
        <w:rPr>
          <w:rFonts w:ascii="Times New Roman" w:hAnsi="Times New Roman" w:cs="Times New Roman"/>
        </w:rPr>
        <w:t>°</w:t>
      </w:r>
      <w:r w:rsidR="0047179E" w:rsidRPr="00B8023A">
        <w:rPr>
          <w:rFonts w:ascii="Times New Roman" w:hAnsi="Times New Roman" w:cs="Times New Roman"/>
        </w:rPr>
        <w:t xml:space="preserve">C. </w:t>
      </w:r>
      <w:r w:rsidR="00C65FD1" w:rsidRPr="00B8023A">
        <w:rPr>
          <w:rFonts w:ascii="Times New Roman" w:hAnsi="Times New Roman" w:cs="Times New Roman"/>
        </w:rPr>
        <w:t xml:space="preserve">PEG concentration was 5% (w/v) in each condition. </w:t>
      </w:r>
      <w:r w:rsidR="00E64D5A" w:rsidRPr="00B8023A">
        <w:rPr>
          <w:rFonts w:ascii="Times New Roman" w:hAnsi="Times New Roman" w:cs="Times New Roman"/>
        </w:rPr>
        <w:t>He</w:t>
      </w:r>
      <w:r w:rsidR="00191F1D" w:rsidRPr="00B8023A">
        <w:rPr>
          <w:rFonts w:ascii="Times New Roman" w:hAnsi="Times New Roman" w:cs="Times New Roman"/>
        </w:rPr>
        <w:t>molysis on Day 0</w:t>
      </w:r>
      <w:r w:rsidR="00C65FD1" w:rsidRPr="00B8023A">
        <w:rPr>
          <w:rFonts w:ascii="Times New Roman" w:hAnsi="Times New Roman" w:cs="Times New Roman"/>
        </w:rPr>
        <w:t xml:space="preserve"> was as follows for each different </w:t>
      </w:r>
      <w:r w:rsidR="00FF6ABB" w:rsidRPr="00B8023A">
        <w:rPr>
          <w:rFonts w:ascii="Times New Roman" w:hAnsi="Times New Roman" w:cs="Times New Roman"/>
        </w:rPr>
        <w:t xml:space="preserve">subtype: 400 g/mol – 0.147 ± 0.031; 8000 g/mol </w:t>
      </w:r>
      <w:r w:rsidR="005467CF" w:rsidRPr="00B8023A">
        <w:rPr>
          <w:rFonts w:ascii="Times New Roman" w:hAnsi="Times New Roman" w:cs="Times New Roman"/>
        </w:rPr>
        <w:t>–</w:t>
      </w:r>
      <w:r w:rsidR="00FF6ABB" w:rsidRPr="00B8023A">
        <w:rPr>
          <w:rFonts w:ascii="Times New Roman" w:hAnsi="Times New Roman" w:cs="Times New Roman"/>
        </w:rPr>
        <w:t xml:space="preserve"> </w:t>
      </w:r>
      <w:r w:rsidR="005467CF" w:rsidRPr="00B8023A">
        <w:rPr>
          <w:rFonts w:ascii="Times New Roman" w:hAnsi="Times New Roman" w:cs="Times New Roman"/>
        </w:rPr>
        <w:t>0.147 ± 0.015; 0.173 ± 0.006.</w:t>
      </w:r>
      <w:r w:rsidR="00191F1D" w:rsidRPr="00B8023A">
        <w:rPr>
          <w:rFonts w:ascii="Times New Roman" w:hAnsi="Times New Roman" w:cs="Times New Roman"/>
        </w:rPr>
        <w:t xml:space="preserve"> </w:t>
      </w:r>
      <w:r w:rsidR="005F0F5B" w:rsidRPr="00B8023A">
        <w:rPr>
          <w:rFonts w:ascii="Times New Roman" w:hAnsi="Times New Roman" w:cs="Times New Roman"/>
        </w:rPr>
        <w:t xml:space="preserve">Dashed line indicates the </w:t>
      </w:r>
      <w:r w:rsidR="00530295" w:rsidRPr="00B8023A">
        <w:rPr>
          <w:rFonts w:ascii="Times New Roman" w:hAnsi="Times New Roman" w:cs="Times New Roman"/>
        </w:rPr>
        <w:t>respective</w:t>
      </w:r>
      <w:r w:rsidR="00442EBF" w:rsidRPr="00B8023A">
        <w:rPr>
          <w:rFonts w:ascii="Times New Roman" w:hAnsi="Times New Roman" w:cs="Times New Roman"/>
        </w:rPr>
        <w:t xml:space="preserve"> values from the </w:t>
      </w:r>
      <w:proofErr w:type="spellStart"/>
      <w:r w:rsidR="00442EBF" w:rsidRPr="00B8023A">
        <w:rPr>
          <w:rFonts w:ascii="Times New Roman" w:hAnsi="Times New Roman" w:cs="Times New Roman"/>
        </w:rPr>
        <w:t>unsupplemented</w:t>
      </w:r>
      <w:proofErr w:type="spellEnd"/>
      <w:r w:rsidR="00442EBF" w:rsidRPr="00B8023A">
        <w:rPr>
          <w:rFonts w:ascii="Times New Roman" w:hAnsi="Times New Roman" w:cs="Times New Roman"/>
        </w:rPr>
        <w:t xml:space="preserve"> </w:t>
      </w:r>
      <w:r w:rsidR="00E811BF" w:rsidRPr="00B8023A">
        <w:rPr>
          <w:rFonts w:ascii="Times New Roman" w:hAnsi="Times New Roman" w:cs="Times New Roman"/>
        </w:rPr>
        <w:t>(</w:t>
      </w:r>
      <w:proofErr w:type="spellStart"/>
      <w:r w:rsidR="00E811BF" w:rsidRPr="00B8023A">
        <w:rPr>
          <w:rFonts w:ascii="Times New Roman" w:hAnsi="Times New Roman" w:cs="Times New Roman"/>
        </w:rPr>
        <w:t>ie</w:t>
      </w:r>
      <w:proofErr w:type="spellEnd"/>
      <w:r w:rsidR="00E811BF" w:rsidRPr="00B8023A">
        <w:rPr>
          <w:rFonts w:ascii="Times New Roman" w:hAnsi="Times New Roman" w:cs="Times New Roman"/>
        </w:rPr>
        <w:t xml:space="preserve">. 0 mM PEG) </w:t>
      </w:r>
      <w:r w:rsidR="00442EBF" w:rsidRPr="00B8023A">
        <w:rPr>
          <w:rFonts w:ascii="Times New Roman" w:hAnsi="Times New Roman" w:cs="Times New Roman"/>
        </w:rPr>
        <w:t xml:space="preserve">condition. </w:t>
      </w:r>
      <w:r w:rsidR="00124C64" w:rsidRPr="00B8023A">
        <w:rPr>
          <w:rFonts w:ascii="Times New Roman" w:hAnsi="Times New Roman" w:cs="Times New Roman"/>
          <w:noProof/>
        </w:rPr>
        <w:t>All error bars represent the standard deviation of three samples per condition</w:t>
      </w:r>
      <w:r w:rsidR="002F267C" w:rsidRPr="00B8023A">
        <w:rPr>
          <w:rFonts w:ascii="Times New Roman" w:hAnsi="Times New Roman" w:cs="Times New Roman"/>
          <w:noProof/>
        </w:rPr>
        <w:t xml:space="preserve"> and s</w:t>
      </w:r>
      <w:r w:rsidR="00506E8D" w:rsidRPr="00B8023A">
        <w:rPr>
          <w:rFonts w:ascii="Times New Roman" w:hAnsi="Times New Roman" w:cs="Times New Roman"/>
          <w:noProof/>
        </w:rPr>
        <w:t>ignificant differences were calculated using a one-way analysis of variance (ANOVA) followed by a Tukey’s post-hoc test: *</w:t>
      </w:r>
      <w:r w:rsidR="00506E8D" w:rsidRPr="00B8023A">
        <w:rPr>
          <w:rFonts w:ascii="Times New Roman" w:hAnsi="Times New Roman" w:cs="Times New Roman"/>
          <w:i/>
          <w:iCs/>
          <w:noProof/>
        </w:rPr>
        <w:t>p</w:t>
      </w:r>
      <w:r w:rsidR="00506E8D" w:rsidRPr="00B8023A">
        <w:rPr>
          <w:rFonts w:ascii="Times New Roman" w:hAnsi="Times New Roman" w:cs="Times New Roman"/>
          <w:noProof/>
        </w:rPr>
        <w:t xml:space="preserve"> &lt; 0.05; **</w:t>
      </w:r>
      <w:r w:rsidR="00506E8D" w:rsidRPr="00B8023A">
        <w:rPr>
          <w:rFonts w:ascii="Times New Roman" w:hAnsi="Times New Roman" w:cs="Times New Roman"/>
          <w:i/>
          <w:iCs/>
          <w:noProof/>
        </w:rPr>
        <w:t>p</w:t>
      </w:r>
      <w:r w:rsidR="00506E8D" w:rsidRPr="00B8023A">
        <w:rPr>
          <w:rFonts w:ascii="Times New Roman" w:hAnsi="Times New Roman" w:cs="Times New Roman"/>
          <w:noProof/>
        </w:rPr>
        <w:t xml:space="preserve"> &lt; 0.01. </w:t>
      </w:r>
    </w:p>
    <w:p w14:paraId="195B0895" w14:textId="77777777" w:rsidR="00C14306" w:rsidRPr="00B8023A" w:rsidRDefault="00C14306" w:rsidP="00B8023A">
      <w:pPr>
        <w:rPr>
          <w:rFonts w:ascii="Times New Roman" w:hAnsi="Times New Roman" w:cs="Times New Roman"/>
          <w:noProof/>
        </w:rPr>
      </w:pPr>
      <w:r w:rsidRPr="00B8023A">
        <w:rPr>
          <w:rFonts w:ascii="Times New Roman" w:hAnsi="Times New Roman" w:cs="Times New Roman"/>
          <w:noProof/>
        </w:rPr>
        <w:br w:type="page"/>
      </w:r>
    </w:p>
    <w:p w14:paraId="43C57384" w14:textId="5F4EBB7C" w:rsidR="00F9231A" w:rsidRPr="00B8023A" w:rsidRDefault="002D03FA" w:rsidP="00B8023A">
      <w:pPr>
        <w:jc w:val="center"/>
        <w:rPr>
          <w:rFonts w:ascii="Times New Roman" w:hAnsi="Times New Roman" w:cs="Times New Roman"/>
        </w:rPr>
      </w:pPr>
      <w:r w:rsidRPr="00B8023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A7B7A5B" wp14:editId="7E71FA3D">
            <wp:extent cx="5943600" cy="23361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DB5EA" w14:textId="4333E8DF" w:rsidR="00C14306" w:rsidRPr="00B8023A" w:rsidRDefault="00530295" w:rsidP="00B8023A">
      <w:pPr>
        <w:rPr>
          <w:rFonts w:ascii="Times New Roman" w:hAnsi="Times New Roman" w:cs="Times New Roman"/>
        </w:rPr>
      </w:pPr>
      <w:r w:rsidRPr="00B8023A">
        <w:rPr>
          <w:rFonts w:ascii="Times New Roman" w:hAnsi="Times New Roman" w:cs="Times New Roman"/>
        </w:rPr>
        <w:t>Figure S</w:t>
      </w:r>
      <w:r w:rsidR="00AF434B" w:rsidRPr="00B8023A">
        <w:rPr>
          <w:rFonts w:ascii="Times New Roman" w:hAnsi="Times New Roman" w:cs="Times New Roman"/>
        </w:rPr>
        <w:t>2</w:t>
      </w:r>
      <w:r w:rsidRPr="00B8023A">
        <w:rPr>
          <w:rFonts w:ascii="Times New Roman" w:hAnsi="Times New Roman" w:cs="Times New Roman"/>
        </w:rPr>
        <w:t xml:space="preserve">. </w:t>
      </w:r>
      <w:r w:rsidR="00D44AF2" w:rsidRPr="00B8023A">
        <w:rPr>
          <w:rFonts w:ascii="Times New Roman" w:hAnsi="Times New Roman" w:cs="Times New Roman"/>
        </w:rPr>
        <w:t xml:space="preserve">Changes in MCV following the addition and removal of (A) PEG400 and (B) trehalose. </w:t>
      </w:r>
      <w:r w:rsidR="00F9245B" w:rsidRPr="00B8023A">
        <w:rPr>
          <w:rFonts w:ascii="Times New Roman" w:hAnsi="Times New Roman" w:cs="Times New Roman"/>
        </w:rPr>
        <w:t>Three wash steps (1000 g, 9 acc., 3 dec.) were</w:t>
      </w:r>
      <w:r w:rsidR="00211D9C" w:rsidRPr="00B8023A">
        <w:rPr>
          <w:rFonts w:ascii="Times New Roman" w:hAnsi="Times New Roman" w:cs="Times New Roman"/>
        </w:rPr>
        <w:t xml:space="preserve"> performed for both the addition (</w:t>
      </w:r>
      <w:proofErr w:type="spellStart"/>
      <w:r w:rsidR="00211D9C" w:rsidRPr="00B8023A">
        <w:rPr>
          <w:rFonts w:ascii="Times New Roman" w:hAnsi="Times New Roman" w:cs="Times New Roman"/>
        </w:rPr>
        <w:t>ie</w:t>
      </w:r>
      <w:proofErr w:type="spellEnd"/>
      <w:r w:rsidR="00211D9C" w:rsidRPr="00B8023A">
        <w:rPr>
          <w:rFonts w:ascii="Times New Roman" w:hAnsi="Times New Roman" w:cs="Times New Roman"/>
        </w:rPr>
        <w:t>. unwashed) and removal (</w:t>
      </w:r>
      <w:proofErr w:type="spellStart"/>
      <w:r w:rsidR="00211D9C" w:rsidRPr="00B8023A">
        <w:rPr>
          <w:rFonts w:ascii="Times New Roman" w:hAnsi="Times New Roman" w:cs="Times New Roman"/>
        </w:rPr>
        <w:t>ie</w:t>
      </w:r>
      <w:proofErr w:type="spellEnd"/>
      <w:r w:rsidR="00211D9C" w:rsidRPr="00B8023A">
        <w:rPr>
          <w:rFonts w:ascii="Times New Roman" w:hAnsi="Times New Roman" w:cs="Times New Roman"/>
        </w:rPr>
        <w:t>. washed)</w:t>
      </w:r>
      <w:r w:rsidR="00842AEA" w:rsidRPr="00B8023A">
        <w:rPr>
          <w:rFonts w:ascii="Times New Roman" w:hAnsi="Times New Roman" w:cs="Times New Roman"/>
        </w:rPr>
        <w:t xml:space="preserve"> of the compounds</w:t>
      </w:r>
      <w:r w:rsidR="00372CEB" w:rsidRPr="00B8023A">
        <w:rPr>
          <w:rFonts w:ascii="Times New Roman" w:hAnsi="Times New Roman" w:cs="Times New Roman"/>
        </w:rPr>
        <w:t xml:space="preserve">. For compound addition, all wash steps consisted of the PAG3M supplemented with the solutions of interest, whereas wash steps for the removal were all performed in the base-PAG3M </w:t>
      </w:r>
      <w:r w:rsidR="003F57A1" w:rsidRPr="00B8023A">
        <w:rPr>
          <w:rFonts w:ascii="Times New Roman" w:hAnsi="Times New Roman" w:cs="Times New Roman"/>
        </w:rPr>
        <w:t>without any PEG400 or trehalose</w:t>
      </w:r>
      <w:r w:rsidR="00372CEB" w:rsidRPr="00B8023A">
        <w:rPr>
          <w:rFonts w:ascii="Times New Roman" w:hAnsi="Times New Roman" w:cs="Times New Roman"/>
        </w:rPr>
        <w:t xml:space="preserve">. </w:t>
      </w:r>
      <w:r w:rsidR="00B07C05" w:rsidRPr="00B8023A">
        <w:rPr>
          <w:rFonts w:ascii="Times New Roman" w:hAnsi="Times New Roman" w:cs="Times New Roman"/>
          <w:noProof/>
        </w:rPr>
        <w:t>All error bars represent the standard deviation of three samples per condition and significant differences were calculated using a one-way analysis of variance (ANOVA) followed by a Tukey’s post-hoc test: *</w:t>
      </w:r>
      <w:r w:rsidR="00B07C05" w:rsidRPr="00B8023A">
        <w:rPr>
          <w:rFonts w:ascii="Times New Roman" w:hAnsi="Times New Roman" w:cs="Times New Roman"/>
          <w:i/>
          <w:iCs/>
          <w:noProof/>
        </w:rPr>
        <w:t>p</w:t>
      </w:r>
      <w:r w:rsidR="00B07C05" w:rsidRPr="00B8023A">
        <w:rPr>
          <w:rFonts w:ascii="Times New Roman" w:hAnsi="Times New Roman" w:cs="Times New Roman"/>
          <w:noProof/>
        </w:rPr>
        <w:t xml:space="preserve"> &lt; 0.05; **</w:t>
      </w:r>
      <w:r w:rsidR="00B07C05" w:rsidRPr="00B8023A">
        <w:rPr>
          <w:rFonts w:ascii="Times New Roman" w:hAnsi="Times New Roman" w:cs="Times New Roman"/>
          <w:i/>
          <w:iCs/>
          <w:noProof/>
        </w:rPr>
        <w:t>p</w:t>
      </w:r>
      <w:r w:rsidR="00B07C05" w:rsidRPr="00B8023A">
        <w:rPr>
          <w:rFonts w:ascii="Times New Roman" w:hAnsi="Times New Roman" w:cs="Times New Roman"/>
          <w:noProof/>
        </w:rPr>
        <w:t xml:space="preserve"> &lt; 0.01; ***</w:t>
      </w:r>
      <w:r w:rsidR="00B07C05" w:rsidRPr="00B8023A">
        <w:rPr>
          <w:rFonts w:ascii="Times New Roman" w:hAnsi="Times New Roman" w:cs="Times New Roman"/>
          <w:i/>
          <w:iCs/>
          <w:noProof/>
        </w:rPr>
        <w:t>p</w:t>
      </w:r>
      <w:r w:rsidR="00B07C05" w:rsidRPr="00B8023A">
        <w:rPr>
          <w:rFonts w:ascii="Times New Roman" w:hAnsi="Times New Roman" w:cs="Times New Roman"/>
          <w:noProof/>
        </w:rPr>
        <w:t xml:space="preserve"> &lt; 0.001; ****</w:t>
      </w:r>
      <w:r w:rsidR="00B07C05" w:rsidRPr="00B8023A">
        <w:rPr>
          <w:rFonts w:ascii="Times New Roman" w:hAnsi="Times New Roman" w:cs="Times New Roman"/>
          <w:i/>
          <w:iCs/>
          <w:noProof/>
        </w:rPr>
        <w:t>p</w:t>
      </w:r>
      <w:r w:rsidR="00B07C05" w:rsidRPr="00B8023A">
        <w:rPr>
          <w:rFonts w:ascii="Times New Roman" w:hAnsi="Times New Roman" w:cs="Times New Roman"/>
          <w:noProof/>
        </w:rPr>
        <w:t xml:space="preserve"> &lt; 0.0001.</w:t>
      </w:r>
    </w:p>
    <w:sectPr w:rsidR="00C14306" w:rsidRPr="00B802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25"/>
    <w:rsid w:val="00044613"/>
    <w:rsid w:val="000F55E0"/>
    <w:rsid w:val="00124C64"/>
    <w:rsid w:val="00151071"/>
    <w:rsid w:val="00191CE8"/>
    <w:rsid w:val="00191F1D"/>
    <w:rsid w:val="001A625A"/>
    <w:rsid w:val="001B0D68"/>
    <w:rsid w:val="00211D9C"/>
    <w:rsid w:val="0022724F"/>
    <w:rsid w:val="00272D15"/>
    <w:rsid w:val="002D03FA"/>
    <w:rsid w:val="002F267C"/>
    <w:rsid w:val="00334ABC"/>
    <w:rsid w:val="0037193D"/>
    <w:rsid w:val="00372CEB"/>
    <w:rsid w:val="003F57A1"/>
    <w:rsid w:val="00442EBF"/>
    <w:rsid w:val="00457CA4"/>
    <w:rsid w:val="0047179E"/>
    <w:rsid w:val="00506E8D"/>
    <w:rsid w:val="00530295"/>
    <w:rsid w:val="005467CF"/>
    <w:rsid w:val="005D3B98"/>
    <w:rsid w:val="005E2303"/>
    <w:rsid w:val="005F0F5B"/>
    <w:rsid w:val="00611860"/>
    <w:rsid w:val="00625C2A"/>
    <w:rsid w:val="00642FF1"/>
    <w:rsid w:val="006563FB"/>
    <w:rsid w:val="006712AC"/>
    <w:rsid w:val="00674255"/>
    <w:rsid w:val="00697ADB"/>
    <w:rsid w:val="006B323F"/>
    <w:rsid w:val="006C7909"/>
    <w:rsid w:val="00726334"/>
    <w:rsid w:val="0077032C"/>
    <w:rsid w:val="00842AEA"/>
    <w:rsid w:val="0087236C"/>
    <w:rsid w:val="00896914"/>
    <w:rsid w:val="008B4A25"/>
    <w:rsid w:val="008B63BC"/>
    <w:rsid w:val="00934D7C"/>
    <w:rsid w:val="00974F43"/>
    <w:rsid w:val="00A86D05"/>
    <w:rsid w:val="00AF434B"/>
    <w:rsid w:val="00B07C05"/>
    <w:rsid w:val="00B2174F"/>
    <w:rsid w:val="00B75EFD"/>
    <w:rsid w:val="00B8023A"/>
    <w:rsid w:val="00B805B8"/>
    <w:rsid w:val="00C14306"/>
    <w:rsid w:val="00C301B1"/>
    <w:rsid w:val="00C31935"/>
    <w:rsid w:val="00C50DB7"/>
    <w:rsid w:val="00C65FD1"/>
    <w:rsid w:val="00D233CB"/>
    <w:rsid w:val="00D44AF2"/>
    <w:rsid w:val="00D46CD9"/>
    <w:rsid w:val="00D4728A"/>
    <w:rsid w:val="00D968D5"/>
    <w:rsid w:val="00E64D5A"/>
    <w:rsid w:val="00E64DF1"/>
    <w:rsid w:val="00E811BF"/>
    <w:rsid w:val="00F27713"/>
    <w:rsid w:val="00F56957"/>
    <w:rsid w:val="00F9231A"/>
    <w:rsid w:val="00F9245B"/>
    <w:rsid w:val="00FC5EC0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2B23"/>
  <w15:chartTrackingRefBased/>
  <w15:docId w15:val="{EF87070A-0107-454D-80EE-21B75C2A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Nishaka William</dc:creator>
  <cp:keywords/>
  <dc:description/>
  <cp:lastModifiedBy>Nishaka William</cp:lastModifiedBy>
  <cp:revision>45</cp:revision>
  <dcterms:created xsi:type="dcterms:W3CDTF">2022-10-07T17:45:00Z</dcterms:created>
  <dcterms:modified xsi:type="dcterms:W3CDTF">2023-01-23T19:41:00Z</dcterms:modified>
</cp:coreProperties>
</file>