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481B" w14:textId="16C3559E" w:rsidR="00014D69" w:rsidRDefault="00014D69" w:rsidP="00014D69">
      <w:r w:rsidRPr="00D61CE0">
        <w:rPr>
          <w:b/>
          <w:bCs/>
        </w:rPr>
        <w:t>Supplementary Table 1</w:t>
      </w:r>
      <w:r>
        <w:t>. External-Internal Index (E-I Index) applied to the mean preferential association network (</w:t>
      </w:r>
      <w:r w:rsidRPr="00216286">
        <w:rPr>
          <w:i/>
          <w:iCs/>
        </w:rPr>
        <w:t>n</w:t>
      </w:r>
      <w:r>
        <w:t xml:space="preserve"> = 70). Ego-similarity for parity (1-6), breeding group (1-7) and k-core (K1, K2, K3, K4). Internal ties refer to ties with an individual of attribute similarity (homophily). External ties refer to ties with an individual of attribute difference (heterophily). </w:t>
      </w:r>
      <w:r w:rsidR="007D43E8">
        <w:t xml:space="preserve">Previously published in Jowett and Amory (2021). Copyrights were obtained. 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192"/>
        <w:gridCol w:w="1126"/>
        <w:gridCol w:w="1226"/>
        <w:gridCol w:w="1238"/>
        <w:gridCol w:w="1239"/>
        <w:gridCol w:w="1353"/>
        <w:gridCol w:w="863"/>
        <w:gridCol w:w="789"/>
        <w:gridCol w:w="188"/>
      </w:tblGrid>
      <w:tr w:rsidR="00014D69" w14:paraId="390F6F32" w14:textId="77777777" w:rsidTr="003111EA"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</w:tcPr>
          <w:p w14:paraId="212EF9DE" w14:textId="77777777" w:rsidR="00014D69" w:rsidRDefault="00014D69" w:rsidP="003111EA">
            <w:pPr>
              <w:spacing w:before="100" w:beforeAutospacing="1" w:after="100" w:afterAutospacing="1" w:line="48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</w:tcPr>
          <w:p w14:paraId="22348D1F" w14:textId="77777777" w:rsidR="00014D69" w:rsidRPr="00F035B2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F035B2">
              <w:t>Internal ties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</w:tcPr>
          <w:p w14:paraId="55169F13" w14:textId="77777777" w:rsidR="00014D69" w:rsidRPr="00F035B2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F035B2">
              <w:t>% Internal ties</w:t>
            </w:r>
          </w:p>
        </w:tc>
        <w:tc>
          <w:tcPr>
            <w:tcW w:w="1238" w:type="dxa"/>
            <w:tcBorders>
              <w:left w:val="nil"/>
              <w:bottom w:val="single" w:sz="4" w:space="0" w:color="auto"/>
              <w:right w:val="nil"/>
            </w:tcBorders>
          </w:tcPr>
          <w:p w14:paraId="5FE17A4F" w14:textId="77777777" w:rsidR="00014D69" w:rsidRPr="00F035B2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F035B2">
              <w:t>External ties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681E23CE" w14:textId="77777777" w:rsidR="00014D69" w:rsidRPr="00F035B2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F035B2">
              <w:t>% External ties</w:t>
            </w:r>
          </w:p>
        </w:tc>
        <w:tc>
          <w:tcPr>
            <w:tcW w:w="1353" w:type="dxa"/>
            <w:tcBorders>
              <w:left w:val="nil"/>
              <w:bottom w:val="single" w:sz="4" w:space="0" w:color="auto"/>
              <w:right w:val="nil"/>
            </w:tcBorders>
          </w:tcPr>
          <w:p w14:paraId="67508062" w14:textId="77777777" w:rsidR="00014D69" w:rsidRPr="00F035B2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F035B2">
              <w:t>Expected E-I Index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</w:tcPr>
          <w:p w14:paraId="165A14AF" w14:textId="77777777" w:rsidR="00014D69" w:rsidRPr="00F035B2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F035B2">
              <w:t>E-I Index</w:t>
            </w:r>
          </w:p>
        </w:tc>
        <w:tc>
          <w:tcPr>
            <w:tcW w:w="9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8D83254" w14:textId="77777777" w:rsidR="00014D69" w:rsidRPr="00F035B2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F035B2">
              <w:t>Std error</w:t>
            </w:r>
          </w:p>
        </w:tc>
      </w:tr>
      <w:tr w:rsidR="00014D69" w14:paraId="48FFA946" w14:textId="77777777" w:rsidTr="003111EA">
        <w:trPr>
          <w:gridAfter w:val="1"/>
          <w:wAfter w:w="188" w:type="dxa"/>
        </w:trPr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14:paraId="2029B139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  <w:r w:rsidRPr="00AE1648">
              <w:rPr>
                <w:b/>
                <w:bCs/>
              </w:rPr>
              <w:t>Parity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</w:tcPr>
          <w:p w14:paraId="7A80AC4C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130</w:t>
            </w: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</w:tcPr>
          <w:p w14:paraId="355EE296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35.9</w:t>
            </w: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</w:tcPr>
          <w:p w14:paraId="14275B74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232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14:paraId="44EC2524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64.1</w:t>
            </w: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</w:tcPr>
          <w:p w14:paraId="3259B22B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0.481</w:t>
            </w: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</w:tcPr>
          <w:p w14:paraId="3614D82A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0.282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14:paraId="58B5941B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0.069</w:t>
            </w:r>
          </w:p>
        </w:tc>
      </w:tr>
      <w:tr w:rsidR="00014D69" w14:paraId="6905BC5A" w14:textId="77777777" w:rsidTr="003111EA">
        <w:trPr>
          <w:gridAfter w:val="1"/>
          <w:wAfter w:w="188" w:type="dxa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30DB7A0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  <w:r w:rsidRPr="00AE1648">
              <w:rPr>
                <w:b/>
                <w:bCs/>
              </w:rPr>
              <w:t>Br</w:t>
            </w:r>
            <w:r>
              <w:rPr>
                <w:b/>
                <w:bCs/>
              </w:rPr>
              <w:t>eed</w:t>
            </w:r>
            <w:r w:rsidRPr="00AE16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AE1648">
              <w:rPr>
                <w:b/>
                <w:bCs/>
              </w:rPr>
              <w:t xml:space="preserve">rp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04A3CC2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118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B09AAD5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32.6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EB6461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769D27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67.4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0A77B8B0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0.696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DF4F169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0.348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28DE08D6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0.051</w:t>
            </w:r>
          </w:p>
        </w:tc>
      </w:tr>
      <w:tr w:rsidR="00014D69" w14:paraId="7394810D" w14:textId="77777777" w:rsidTr="003111EA">
        <w:trPr>
          <w:gridAfter w:val="1"/>
          <w:wAfter w:w="188" w:type="dxa"/>
          <w:trHeight w:hRule="exact" w:val="340"/>
        </w:trPr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7B4E5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  <w:rPr>
                <w:b/>
                <w:bCs/>
              </w:rPr>
            </w:pPr>
            <w:r w:rsidRPr="00AE1648">
              <w:rPr>
                <w:b/>
                <w:bCs/>
                <w:i/>
                <w:iCs/>
              </w:rPr>
              <w:t>K</w:t>
            </w:r>
            <w:r w:rsidRPr="00AE1648">
              <w:rPr>
                <w:b/>
                <w:bCs/>
              </w:rPr>
              <w:t>-core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373C1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248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CA6A7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68.5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231F4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114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33CF3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31.5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611EA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0.331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A1D78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-0.370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947CD" w14:textId="77777777" w:rsidR="00014D69" w:rsidRPr="00AE1648" w:rsidRDefault="00014D69" w:rsidP="003111EA">
            <w:pPr>
              <w:spacing w:before="100" w:beforeAutospacing="1" w:after="100" w:afterAutospacing="1" w:line="276" w:lineRule="auto"/>
              <w:contextualSpacing/>
            </w:pPr>
            <w:r w:rsidRPr="00AE1648">
              <w:t>0.070</w:t>
            </w:r>
          </w:p>
        </w:tc>
      </w:tr>
    </w:tbl>
    <w:p w14:paraId="2327BA0C" w14:textId="77777777" w:rsidR="00014D69" w:rsidRPr="00D61CE0" w:rsidRDefault="00014D69" w:rsidP="00014D69">
      <w:pPr>
        <w:rPr>
          <w:b/>
          <w:bCs/>
        </w:rPr>
      </w:pPr>
    </w:p>
    <w:p w14:paraId="7BDCE6A1" w14:textId="77777777" w:rsidR="009E40B0" w:rsidRDefault="009E40B0"/>
    <w:sectPr w:rsidR="009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wsDQwN7U0MDI0MjFU0lEKTi0uzszPAykwqgUAE3qZpCwAAAA="/>
  </w:docVars>
  <w:rsids>
    <w:rsidRoot w:val="00014D69"/>
    <w:rsid w:val="00014D69"/>
    <w:rsid w:val="007D43E8"/>
    <w:rsid w:val="009E40B0"/>
    <w:rsid w:val="00B47C9E"/>
    <w:rsid w:val="00E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0416"/>
  <w15:chartTrackingRefBased/>
  <w15:docId w15:val="{B4917030-3A7E-4793-B77D-C43F341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69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D69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Jowett</dc:creator>
  <cp:keywords/>
  <dc:description/>
  <cp:lastModifiedBy>Sarah Jowett</cp:lastModifiedBy>
  <cp:revision>2</cp:revision>
  <dcterms:created xsi:type="dcterms:W3CDTF">2023-04-04T13:37:00Z</dcterms:created>
  <dcterms:modified xsi:type="dcterms:W3CDTF">2023-05-24T11:28:00Z</dcterms:modified>
</cp:coreProperties>
</file>