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88BAD9" w14:textId="77777777" w:rsidR="00CB3DEB" w:rsidRPr="00A76AE6" w:rsidRDefault="00CB3DEB">
      <w:pPr>
        <w:rPr>
          <w:rFonts w:ascii="Times New Roman" w:hAnsi="Times New Roman" w:cs="Times New Roman"/>
          <w:b/>
          <w:bCs/>
        </w:rPr>
      </w:pPr>
      <w:bookmarkStart w:id="0" w:name="_GoBack"/>
      <w:bookmarkEnd w:id="0"/>
      <w:r w:rsidRPr="00A76AE6">
        <w:rPr>
          <w:rFonts w:ascii="Times New Roman" w:hAnsi="Times New Roman" w:cs="Times New Roman"/>
          <w:b/>
          <w:bCs/>
        </w:rPr>
        <w:t>Chromosomal Microarray Analysis Supplements Exome Sequencing to Diagnose Children with Suspected Inborn Errors of Immunity</w:t>
      </w:r>
    </w:p>
    <w:p w14:paraId="39ABEAAD" w14:textId="5576ABB4" w:rsidR="00CB3DEB" w:rsidRPr="00A76AE6" w:rsidRDefault="00F46F48">
      <w:pPr>
        <w:rPr>
          <w:rFonts w:ascii="Times New Roman" w:hAnsi="Times New Roman" w:cs="Times New Roman"/>
        </w:rPr>
      </w:pPr>
      <w:r w:rsidRPr="00F46F48">
        <w:rPr>
          <w:rFonts w:ascii="Times New Roman" w:hAnsi="Times New Roman" w:cs="Times New Roman"/>
        </w:rPr>
        <w:t>Breanna Beers, Morgan Similuk, Rajarshi Ghosh, Bryce A. Seifert, Leila Jamal, Michael Kamen, Michael R. Setzer, Colleen Jodarski, Rylee Duncan, Devin Hunt, Madison Mixer</w:t>
      </w:r>
      <w:r>
        <w:rPr>
          <w:rFonts w:ascii="Times New Roman" w:hAnsi="Times New Roman" w:cs="Times New Roman"/>
        </w:rPr>
        <w:t>,</w:t>
      </w:r>
      <w:r w:rsidRPr="00F46F48">
        <w:rPr>
          <w:rFonts w:ascii="Times New Roman" w:hAnsi="Times New Roman" w:cs="Times New Roman"/>
        </w:rPr>
        <w:t xml:space="preserve"> Wenjia Cao, Weimin Bi, Daniel Veltri, Eric Karlins, Lingwen Zhang, Zhiwen Li, Andrew Oler, Kathleen Jevtich, Yunting Yu, Haley Hullfish, Bibi Bielekova, Pamela Frischmeyer-Guerrerio, An Dang Do, Laryssa A. Huryn, Kenneth N. Olivier, Helen C. Su, Jonathan J. Lyons, Christa S. Zerbe, V. Koneti Rao, Michael D. Keller, Alexandra F. Freeman, Steven M. Holland, Luis M. Franco, Magdalena A. Walkiewicz, Jia Yan</w:t>
      </w:r>
      <w:r w:rsidR="000361B2">
        <w:rPr>
          <w:rFonts w:ascii="Times New Roman" w:hAnsi="Times New Roman" w:cs="Times New Roman"/>
        </w:rPr>
        <w:t>*</w:t>
      </w:r>
    </w:p>
    <w:p w14:paraId="2438EB1E" w14:textId="51409D1A" w:rsidR="00F76554" w:rsidRPr="00A76AE6" w:rsidRDefault="00404AEB" w:rsidP="00F76554">
      <w:pPr>
        <w:rPr>
          <w:rFonts w:ascii="Times New Roman" w:hAnsi="Times New Roman" w:cs="Times New Roman"/>
          <w:i/>
          <w:iCs/>
        </w:rPr>
      </w:pPr>
      <w:r>
        <w:rPr>
          <w:rFonts w:ascii="Times New Roman" w:hAnsi="Times New Roman" w:cs="Times New Roman"/>
          <w:i/>
          <w:iCs/>
        </w:rPr>
        <w:t>Frontiers in Immunology</w:t>
      </w:r>
    </w:p>
    <w:p w14:paraId="60E75D84" w14:textId="2BEBE2E2" w:rsidR="00F76554" w:rsidRPr="00A76AE6" w:rsidRDefault="00F76554" w:rsidP="00F76554">
      <w:pPr>
        <w:rPr>
          <w:rFonts w:ascii="Times New Roman" w:hAnsi="Times New Roman" w:cs="Times New Roman"/>
        </w:rPr>
      </w:pPr>
      <w:r w:rsidRPr="00A76AE6">
        <w:rPr>
          <w:rFonts w:ascii="Times New Roman" w:hAnsi="Times New Roman" w:cs="Times New Roman"/>
        </w:rPr>
        <w:t xml:space="preserve">Corresponding author: </w:t>
      </w:r>
      <w:hyperlink r:id="rId9" w:history="1">
        <w:r w:rsidR="00404AEB" w:rsidRPr="00FD3F84">
          <w:rPr>
            <w:rStyle w:val="Hyperlink"/>
            <w:rFonts w:ascii="Times New Roman" w:hAnsi="Times New Roman" w:cs="Times New Roman"/>
          </w:rPr>
          <w:t>Jia</w:t>
        </w:r>
      </w:hyperlink>
      <w:r w:rsidR="00404AEB">
        <w:rPr>
          <w:rFonts w:ascii="Times New Roman" w:hAnsi="Times New Roman" w:cs="Times New Roman"/>
        </w:rPr>
        <w:t xml:space="preserve"> Yan, jia.yan@nih.gov</w:t>
      </w:r>
      <w:r w:rsidRPr="00A76AE6">
        <w:rPr>
          <w:rFonts w:ascii="Times New Roman" w:hAnsi="Times New Roman" w:cs="Times New Roman"/>
        </w:rPr>
        <w:t xml:space="preserve"> </w:t>
      </w:r>
    </w:p>
    <w:p w14:paraId="708EEF9C" w14:textId="368B257D" w:rsidR="00A76AE6" w:rsidRPr="00A76AE6" w:rsidRDefault="00A76AE6" w:rsidP="00F76554">
      <w:pPr>
        <w:rPr>
          <w:rFonts w:ascii="Times New Roman" w:hAnsi="Times New Roman" w:cs="Times New Roman"/>
        </w:rPr>
      </w:pPr>
    </w:p>
    <w:p w14:paraId="132A02F5" w14:textId="365FA032" w:rsidR="00A76AE6" w:rsidRPr="00A76AE6" w:rsidRDefault="00A76AE6" w:rsidP="00F76554">
      <w:pPr>
        <w:rPr>
          <w:rFonts w:ascii="Times New Roman" w:hAnsi="Times New Roman" w:cs="Times New Roman"/>
        </w:rPr>
      </w:pPr>
      <w:r>
        <w:rPr>
          <w:rFonts w:ascii="Times New Roman" w:hAnsi="Times New Roman" w:cs="Times New Roman"/>
        </w:rPr>
        <w:t>This resource contains supplementary material regarding methodology of exome sequencing</w:t>
      </w:r>
      <w:r w:rsidR="00404AEB">
        <w:rPr>
          <w:rFonts w:ascii="Times New Roman" w:hAnsi="Times New Roman" w:cs="Times New Roman"/>
        </w:rPr>
        <w:t>, absence of heterozygosity calculations,</w:t>
      </w:r>
      <w:r>
        <w:rPr>
          <w:rFonts w:ascii="Times New Roman" w:hAnsi="Times New Roman" w:cs="Times New Roman"/>
        </w:rPr>
        <w:t xml:space="preserve"> and chromosomal microarray design.</w:t>
      </w:r>
    </w:p>
    <w:p w14:paraId="4DF7A4ED" w14:textId="307EF8C2" w:rsidR="00A76AE6" w:rsidRPr="00A76AE6" w:rsidRDefault="00A76AE6">
      <w:pPr>
        <w:rPr>
          <w:rFonts w:ascii="Times New Roman" w:hAnsi="Times New Roman" w:cs="Times New Roman"/>
        </w:rPr>
      </w:pPr>
      <w:r w:rsidRPr="00A76AE6">
        <w:rPr>
          <w:rFonts w:ascii="Times New Roman" w:hAnsi="Times New Roman" w:cs="Times New Roman"/>
        </w:rPr>
        <w:br w:type="page"/>
      </w:r>
    </w:p>
    <w:p w14:paraId="1219EA18" w14:textId="304F3DEF" w:rsidR="00A76AE6" w:rsidRDefault="00A76AE6" w:rsidP="00F76554">
      <w:pPr>
        <w:rPr>
          <w:rFonts w:ascii="Times New Roman" w:hAnsi="Times New Roman" w:cs="Times New Roman"/>
        </w:rPr>
      </w:pPr>
      <w:r>
        <w:rPr>
          <w:rFonts w:ascii="Times New Roman" w:hAnsi="Times New Roman" w:cs="Times New Roman"/>
          <w:b/>
          <w:bCs/>
        </w:rPr>
        <w:lastRenderedPageBreak/>
        <w:t>Exome sequencing</w:t>
      </w:r>
    </w:p>
    <w:p w14:paraId="6253DB9D" w14:textId="14A9512F" w:rsidR="00A76AE6" w:rsidRDefault="00176CA1" w:rsidP="00F76554">
      <w:pPr>
        <w:rPr>
          <w:rFonts w:ascii="Times New Roman" w:hAnsi="Times New Roman" w:cs="Times New Roman"/>
        </w:rPr>
      </w:pPr>
      <w:r w:rsidRPr="00176CA1">
        <w:rPr>
          <w:rFonts w:ascii="Times New Roman" w:hAnsi="Times New Roman" w:cs="Times New Roman"/>
        </w:rPr>
        <w:t>Research-based exome sequencing was performed at the Center for Inherited Disease Research (CIDR) at Johns Hopkins University and the Human Genome Research Center (HGSC) at Baylor College of Medicine on study participants with an available sample. Quality control included electrophoresis, UV absorbance readings and volume checks that were performed upon sample receipt at CIDR and HGSC to confirm adequate quantity and quality of genomic DNA. Prior to sequencing, samples were processed with the Illumina HumanCoreExome-24v1-2 array or the Infinium Global Screening Array 24v2-v3 to confirm sex, relationship, unexpected duplicates, cryptic relatedness, and provide sample performance information and sample identity confirmation against the sequencing data. The exome capture was performed using the Agilent SureSelect XT HumanAllExon V6+UTR 91 Mb kit S07604624.  Libraries were sequenced on the Illumina HiSeq2500 platform using 125 bp paired end runs or the NovaSeq 6000 platform using 100 bp paired end runs. Intensity analysis and base calling was performed through the Illumina Real Time Analysis (RTA) software (version 1.17.20). Basecall files were demultiplexed from a binary format (BCL) to single sample fastq files using a demultiplexer written at CIDR as part of CIDRSeqSuite version 6.1 (unpublished). Fastq files were aligned with BWA-MEM version 0.7.8 to the 1000 genomes phase 2 (GRCh37) human genome reference. Picard versions 1.109 and 2.17.0 were used to flag duplicate molecules. Local realignment around indels and base call quality score recalibration and binning (2,10,20,30) were performed using the Genome Analysis Toolkit (GATK)(E1) version v4.0.1.1. Cram files were generated using SAMTools version 1.7. GATK’s reference confidence model workflow was used to perform joint sample genotyping using GATK version 3.7. Variant filtering was completed using the Variant Quality Score Recalibration (VQSR) method [21478889](E2). All variants in the final multi-sample VCF file are annotated using Annovar (version 2013_02_21) against a variety of data sources including gene annotation, function prediction and frequency information. Summary statistics (for SNVs and INDELs) on the multi-sample .vcf file are calculated for each variant (both PASS and FAIL) including counts and frequencies of alleles and genotypes, missing rates, overall quality scores, and mean depth. </w:t>
      </w:r>
    </w:p>
    <w:p w14:paraId="57BDBC6A" w14:textId="77777777" w:rsidR="002C3696" w:rsidRDefault="002C3696" w:rsidP="00F76554">
      <w:pPr>
        <w:rPr>
          <w:rFonts w:ascii="Times New Roman" w:hAnsi="Times New Roman" w:cs="Times New Roman"/>
        </w:rPr>
      </w:pPr>
    </w:p>
    <w:p w14:paraId="7833C439" w14:textId="557E27C2" w:rsidR="00A1724B" w:rsidRPr="00A1724B" w:rsidRDefault="00AE22C9" w:rsidP="00A1724B">
      <w:pPr>
        <w:rPr>
          <w:rFonts w:ascii="Times New Roman" w:hAnsi="Times New Roman" w:cs="Times New Roman"/>
          <w:b/>
          <w:bCs/>
        </w:rPr>
      </w:pPr>
      <w:r>
        <w:rPr>
          <w:rFonts w:ascii="Times New Roman" w:hAnsi="Times New Roman" w:cs="Times New Roman"/>
          <w:b/>
          <w:bCs/>
        </w:rPr>
        <w:t>Absence</w:t>
      </w:r>
      <w:r w:rsidR="002C3696">
        <w:rPr>
          <w:rFonts w:ascii="Times New Roman" w:hAnsi="Times New Roman" w:cs="Times New Roman"/>
          <w:b/>
          <w:bCs/>
        </w:rPr>
        <w:t xml:space="preserve"> of heterozygosity</w:t>
      </w:r>
    </w:p>
    <w:p w14:paraId="74FBBCBC" w14:textId="589213B6" w:rsidR="00A1724B" w:rsidRPr="0003748E" w:rsidRDefault="00A1724B" w:rsidP="00A1724B">
      <w:pPr>
        <w:rPr>
          <w:rFonts w:ascii="Times New Roman" w:hAnsi="Times New Roman" w:cs="Times New Roman"/>
        </w:rPr>
      </w:pPr>
      <w:r w:rsidRPr="0003748E">
        <w:rPr>
          <w:rFonts w:ascii="Times New Roman" w:hAnsi="Times New Roman" w:cs="Times New Roman"/>
        </w:rPr>
        <w:t xml:space="preserve">Regions of Absence of Heterozygosity (AOH) were determined by first calling runs of AOH on autosomes using ‘bcftools roh’, ‘gemini roh’, and ‘plink </w:t>
      </w:r>
      <w:r w:rsidR="00AE22C9">
        <w:rPr>
          <w:rFonts w:ascii="Times New Roman" w:hAnsi="Times New Roman" w:cs="Times New Roman"/>
        </w:rPr>
        <w:t>--</w:t>
      </w:r>
      <w:r w:rsidRPr="0003748E">
        <w:rPr>
          <w:rFonts w:ascii="Times New Roman" w:hAnsi="Times New Roman" w:cs="Times New Roman"/>
        </w:rPr>
        <w:t>homozyg’(E</w:t>
      </w:r>
      <w:r w:rsidR="002C3696">
        <w:rPr>
          <w:rFonts w:ascii="Times New Roman" w:hAnsi="Times New Roman" w:cs="Times New Roman"/>
        </w:rPr>
        <w:t>1</w:t>
      </w:r>
      <w:r w:rsidRPr="0003748E">
        <w:rPr>
          <w:rFonts w:ascii="Times New Roman" w:hAnsi="Times New Roman" w:cs="Times New Roman"/>
        </w:rPr>
        <w:t>–</w:t>
      </w:r>
      <w:r w:rsidR="002C3696">
        <w:rPr>
          <w:rFonts w:ascii="Times New Roman" w:hAnsi="Times New Roman" w:cs="Times New Roman"/>
        </w:rPr>
        <w:t>3</w:t>
      </w:r>
      <w:r w:rsidRPr="0003748E">
        <w:rPr>
          <w:rFonts w:ascii="Times New Roman" w:hAnsi="Times New Roman" w:cs="Times New Roman"/>
        </w:rPr>
        <w:t>). For each method, variants were first filtered using bcftools to retain mono-allelic, single nucleotide variants with no missing alleles that passed VQSR (at 99.9% sensitivity) and had allelic balance ≥ 0.25 and genotype quality ≥ 20. For bcftools roh, we used default settings, along with gnomad exomes as the allele frequency database.  For gemini roh we used a minimum genotype depth of 10 and otherwise kept default settings. For plink, we first filtered for mean depth ≥ 10 and converted the VCF to ped + map format using vcftools (E</w:t>
      </w:r>
      <w:r w:rsidR="002C3696">
        <w:rPr>
          <w:rFonts w:ascii="Times New Roman" w:hAnsi="Times New Roman" w:cs="Times New Roman"/>
        </w:rPr>
        <w:t>4</w:t>
      </w:r>
      <w:r w:rsidRPr="0003748E">
        <w:rPr>
          <w:rFonts w:ascii="Times New Roman" w:hAnsi="Times New Roman" w:cs="Times New Roman"/>
        </w:rPr>
        <w:t xml:space="preserve">) and then ran plink </w:t>
      </w:r>
      <w:r w:rsidR="00AE22C9">
        <w:rPr>
          <w:rFonts w:ascii="Times New Roman" w:hAnsi="Times New Roman" w:cs="Times New Roman"/>
        </w:rPr>
        <w:t>--</w:t>
      </w:r>
      <w:r w:rsidRPr="0003748E">
        <w:rPr>
          <w:rFonts w:ascii="Times New Roman" w:hAnsi="Times New Roman" w:cs="Times New Roman"/>
        </w:rPr>
        <w:t>homozyg using default settings.  We used ‘bedtools multiinter’(E</w:t>
      </w:r>
      <w:r w:rsidR="002C3696">
        <w:rPr>
          <w:rFonts w:ascii="Times New Roman" w:hAnsi="Times New Roman" w:cs="Times New Roman"/>
        </w:rPr>
        <w:t>5</w:t>
      </w:r>
      <w:r w:rsidRPr="0003748E">
        <w:rPr>
          <w:rFonts w:ascii="Times New Roman" w:hAnsi="Times New Roman" w:cs="Times New Roman"/>
        </w:rPr>
        <w:t>) to determine regions overlapping between at least two methods, which were considered the consensus ROH an individual.</w:t>
      </w:r>
      <w:r w:rsidR="00D90358">
        <w:rPr>
          <w:rFonts w:ascii="Times New Roman" w:hAnsi="Times New Roman" w:cs="Times New Roman"/>
        </w:rPr>
        <w:t xml:space="preserve"> Percent </w:t>
      </w:r>
      <w:r w:rsidR="00A01D7A">
        <w:rPr>
          <w:rFonts w:ascii="Times New Roman" w:hAnsi="Times New Roman" w:cs="Times New Roman"/>
        </w:rPr>
        <w:t xml:space="preserve">identity by descent (IBD) estimates were calculated based on the sum of </w:t>
      </w:r>
      <w:r w:rsidR="00F96DCD">
        <w:rPr>
          <w:rFonts w:ascii="Times New Roman" w:hAnsi="Times New Roman" w:cs="Times New Roman"/>
        </w:rPr>
        <w:t xml:space="preserve">autosomal AOH </w:t>
      </w:r>
      <w:r w:rsidR="00A01D7A">
        <w:rPr>
          <w:rFonts w:ascii="Times New Roman" w:hAnsi="Times New Roman" w:cs="Times New Roman"/>
        </w:rPr>
        <w:t>segments of at least 3Mb</w:t>
      </w:r>
      <w:r w:rsidR="00F96DCD">
        <w:rPr>
          <w:rFonts w:ascii="Times New Roman" w:hAnsi="Times New Roman" w:cs="Times New Roman"/>
        </w:rPr>
        <w:t xml:space="preserve"> divided by the autosomal genomic length.</w:t>
      </w:r>
    </w:p>
    <w:p w14:paraId="1F922152" w14:textId="10284FBC" w:rsidR="0003748E" w:rsidRPr="0003748E" w:rsidRDefault="0003748E" w:rsidP="0003748E">
      <w:pPr>
        <w:rPr>
          <w:rFonts w:ascii="Times New Roman" w:hAnsi="Times New Roman" w:cs="Times New Roman"/>
        </w:rPr>
      </w:pPr>
    </w:p>
    <w:p w14:paraId="631668E9" w14:textId="55376E65" w:rsidR="00A76AE6" w:rsidRDefault="00A76AE6" w:rsidP="00F76554">
      <w:pPr>
        <w:rPr>
          <w:rFonts w:ascii="Times New Roman" w:hAnsi="Times New Roman" w:cs="Times New Roman"/>
        </w:rPr>
      </w:pPr>
      <w:r>
        <w:rPr>
          <w:rFonts w:ascii="Times New Roman" w:hAnsi="Times New Roman" w:cs="Times New Roman"/>
          <w:b/>
          <w:bCs/>
        </w:rPr>
        <w:t>Chromosomal microarray</w:t>
      </w:r>
    </w:p>
    <w:p w14:paraId="4A92F9CC" w14:textId="21907170" w:rsidR="00A76AE6" w:rsidRDefault="00176CA1" w:rsidP="00176CA1">
      <w:pPr>
        <w:rPr>
          <w:rFonts w:ascii="Times New Roman" w:hAnsi="Times New Roman" w:cs="Times New Roman"/>
        </w:rPr>
      </w:pPr>
      <w:r w:rsidRPr="00176CA1">
        <w:rPr>
          <w:rFonts w:ascii="Times New Roman" w:hAnsi="Times New Roman" w:cs="Times New Roman"/>
        </w:rPr>
        <w:t xml:space="preserve">To analyze </w:t>
      </w:r>
      <w:r w:rsidR="00A94E8C">
        <w:rPr>
          <w:rFonts w:ascii="Times New Roman" w:hAnsi="Times New Roman" w:cs="Times New Roman"/>
        </w:rPr>
        <w:t>copy number variation</w:t>
      </w:r>
      <w:r w:rsidRPr="00176CA1">
        <w:rPr>
          <w:rFonts w:ascii="Times New Roman" w:hAnsi="Times New Roman" w:cs="Times New Roman"/>
        </w:rPr>
        <w:t xml:space="preserve"> in immune-related genes and regions at the individual exon level, a custom comparative genome hybridization (CGH) array was designed in collaboration with Agilent </w:t>
      </w:r>
      <w:r w:rsidRPr="00176CA1">
        <w:rPr>
          <w:rFonts w:ascii="Times New Roman" w:hAnsi="Times New Roman" w:cs="Times New Roman"/>
        </w:rPr>
        <w:lastRenderedPageBreak/>
        <w:t>Technologies (Santa Clara, CA)</w:t>
      </w:r>
      <w:r w:rsidR="00A94E8C">
        <w:rPr>
          <w:rFonts w:ascii="Times New Roman" w:hAnsi="Times New Roman" w:cs="Times New Roman"/>
        </w:rPr>
        <w:t xml:space="preserve"> and performed at Baylor College of Medicine under test code 8658</w:t>
      </w:r>
      <w:r w:rsidRPr="00176CA1">
        <w:rPr>
          <w:rFonts w:ascii="Times New Roman" w:hAnsi="Times New Roman" w:cs="Times New Roman"/>
        </w:rPr>
        <w:t xml:space="preserve">. The following immune system-related targets were included in this 4x180K custom design: 1) 2,408 genes known or predicted to be involved in immunity (Gene Ontology terms containing immun*) were targeted for single-exon resolution (3-4 probes per gene); 2) noncoding exons from 15 RNA genes or pseudogenes; 3) three genomic regions of special interest. Design parameters included using the hg19 genome build and avoiding known segmental duplications. Overall, more than 99% of the targeted exons are covered by at least 3-4 probes, each of the 2,408 genes had one probe approximately every 10 kb, and the entire genome backbone had one probe approximately every 55 kb. Therefore, </w:t>
      </w:r>
      <w:r w:rsidR="00A94E8C">
        <w:rPr>
          <w:rFonts w:ascii="Times New Roman" w:hAnsi="Times New Roman" w:cs="Times New Roman"/>
        </w:rPr>
        <w:t>copy number variants</w:t>
      </w:r>
      <w:r w:rsidRPr="00176CA1">
        <w:rPr>
          <w:rFonts w:ascii="Times New Roman" w:hAnsi="Times New Roman" w:cs="Times New Roman"/>
        </w:rPr>
        <w:t xml:space="preserve"> could be evaluated on individual exon level or gene level (for targeted genes) and genome-wide with lower resolution. The design has a design ID 085277 in the Agilent system and its covered.bed file is available upon request.</w:t>
      </w:r>
    </w:p>
    <w:p w14:paraId="4656EE5B" w14:textId="126D1836" w:rsidR="00A94E8C" w:rsidRDefault="00A94E8C" w:rsidP="00A94E8C">
      <w:pPr>
        <w:rPr>
          <w:rFonts w:ascii="Times New Roman" w:hAnsi="Times New Roman" w:cs="Times New Roman"/>
        </w:rPr>
      </w:pPr>
      <w:r w:rsidRPr="00A94E8C">
        <w:rPr>
          <w:rFonts w:ascii="Times New Roman" w:hAnsi="Times New Roman" w:cs="Times New Roman"/>
        </w:rPr>
        <w:t xml:space="preserve">Additionally, P0007919 received a second </w:t>
      </w:r>
      <w:r>
        <w:rPr>
          <w:rFonts w:ascii="Times New Roman" w:hAnsi="Times New Roman" w:cs="Times New Roman"/>
        </w:rPr>
        <w:t>chromosomal microarray</w:t>
      </w:r>
      <w:r w:rsidRPr="00A94E8C">
        <w:rPr>
          <w:rFonts w:ascii="Times New Roman" w:hAnsi="Times New Roman" w:cs="Times New Roman"/>
        </w:rPr>
        <w:t xml:space="preserve"> of a more comprehensive design in order to detect a previously known molecular diagnosis</w:t>
      </w:r>
      <w:r>
        <w:rPr>
          <w:rFonts w:ascii="Times New Roman" w:hAnsi="Times New Roman" w:cs="Times New Roman"/>
        </w:rPr>
        <w:t xml:space="preserve">. This array was designed in collaboration with Agilent Technologies (Santa Clara, CA) performed at Baylor College of Medicine under test code 8665. The design included high resolution (HR) copy number analysis and single nucleotide polymorphisms (SNP) for the detection of absence of heterozygosity (AOH) and uniparental disomy (UPD). Benefits include exon-by-exon coverage of over 4,200 clinically significant genes, whole genome backbone coverage at a 30 Kb resolution, tiling coverage of mitochondrial genome, and </w:t>
      </w:r>
      <w:r w:rsidRPr="00A94E8C">
        <w:rPr>
          <w:rFonts w:ascii="Times New Roman" w:hAnsi="Times New Roman" w:cs="Times New Roman"/>
        </w:rPr>
        <w:t>57,000 oligos used for detection of</w:t>
      </w:r>
      <w:r>
        <w:rPr>
          <w:rFonts w:ascii="Times New Roman" w:hAnsi="Times New Roman" w:cs="Times New Roman"/>
        </w:rPr>
        <w:t xml:space="preserve"> AOH associated with UPD or consanguinity. AOH less than 10 Mb in size were not reported. </w:t>
      </w:r>
      <w:r w:rsidRPr="00A94E8C">
        <w:rPr>
          <w:rFonts w:ascii="Times New Roman" w:hAnsi="Times New Roman" w:cs="Times New Roman"/>
        </w:rPr>
        <w:t xml:space="preserve">The heterodisomy detection rate is not currently known for this </w:t>
      </w:r>
      <w:r>
        <w:rPr>
          <w:rFonts w:ascii="Times New Roman" w:hAnsi="Times New Roman" w:cs="Times New Roman"/>
        </w:rPr>
        <w:t>assay.</w:t>
      </w:r>
    </w:p>
    <w:p w14:paraId="030F2305" w14:textId="77777777" w:rsidR="00A1724B" w:rsidRDefault="00A1724B" w:rsidP="00A94E8C">
      <w:pPr>
        <w:rPr>
          <w:rFonts w:ascii="Times New Roman" w:hAnsi="Times New Roman" w:cs="Times New Roman"/>
        </w:rPr>
      </w:pPr>
    </w:p>
    <w:p w14:paraId="66259D44" w14:textId="77777777" w:rsidR="00404AEB" w:rsidRPr="000361B2" w:rsidRDefault="00404AEB" w:rsidP="00404AEB">
      <w:pPr>
        <w:rPr>
          <w:rFonts w:ascii="Times New Roman" w:hAnsi="Times New Roman" w:cs="Times New Roman"/>
        </w:rPr>
      </w:pPr>
      <w:r w:rsidRPr="00B17E0F">
        <w:rPr>
          <w:rFonts w:ascii="Times New Roman" w:hAnsi="Times New Roman" w:cs="Times New Roman"/>
          <w:b/>
          <w:bCs/>
        </w:rPr>
        <w:t>References</w:t>
      </w:r>
      <w:r w:rsidRPr="000361B2">
        <w:rPr>
          <w:rFonts w:ascii="Times New Roman" w:hAnsi="Times New Roman" w:cs="Times New Roman"/>
        </w:rPr>
        <w:t>:</w:t>
      </w:r>
    </w:p>
    <w:p w14:paraId="4C0F24DA" w14:textId="77777777" w:rsidR="00404AEB" w:rsidRPr="0003748E" w:rsidRDefault="00404AEB" w:rsidP="00404AEB">
      <w:pPr>
        <w:rPr>
          <w:rFonts w:ascii="Times New Roman" w:hAnsi="Times New Roman" w:cs="Times New Roman"/>
        </w:rPr>
      </w:pPr>
      <w:r w:rsidRPr="0003748E">
        <w:rPr>
          <w:rFonts w:ascii="Times New Roman" w:hAnsi="Times New Roman" w:cs="Times New Roman"/>
        </w:rPr>
        <w:t>E</w:t>
      </w:r>
      <w:r>
        <w:rPr>
          <w:rFonts w:ascii="Times New Roman" w:hAnsi="Times New Roman" w:cs="Times New Roman"/>
        </w:rPr>
        <w:t>1</w:t>
      </w:r>
      <w:r w:rsidRPr="0003748E">
        <w:rPr>
          <w:rFonts w:ascii="Times New Roman" w:hAnsi="Times New Roman" w:cs="Times New Roman"/>
        </w:rPr>
        <w:t>.    Li H, Handsaker B, Wysoker A, Fennell T, Ruan J, Homer N, et al. The Sequence Alignment/Map format and SAMtools. Bioinforma Oxf Engl. 2009 Aug 15;25(16):2078–9.</w:t>
      </w:r>
    </w:p>
    <w:p w14:paraId="7C058F4A" w14:textId="77777777" w:rsidR="00404AEB" w:rsidRPr="0003748E" w:rsidRDefault="00404AEB" w:rsidP="00404AEB">
      <w:pPr>
        <w:rPr>
          <w:rFonts w:ascii="Times New Roman" w:hAnsi="Times New Roman" w:cs="Times New Roman"/>
        </w:rPr>
      </w:pPr>
      <w:r w:rsidRPr="0003748E">
        <w:rPr>
          <w:rFonts w:ascii="Times New Roman" w:hAnsi="Times New Roman" w:cs="Times New Roman"/>
        </w:rPr>
        <w:t>E</w:t>
      </w:r>
      <w:r>
        <w:rPr>
          <w:rFonts w:ascii="Times New Roman" w:hAnsi="Times New Roman" w:cs="Times New Roman"/>
        </w:rPr>
        <w:t>2</w:t>
      </w:r>
      <w:r w:rsidRPr="0003748E">
        <w:rPr>
          <w:rFonts w:ascii="Times New Roman" w:hAnsi="Times New Roman" w:cs="Times New Roman"/>
        </w:rPr>
        <w:t>.    Paila U, Chapman BA, Kirchner R, Quinlan AR. GEMINI: integrative exploration of genetic variation and genome annotations. PLoS Comput Biol. 2013;9(7):e1003153.</w:t>
      </w:r>
    </w:p>
    <w:p w14:paraId="7C5710C0" w14:textId="77777777" w:rsidR="00404AEB" w:rsidRPr="00514DAA" w:rsidRDefault="00404AEB" w:rsidP="00404AEB">
      <w:pPr>
        <w:rPr>
          <w:rFonts w:ascii="Times New Roman" w:hAnsi="Times New Roman" w:cs="Times New Roman"/>
          <w:lang w:val="it-IT"/>
        </w:rPr>
      </w:pPr>
      <w:r w:rsidRPr="0003748E">
        <w:rPr>
          <w:rFonts w:ascii="Times New Roman" w:hAnsi="Times New Roman" w:cs="Times New Roman"/>
        </w:rPr>
        <w:t>E</w:t>
      </w:r>
      <w:r>
        <w:rPr>
          <w:rFonts w:ascii="Times New Roman" w:hAnsi="Times New Roman" w:cs="Times New Roman"/>
        </w:rPr>
        <w:t>3</w:t>
      </w:r>
      <w:r w:rsidRPr="0003748E">
        <w:rPr>
          <w:rFonts w:ascii="Times New Roman" w:hAnsi="Times New Roman" w:cs="Times New Roman"/>
        </w:rPr>
        <w:t xml:space="preserve">.    Chang CC, Chow CC, Tellier LC, Vattikuti S, Purcell SM, Lee JJ. Second-generation PLINK: rising to the challenge of larger and richer datasets. </w:t>
      </w:r>
      <w:r w:rsidRPr="00514DAA">
        <w:rPr>
          <w:rFonts w:ascii="Times New Roman" w:hAnsi="Times New Roman" w:cs="Times New Roman"/>
          <w:lang w:val="it-IT"/>
        </w:rPr>
        <w:t>GigaScience. 2015;4:7.</w:t>
      </w:r>
    </w:p>
    <w:p w14:paraId="332A9428" w14:textId="77777777" w:rsidR="00404AEB" w:rsidRPr="0003748E" w:rsidRDefault="00404AEB" w:rsidP="00404AEB">
      <w:pPr>
        <w:rPr>
          <w:rFonts w:ascii="Times New Roman" w:hAnsi="Times New Roman" w:cs="Times New Roman"/>
        </w:rPr>
      </w:pPr>
      <w:r w:rsidRPr="00514DAA">
        <w:rPr>
          <w:rFonts w:ascii="Times New Roman" w:hAnsi="Times New Roman" w:cs="Times New Roman"/>
          <w:lang w:val="it-IT"/>
        </w:rPr>
        <w:t xml:space="preserve">E4.    Danecek P, Auton A, Abecasis G, Albers CA, Banks E, DePristo MA, et al. </w:t>
      </w:r>
      <w:r w:rsidRPr="0003748E">
        <w:rPr>
          <w:rFonts w:ascii="Times New Roman" w:hAnsi="Times New Roman" w:cs="Times New Roman"/>
        </w:rPr>
        <w:t>The variant call format and VCFtools. Bioinforma Oxf Engl. 2011 Aug 1;27(15):2156–8.</w:t>
      </w:r>
    </w:p>
    <w:p w14:paraId="0382867F" w14:textId="77777777" w:rsidR="00404AEB" w:rsidRDefault="00404AEB" w:rsidP="00404AEB">
      <w:pPr>
        <w:rPr>
          <w:rFonts w:ascii="Times New Roman" w:hAnsi="Times New Roman" w:cs="Times New Roman"/>
        </w:rPr>
      </w:pPr>
      <w:r w:rsidRPr="00514DAA">
        <w:rPr>
          <w:rFonts w:ascii="Times New Roman" w:hAnsi="Times New Roman" w:cs="Times New Roman"/>
          <w:lang w:val="de-DE"/>
        </w:rPr>
        <w:t xml:space="preserve">E5.    Quinlan AR, Hall IM. </w:t>
      </w:r>
      <w:r w:rsidRPr="0003748E">
        <w:rPr>
          <w:rFonts w:ascii="Times New Roman" w:hAnsi="Times New Roman" w:cs="Times New Roman"/>
        </w:rPr>
        <w:t>BEDTools: a flexible suite of utilities for comparing genomic features. Bioinforma Oxf Engl. 2010 Mar 15;26(6):841–2.</w:t>
      </w:r>
    </w:p>
    <w:p w14:paraId="1C2E4ECC" w14:textId="77777777" w:rsidR="00A1724B" w:rsidRPr="00A76AE6" w:rsidRDefault="00A1724B" w:rsidP="00A94E8C">
      <w:pPr>
        <w:rPr>
          <w:rFonts w:ascii="Times New Roman" w:hAnsi="Times New Roman" w:cs="Times New Roman"/>
        </w:rPr>
      </w:pPr>
    </w:p>
    <w:sectPr w:rsidR="00A1724B" w:rsidRPr="00A76AE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D69AB" w14:textId="77777777" w:rsidR="00927FEF" w:rsidRDefault="00927FEF" w:rsidP="00F9655E">
      <w:pPr>
        <w:spacing w:after="0" w:line="240" w:lineRule="auto"/>
      </w:pPr>
      <w:r>
        <w:separator/>
      </w:r>
    </w:p>
  </w:endnote>
  <w:endnote w:type="continuationSeparator" w:id="0">
    <w:p w14:paraId="7F4E4AF3" w14:textId="77777777" w:rsidR="00927FEF" w:rsidRDefault="00927FEF" w:rsidP="00F9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968477"/>
      <w:docPartObj>
        <w:docPartGallery w:val="Page Numbers (Bottom of Page)"/>
        <w:docPartUnique/>
      </w:docPartObj>
    </w:sdtPr>
    <w:sdtEndPr>
      <w:rPr>
        <w:noProof/>
      </w:rPr>
    </w:sdtEndPr>
    <w:sdtContent>
      <w:p w14:paraId="0F8F6A62" w14:textId="36CFBC90" w:rsidR="00F9655E" w:rsidRDefault="00F9655E">
        <w:pPr>
          <w:pStyle w:val="Footer"/>
        </w:pPr>
        <w:r>
          <w:fldChar w:fldCharType="begin"/>
        </w:r>
        <w:r>
          <w:instrText xml:space="preserve"> PAGE   \* MERGEFORMAT </w:instrText>
        </w:r>
        <w:r>
          <w:fldChar w:fldCharType="separate"/>
        </w:r>
        <w:r w:rsidR="00514DAA">
          <w:rPr>
            <w:noProof/>
          </w:rPr>
          <w:t>1</w:t>
        </w:r>
        <w:r>
          <w:rPr>
            <w:noProof/>
          </w:rPr>
          <w:fldChar w:fldCharType="end"/>
        </w:r>
      </w:p>
    </w:sdtContent>
  </w:sdt>
  <w:p w14:paraId="12265EB8" w14:textId="77777777" w:rsidR="00F9655E" w:rsidRDefault="00F96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CBAC0" w14:textId="77777777" w:rsidR="00927FEF" w:rsidRDefault="00927FEF" w:rsidP="00F9655E">
      <w:pPr>
        <w:spacing w:after="0" w:line="240" w:lineRule="auto"/>
      </w:pPr>
      <w:r>
        <w:separator/>
      </w:r>
    </w:p>
  </w:footnote>
  <w:footnote w:type="continuationSeparator" w:id="0">
    <w:p w14:paraId="20E54090" w14:textId="77777777" w:rsidR="00927FEF" w:rsidRDefault="00927FEF" w:rsidP="00F96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C19D1"/>
    <w:multiLevelType w:val="multilevel"/>
    <w:tmpl w:val="2BC2F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97"/>
    <w:rsid w:val="00004C34"/>
    <w:rsid w:val="000361B2"/>
    <w:rsid w:val="0003748E"/>
    <w:rsid w:val="00176CA1"/>
    <w:rsid w:val="002C3696"/>
    <w:rsid w:val="00404AEB"/>
    <w:rsid w:val="0042055E"/>
    <w:rsid w:val="00514DAA"/>
    <w:rsid w:val="00560197"/>
    <w:rsid w:val="007E3F6C"/>
    <w:rsid w:val="00927FEF"/>
    <w:rsid w:val="00A01D7A"/>
    <w:rsid w:val="00A1724B"/>
    <w:rsid w:val="00A76AE6"/>
    <w:rsid w:val="00A94E8C"/>
    <w:rsid w:val="00AE22C9"/>
    <w:rsid w:val="00B17E0F"/>
    <w:rsid w:val="00CB3DEB"/>
    <w:rsid w:val="00D90358"/>
    <w:rsid w:val="00F46F48"/>
    <w:rsid w:val="00F54A79"/>
    <w:rsid w:val="00F76554"/>
    <w:rsid w:val="00F9655E"/>
    <w:rsid w:val="00F9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FABC"/>
  <w15:chartTrackingRefBased/>
  <w15:docId w15:val="{22BCBE07-4AA8-439D-B99F-717A9AAE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55E"/>
  </w:style>
  <w:style w:type="paragraph" w:styleId="Footer">
    <w:name w:val="footer"/>
    <w:basedOn w:val="Normal"/>
    <w:link w:val="FooterChar"/>
    <w:uiPriority w:val="99"/>
    <w:unhideWhenUsed/>
    <w:rsid w:val="00F96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55E"/>
  </w:style>
  <w:style w:type="character" w:styleId="Hyperlink">
    <w:name w:val="Hyperlink"/>
    <w:basedOn w:val="DefaultParagraphFont"/>
    <w:uiPriority w:val="99"/>
    <w:unhideWhenUsed/>
    <w:rsid w:val="00F76554"/>
    <w:rPr>
      <w:color w:val="0563C1" w:themeColor="hyperlink"/>
      <w:u w:val="single"/>
    </w:rPr>
  </w:style>
  <w:style w:type="character" w:customStyle="1" w:styleId="UnresolvedMention">
    <w:name w:val="Unresolved Mention"/>
    <w:basedOn w:val="DefaultParagraphFont"/>
    <w:uiPriority w:val="99"/>
    <w:semiHidden/>
    <w:unhideWhenUsed/>
    <w:rsid w:val="00F76554"/>
    <w:rPr>
      <w:color w:val="605E5C"/>
      <w:shd w:val="clear" w:color="auto" w:fill="E1DFDD"/>
    </w:rPr>
  </w:style>
  <w:style w:type="paragraph" w:styleId="Revision">
    <w:name w:val="Revision"/>
    <w:hidden/>
    <w:uiPriority w:val="99"/>
    <w:semiHidden/>
    <w:rsid w:val="00A1724B"/>
    <w:pPr>
      <w:spacing w:after="0" w:line="240" w:lineRule="auto"/>
    </w:pPr>
  </w:style>
  <w:style w:type="paragraph" w:styleId="BalloonText">
    <w:name w:val="Balloon Text"/>
    <w:basedOn w:val="Normal"/>
    <w:link w:val="BalloonTextChar"/>
    <w:uiPriority w:val="99"/>
    <w:semiHidden/>
    <w:unhideWhenUsed/>
    <w:rsid w:val="00514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9656">
      <w:bodyDiv w:val="1"/>
      <w:marLeft w:val="0"/>
      <w:marRight w:val="0"/>
      <w:marTop w:val="0"/>
      <w:marBottom w:val="0"/>
      <w:divBdr>
        <w:top w:val="none" w:sz="0" w:space="0" w:color="auto"/>
        <w:left w:val="none" w:sz="0" w:space="0" w:color="auto"/>
        <w:bottom w:val="none" w:sz="0" w:space="0" w:color="auto"/>
        <w:right w:val="none" w:sz="0" w:space="0" w:color="auto"/>
      </w:divBdr>
    </w:div>
    <w:div w:id="450444428">
      <w:bodyDiv w:val="1"/>
      <w:marLeft w:val="0"/>
      <w:marRight w:val="0"/>
      <w:marTop w:val="0"/>
      <w:marBottom w:val="0"/>
      <w:divBdr>
        <w:top w:val="none" w:sz="0" w:space="0" w:color="auto"/>
        <w:left w:val="none" w:sz="0" w:space="0" w:color="auto"/>
        <w:bottom w:val="none" w:sz="0" w:space="0" w:color="auto"/>
        <w:right w:val="none" w:sz="0" w:space="0" w:color="auto"/>
      </w:divBdr>
    </w:div>
    <w:div w:id="46775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J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F7180703C7A4488DD1993184B0D7D" ma:contentTypeVersion="14" ma:contentTypeDescription="Create a new document." ma:contentTypeScope="" ma:versionID="4ae4741ececcca14ca186bdee07c5950">
  <xsd:schema xmlns:xsd="http://www.w3.org/2001/XMLSchema" xmlns:xs="http://www.w3.org/2001/XMLSchema" xmlns:p="http://schemas.microsoft.com/office/2006/metadata/properties" xmlns:ns2="4aae6841-32d9-425b-8541-f9f698492036" xmlns:ns3="b4a40430-959d-424a-978b-d868a90e61ac" targetNamespace="http://schemas.microsoft.com/office/2006/metadata/properties" ma:root="true" ma:fieldsID="c19ecee44bd11f1e88426bb59db9e49c" ns2:_="" ns3:_="">
    <xsd:import namespace="4aae6841-32d9-425b-8541-f9f698492036"/>
    <xsd:import namespace="b4a40430-959d-424a-978b-d868a90e61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e6841-32d9-425b-8541-f9f6984920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f753c3a-c9a0-4ca9-85fc-a8cd3003bb5c}" ma:internalName="TaxCatchAll" ma:showField="CatchAllData" ma:web="4aae6841-32d9-425b-8541-f9f6984920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a40430-959d-424a-978b-d868a90e61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7C72C-E9F9-44EE-803F-64BD43E5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e6841-32d9-425b-8541-f9f698492036"/>
    <ds:schemaRef ds:uri="b4a40430-959d-424a-978b-d868a90e6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0810C9-063F-4C96-89E7-9F47EFFC3D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Breanna (NIH/NIAID) [F]</dc:creator>
  <cp:keywords/>
  <dc:description/>
  <cp:lastModifiedBy>Amor Nanas</cp:lastModifiedBy>
  <cp:revision>16</cp:revision>
  <dcterms:created xsi:type="dcterms:W3CDTF">2023-03-31T18:11:00Z</dcterms:created>
  <dcterms:modified xsi:type="dcterms:W3CDTF">2023-05-02T08:25:00Z</dcterms:modified>
</cp:coreProperties>
</file>