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98B" w:rsidRDefault="00EF2C10">
      <w:pPr>
        <w:jc w:val="center"/>
        <w:rPr>
          <w:rFonts w:ascii="Times New Roman" w:eastAsia="等线" w:hAnsi="Times New Roman" w:cs="Times New Roman"/>
          <w:b/>
          <w:sz w:val="28"/>
        </w:rPr>
      </w:pPr>
      <w:r>
        <w:rPr>
          <w:rFonts w:ascii="Times New Roman" w:eastAsia="等线" w:hAnsi="Times New Roman" w:cs="Times New Roman"/>
          <w:b/>
          <w:sz w:val="28"/>
        </w:rPr>
        <w:t>Supplementary tables</w:t>
      </w:r>
    </w:p>
    <w:p w:rsidR="00A2798B" w:rsidRDefault="00A2798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2798B" w:rsidRDefault="00EF2C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table 1. </w:t>
      </w:r>
      <w:r>
        <w:rPr>
          <w:rFonts w:ascii="Times New Roman" w:hAnsi="Times New Roman" w:cs="Times New Roman" w:hint="eastAsia"/>
          <w:b/>
          <w:sz w:val="24"/>
          <w:szCs w:val="24"/>
        </w:rPr>
        <w:t>Diagnostic codes</w:t>
      </w:r>
      <w:r>
        <w:rPr>
          <w:rFonts w:ascii="Times New Roman" w:hAnsi="Times New Roman" w:cs="Times New Roman"/>
          <w:b/>
          <w:sz w:val="24"/>
          <w:szCs w:val="24"/>
        </w:rPr>
        <w:t xml:space="preserve"> used in this study</w:t>
      </w:r>
    </w:p>
    <w:tbl>
      <w:tblPr>
        <w:tblStyle w:val="a7"/>
        <w:tblW w:w="850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531"/>
      </w:tblGrid>
      <w:tr w:rsidR="00A2798B">
        <w:trPr>
          <w:jc w:val="center"/>
        </w:trPr>
        <w:tc>
          <w:tcPr>
            <w:tcW w:w="3969" w:type="dxa"/>
            <w:tcBorders>
              <w:top w:val="single" w:sz="12" w:space="0" w:color="auto"/>
              <w:bottom w:val="single" w:sz="8" w:space="0" w:color="auto"/>
            </w:tcBorders>
          </w:tcPr>
          <w:p w:rsidR="00A2798B" w:rsidRDefault="00EF2C10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>Disease Entity</w:t>
            </w:r>
          </w:p>
        </w:tc>
        <w:tc>
          <w:tcPr>
            <w:tcW w:w="4531" w:type="dxa"/>
            <w:tcBorders>
              <w:top w:val="single" w:sz="12" w:space="0" w:color="auto"/>
              <w:bottom w:val="single" w:sz="8" w:space="0" w:color="auto"/>
            </w:tcBorders>
          </w:tcPr>
          <w:p w:rsidR="00A2798B" w:rsidRDefault="00EF2C10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>Codes</w:t>
            </w:r>
          </w:p>
        </w:tc>
      </w:tr>
      <w:tr w:rsidR="00A2798B">
        <w:trPr>
          <w:jc w:val="center"/>
        </w:trPr>
        <w:tc>
          <w:tcPr>
            <w:tcW w:w="3969" w:type="dxa"/>
            <w:tcBorders>
              <w:top w:val="single" w:sz="8" w:space="0" w:color="auto"/>
            </w:tcBorders>
          </w:tcPr>
          <w:p w:rsidR="00A2798B" w:rsidRDefault="00EF2C10">
            <w:pP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 xml:space="preserve">Cancer type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>(ICD-9-CM codes)</w:t>
            </w:r>
          </w:p>
        </w:tc>
        <w:tc>
          <w:tcPr>
            <w:tcW w:w="4531" w:type="dxa"/>
            <w:tcBorders>
              <w:top w:val="single" w:sz="8" w:space="0" w:color="auto"/>
            </w:tcBorders>
          </w:tcPr>
          <w:p w:rsidR="00A2798B" w:rsidRDefault="00A2798B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Ovarian cancer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1830,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1832,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1838,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1839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Uterine cancer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179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, 1820, 1821, 1828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Cervical cancer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1800,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1801,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1808,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1809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 xml:space="preserve">Primary </w:t>
            </w:r>
            <w:r>
              <w:rPr>
                <w:rFonts w:ascii="Times New Roman" w:eastAsia="Times New Roman" w:hAnsi="Times New Roman" w:cs="Times New Roman" w:hint="eastAsia"/>
                <w:b/>
                <w:kern w:val="0"/>
                <w:sz w:val="20"/>
                <w:szCs w:val="20"/>
              </w:rPr>
              <w:t>diagnosis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 xml:space="preserve"> (CCS codes)</w:t>
            </w:r>
          </w:p>
        </w:tc>
        <w:tc>
          <w:tcPr>
            <w:tcW w:w="4531" w:type="dxa"/>
          </w:tcPr>
          <w:p w:rsidR="00A2798B" w:rsidRDefault="00A2798B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Cancer-related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1-44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Infections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-9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Genitourinary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56-196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Cardiovascular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6-121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Pulmonary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22-134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Gastrointestinal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35-155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Fractures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207, 228-231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Fluid/Electrolyte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55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Neurologic disorders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6-85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 xml:space="preserve">    Complications of device or surgery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237-238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  <w:t>Secondary tumor site (ICD-9-CM codes)</w:t>
            </w:r>
          </w:p>
        </w:tc>
        <w:tc>
          <w:tcPr>
            <w:tcW w:w="4531" w:type="dxa"/>
          </w:tcPr>
          <w:p w:rsidR="00A2798B" w:rsidRDefault="00A2798B">
            <w:pP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Bone &amp; bone marrow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198.5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Brain &amp; spinal cord</w:t>
            </w:r>
          </w:p>
        </w:tc>
        <w:tc>
          <w:tcPr>
            <w:tcW w:w="4531" w:type="dxa"/>
          </w:tcPr>
          <w:p w:rsidR="00A2798B" w:rsidRDefault="00EF2C10">
            <w:pPr>
              <w:ind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198.3, 198.4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Lymph nodes</w:t>
            </w:r>
          </w:p>
        </w:tc>
        <w:tc>
          <w:tcPr>
            <w:tcW w:w="4531" w:type="dxa"/>
          </w:tcPr>
          <w:p w:rsidR="00A2798B" w:rsidRDefault="00EF2C10">
            <w:pPr>
              <w:ind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196.x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Liver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197.7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Respiratory organs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197.0, 197.1, 197.2, 197.3, 197.8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Urinary organs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198.0, 198.1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bookmarkStart w:id="1" w:name="OLE_LINK1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Adrenal glands</w:t>
            </w:r>
            <w:bookmarkEnd w:id="1"/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198.7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Gastrointestinal organs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197.4, 197.5, 197.6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Genital organs</w:t>
            </w:r>
          </w:p>
        </w:tc>
        <w:tc>
          <w:tcPr>
            <w:tcW w:w="4531" w:type="dxa"/>
          </w:tcPr>
          <w:p w:rsidR="00A2798B" w:rsidRDefault="00EF2C10">
            <w:pPr>
              <w:ind w:firstLineChars="150"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198.82</w:t>
            </w:r>
          </w:p>
        </w:tc>
      </w:tr>
      <w:tr w:rsidR="00A2798B">
        <w:trPr>
          <w:jc w:val="center"/>
        </w:trPr>
        <w:tc>
          <w:tcPr>
            <w:tcW w:w="3969" w:type="dxa"/>
          </w:tcPr>
          <w:p w:rsidR="00A2798B" w:rsidRDefault="00EF2C10">
            <w:pPr>
              <w:ind w:firstLineChars="200" w:firstLine="4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Other organs</w:t>
            </w:r>
          </w:p>
        </w:tc>
        <w:tc>
          <w:tcPr>
            <w:tcW w:w="4531" w:type="dxa"/>
          </w:tcPr>
          <w:p w:rsidR="00A2798B" w:rsidRDefault="00EF2C10">
            <w:pPr>
              <w:ind w:firstLine="30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198.81, 198.89, 198.2</w:t>
            </w:r>
          </w:p>
        </w:tc>
      </w:tr>
    </w:tbl>
    <w:p w:rsidR="00A2798B" w:rsidRDefault="00EF2C10">
      <w:pPr>
        <w:rPr>
          <w:rFonts w:ascii="Times New Roman" w:hAnsi="Times New Roman" w:cs="Times New Roman"/>
          <w:sz w:val="18"/>
        </w:rPr>
        <w:sectPr w:rsidR="00A2798B" w:rsidSect="0077193C">
          <w:footerReference w:type="default" r:id="rId7"/>
          <w:pgSz w:w="11906" w:h="16838"/>
          <w:pgMar w:top="1440" w:right="1797" w:bottom="1440" w:left="1797" w:header="851" w:footer="992" w:gutter="0"/>
          <w:cols w:space="0"/>
          <w:docGrid w:type="lines" w:linePitch="324"/>
        </w:sectPr>
      </w:pPr>
      <w:r>
        <w:rPr>
          <w:rFonts w:ascii="Times New Roman" w:hAnsi="Times New Roman" w:cs="Times New Roman"/>
          <w:sz w:val="18"/>
        </w:rPr>
        <w:t>Abbreviation: CCS</w:t>
      </w:r>
      <w:r>
        <w:rPr>
          <w:rFonts w:ascii="Times New Roman" w:hAnsi="Times New Roman" w:cs="Times New Roman" w:hint="eastAsia"/>
          <w:sz w:val="18"/>
        </w:rPr>
        <w:t>,</w:t>
      </w:r>
      <w:r>
        <w:rPr>
          <w:rFonts w:ascii="Times New Roman" w:hAnsi="Times New Roman" w:cs="Times New Roman"/>
          <w:sz w:val="18"/>
        </w:rPr>
        <w:t xml:space="preserve"> Clinical Classifications Software; ICD-9-CM, International Classification of Diseases, Ninth Revision, Clinical Modification;</w:t>
      </w:r>
    </w:p>
    <w:p w:rsidR="00A2798B" w:rsidRDefault="00EF2C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Supplementary Table 2. Basic characteristics between </w:t>
      </w:r>
      <w:proofErr w:type="spellStart"/>
      <w:r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 w:hint="eastAsia"/>
          <w:b/>
        </w:rPr>
        <w:t>G</w:t>
      </w:r>
      <w:r>
        <w:rPr>
          <w:rFonts w:ascii="Times New Roman" w:hAnsi="Times New Roman" w:cs="Times New Roman"/>
          <w:b/>
        </w:rPr>
        <w:t>Ca</w:t>
      </w:r>
      <w:proofErr w:type="spellEnd"/>
      <w:r>
        <w:rPr>
          <w:rFonts w:ascii="Times New Roman" w:hAnsi="Times New Roman" w:cs="Times New Roman"/>
          <w:b/>
        </w:rPr>
        <w:t xml:space="preserve"> patients receiving IMV with and without PC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1"/>
        <w:gridCol w:w="2280"/>
        <w:gridCol w:w="2090"/>
        <w:gridCol w:w="1075"/>
      </w:tblGrid>
      <w:tr w:rsidR="00A2798B">
        <w:trPr>
          <w:trHeight w:val="247"/>
        </w:trPr>
        <w:tc>
          <w:tcPr>
            <w:tcW w:w="172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Variables</w:t>
            </w:r>
          </w:p>
        </w:tc>
        <w:tc>
          <w:tcPr>
            <w:tcW w:w="1372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No PC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(N=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3166</w:t>
            </w: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, %)</w:t>
            </w:r>
          </w:p>
        </w:tc>
        <w:tc>
          <w:tcPr>
            <w:tcW w:w="1257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PC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(N=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475</w:t>
            </w: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, %)</w:t>
            </w:r>
          </w:p>
        </w:tc>
        <w:tc>
          <w:tcPr>
            <w:tcW w:w="647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i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-value</w:t>
            </w:r>
          </w:p>
        </w:tc>
      </w:tr>
      <w:tr w:rsidR="00A2798B">
        <w:trPr>
          <w:trHeight w:val="255"/>
        </w:trPr>
        <w:tc>
          <w:tcPr>
            <w:tcW w:w="1722" w:type="pct"/>
            <w:tcBorders>
              <w:top w:val="single" w:sz="8" w:space="0" w:color="auto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A</w:t>
            </w: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ge </w:t>
            </w:r>
          </w:p>
        </w:tc>
        <w:tc>
          <w:tcPr>
            <w:tcW w:w="1372" w:type="pct"/>
            <w:tcBorders>
              <w:top w:val="single" w:sz="8" w:space="0" w:color="auto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63.71(12.68)</w:t>
            </w:r>
          </w:p>
        </w:tc>
        <w:tc>
          <w:tcPr>
            <w:tcW w:w="1257" w:type="pct"/>
            <w:tcBorders>
              <w:top w:val="single" w:sz="8" w:space="0" w:color="auto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62.17(13.34)</w:t>
            </w:r>
          </w:p>
        </w:tc>
        <w:tc>
          <w:tcPr>
            <w:tcW w:w="647" w:type="pct"/>
            <w:tcBorders>
              <w:top w:val="single" w:sz="8" w:space="0" w:color="auto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0.0140</w:t>
            </w:r>
          </w:p>
        </w:tc>
      </w:tr>
      <w:tr w:rsidR="00A2798B">
        <w:trPr>
          <w:trHeight w:val="315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Year interval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200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-2009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1687(53.28)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73(15.37)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2010-2014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1479(46.72)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402(84.63)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Race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White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1841(58.15)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266(56.00)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Black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461(14.56)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105(22.11)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Hispanic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281(8.88)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45(9.47)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Other 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241(7.61)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32(6.74)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Unknown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342(10.80)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27(5.68)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Type of insurance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0.1265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Medicare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1593(50.32)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217(45.69)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Medicaid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450(14.21)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84(17.68)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Private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948(29.94)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150(31.58)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Self-pay/other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175(5.53)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24(5.05)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Income quartile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0.9222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0-25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Percentile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789(24.92)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122(25.68)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25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-50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Percentile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744(23.50)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115(24.21)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50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-75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Percentile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775(24.48)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110(23.16)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75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-100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Percentile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858(27.10)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128(26.95)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Hospital </w:t>
            </w:r>
            <w:proofErr w:type="spellStart"/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bedsize</w:t>
            </w:r>
            <w:proofErr w:type="spellEnd"/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0.2433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Small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276(8.71)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31(6.52)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Medium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678(21.42)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109(22.95)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Large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2212(69.87)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335(70.53)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Hospital type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0.0039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Rural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118(3.73)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22(4.63)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Urban non-teaching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1060(33.48)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123(25.89)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Urban teaching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1988(62.79)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330(69.47)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rPr>
          <w:trHeight w:val="192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Hospital region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0.2727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Northeast 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724(22.87)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97(20.42)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rPr>
          <w:trHeight w:val="90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Midwest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572(18.07)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102(21.47)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South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1061(33.51)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160(33.69)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West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809(25.55)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116(24.42)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Elixhauser</w:t>
            </w:r>
            <w:proofErr w:type="spellEnd"/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 comorbidity score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3.06(1.84)</w:t>
            </w: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3.38(1.80)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0.0004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Primary diagnosis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Cancer-related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1775(56.06)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172(36.21)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Infections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453(14.31)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119(25.05)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Genitourinary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60(1.90)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12(2.53)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Cardiovascular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172(5.43)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40(8.42)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Pulmonary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355(11.21)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61(12.84)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rPr>
          <w:trHeight w:val="90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Gastrointestinal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179(5.65)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31(6.53)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 xml:space="preserve">   Fractures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Fluid/Electrolyte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11(0.35)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Neurologic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31(0.98)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3(0.63)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Complications of surgery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64(2.02)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15(3.16)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  Other disorders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61(1.93)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13(2.74)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Cancer type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00" w:firstLine="2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Ovarian cancer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2079(65.67)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241(50.74)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00" w:firstLine="2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Uterine cancer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725(22.90)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162(34.11)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00" w:firstLine="2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 xml:space="preserve"> Cervical cancer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362(11.43)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72(15.15)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Metastatic sites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Bone &amp; bone marrow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205(6.48)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51(10.74)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0.0007</w:t>
            </w:r>
          </w:p>
        </w:tc>
      </w:tr>
      <w:tr w:rsidR="00A2798B">
        <w:trPr>
          <w:trHeight w:val="316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Brain &amp; spinal cord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153(4.83)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31(6.53)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0.1161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Lymph nodes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502(15.86)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62(13.05)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0.1153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Liver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602(19.01)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117(24.63)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0.0041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Respiratory organs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972(30.70)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166(34.95)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0.0626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Adrenal glands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24(0.76)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0.5006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Gastrointestinal organs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1808(57.11)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241(50.74)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0.0091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Urinary organs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187(5.91)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22(4.63)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0.2653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  <w:t>Genital organs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377(11.91)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24(5.05)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Cs/>
                <w:kern w:val="0"/>
                <w:sz w:val="20"/>
                <w:szCs w:val="20"/>
              </w:rPr>
              <w:t>Other organs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608(19.20)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77(16.21)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0.1195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Number of metastatic sites (≥2)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1441(45.51)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217(45.68)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0.9449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Type of CCT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PEG tube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71(2.24)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13(2.74)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0.5034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TPN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476(15.03)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60(12.63)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0.1681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Tracheostomy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185(5.84)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23(4.84)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0.3806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AKI requiring dialysis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154(4.86)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28(5.89)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0.3365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Do Not Resuscitate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186(5.87)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201(42.32)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rPr>
          <w:trHeight w:val="229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>Chemotherapy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220(6.95)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30(6.32)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0.6109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In-hospital mortality</w:t>
            </w:r>
          </w:p>
        </w:tc>
        <w:tc>
          <w:tcPr>
            <w:tcW w:w="137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1325(41.85)</w:t>
            </w:r>
          </w:p>
        </w:tc>
        <w:tc>
          <w:tcPr>
            <w:tcW w:w="1257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333(70.11)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  <w:t>Discharge disposition (alive)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rPr>
          <w:trHeight w:val="90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Home or home healthcare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992(53.89)</w:t>
            </w: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45(31.69)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&lt;0.0001</w:t>
            </w:r>
          </w:p>
        </w:tc>
      </w:tr>
      <w:tr w:rsidR="00A2798B">
        <w:trPr>
          <w:trHeight w:val="295"/>
        </w:trPr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Short term hospital</w:t>
            </w: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s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96(5.21)</w:t>
            </w: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nil"/>
            </w:tcBorders>
          </w:tcPr>
          <w:p w:rsidR="00A2798B" w:rsidRDefault="00EF2C10">
            <w:pPr>
              <w:widowControl/>
              <w:autoSpaceDE w:val="0"/>
              <w:autoSpaceDN w:val="0"/>
              <w:ind w:firstLineChars="150" w:firstLine="30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Intermediate facilities</w:t>
            </w:r>
          </w:p>
        </w:tc>
        <w:tc>
          <w:tcPr>
            <w:tcW w:w="1372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744(40.41)</w:t>
            </w:r>
          </w:p>
        </w:tc>
        <w:tc>
          <w:tcPr>
            <w:tcW w:w="1257" w:type="pct"/>
            <w:tcBorders>
              <w:top w:val="nil"/>
              <w:bottom w:val="nil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0"/>
                <w:szCs w:val="20"/>
              </w:rPr>
              <w:t>86(60.56)</w:t>
            </w:r>
          </w:p>
        </w:tc>
        <w:tc>
          <w:tcPr>
            <w:tcW w:w="647" w:type="pct"/>
            <w:tcBorders>
              <w:top w:val="nil"/>
              <w:bottom w:val="nil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A2798B">
        <w:tc>
          <w:tcPr>
            <w:tcW w:w="1722" w:type="pct"/>
            <w:tcBorders>
              <w:top w:val="nil"/>
              <w:bottom w:val="single" w:sz="12" w:space="0" w:color="auto"/>
            </w:tcBorders>
          </w:tcPr>
          <w:p w:rsidR="00A2798B" w:rsidRDefault="00EF2C10">
            <w:pPr>
              <w:widowControl/>
              <w:autoSpaceDE w:val="0"/>
              <w:autoSpaceDN w:val="0"/>
              <w:jc w:val="left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eastAsia="宋体" w:hAnsi="Times New Roman" w:cs="Times New Roman" w:hint="eastAsia"/>
                <w:bCs/>
                <w:kern w:val="0"/>
                <w:sz w:val="20"/>
                <w:szCs w:val="20"/>
              </w:rPr>
              <w:t>Other</w:t>
            </w:r>
          </w:p>
        </w:tc>
        <w:tc>
          <w:tcPr>
            <w:tcW w:w="1372" w:type="pct"/>
            <w:tcBorders>
              <w:top w:val="nil"/>
              <w:bottom w:val="single" w:sz="12" w:space="0" w:color="auto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1257" w:type="pct"/>
            <w:tcBorders>
              <w:top w:val="nil"/>
              <w:bottom w:val="single" w:sz="12" w:space="0" w:color="auto"/>
            </w:tcBorders>
            <w:vAlign w:val="center"/>
          </w:tcPr>
          <w:p w:rsidR="00A2798B" w:rsidRDefault="00EF2C10">
            <w:pPr>
              <w:widowControl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*</w:t>
            </w:r>
          </w:p>
        </w:tc>
        <w:tc>
          <w:tcPr>
            <w:tcW w:w="647" w:type="pct"/>
            <w:tcBorders>
              <w:top w:val="nil"/>
              <w:bottom w:val="single" w:sz="12" w:space="0" w:color="auto"/>
            </w:tcBorders>
            <w:vAlign w:val="center"/>
          </w:tcPr>
          <w:p w:rsidR="00A2798B" w:rsidRDefault="00A2798B">
            <w:pPr>
              <w:widowControl/>
              <w:autoSpaceDE w:val="0"/>
              <w:autoSpaceDN w:val="0"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A2798B" w:rsidRDefault="00EF2C10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Abbreviation: CCT, critical care therapies; </w:t>
      </w:r>
      <w:proofErr w:type="spellStart"/>
      <w:r>
        <w:rPr>
          <w:rFonts w:ascii="Times New Roman" w:hAnsi="Times New Roman" w:cs="Times New Roman" w:hint="eastAsia"/>
          <w:sz w:val="18"/>
        </w:rPr>
        <w:t>mGCa</w:t>
      </w:r>
      <w:proofErr w:type="spellEnd"/>
      <w:r>
        <w:rPr>
          <w:rFonts w:ascii="Times New Roman" w:hAnsi="Times New Roman" w:cs="Times New Roman"/>
          <w:sz w:val="18"/>
        </w:rPr>
        <w:t xml:space="preserve">, metastatic </w:t>
      </w:r>
      <w:r>
        <w:rPr>
          <w:rFonts w:ascii="Times New Roman" w:hAnsi="Times New Roman" w:cs="Times New Roman" w:hint="eastAsia"/>
          <w:sz w:val="18"/>
        </w:rPr>
        <w:t>gynecologic</w:t>
      </w:r>
      <w:r>
        <w:rPr>
          <w:rFonts w:ascii="Times New Roman" w:hAnsi="Times New Roman" w:cs="Times New Roman"/>
          <w:sz w:val="18"/>
        </w:rPr>
        <w:t xml:space="preserve"> cancer; PC, palliative care; SD, standard deviation; IMV, invasive mechanic ventilation; PEG, percutaneous endoscopic gastrostomy; TPN, total parenteral nutrition; AKF, acute kidney failure; </w:t>
      </w:r>
    </w:p>
    <w:p w:rsidR="00A2798B" w:rsidRDefault="00EF2C10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* Small numbers of observations (&lt;10) are at risk of identification of persons according to the HUCP and we replaced the number with an asterisk.</w:t>
      </w:r>
    </w:p>
    <w:p w:rsidR="00A2798B" w:rsidRDefault="00A2798B">
      <w:pPr>
        <w:rPr>
          <w:rFonts w:ascii="Times New Roman" w:hAnsi="Times New Roman" w:cs="Times New Roman"/>
          <w:sz w:val="18"/>
        </w:rPr>
      </w:pPr>
    </w:p>
    <w:p w:rsidR="00B641E6" w:rsidRDefault="00B641E6">
      <w:pPr>
        <w:rPr>
          <w:rFonts w:ascii="Times New Roman" w:hAnsi="Times New Roman" w:cs="Times New Roman"/>
          <w:sz w:val="18"/>
        </w:rPr>
      </w:pPr>
    </w:p>
    <w:p w:rsidR="00B641E6" w:rsidRDefault="00B641E6">
      <w:pPr>
        <w:rPr>
          <w:rFonts w:ascii="Times New Roman" w:hAnsi="Times New Roman" w:cs="Times New Roman"/>
          <w:sz w:val="18"/>
        </w:rPr>
      </w:pPr>
    </w:p>
    <w:p w:rsidR="00B641E6" w:rsidRDefault="00B641E6">
      <w:pPr>
        <w:rPr>
          <w:rFonts w:ascii="Times New Roman" w:hAnsi="Times New Roman" w:cs="Times New Roman"/>
          <w:sz w:val="18"/>
        </w:rPr>
      </w:pPr>
    </w:p>
    <w:p w:rsidR="00B641E6" w:rsidRDefault="00B641E6">
      <w:pPr>
        <w:rPr>
          <w:rFonts w:ascii="Times New Roman" w:hAnsi="Times New Roman" w:cs="Times New Roman"/>
          <w:noProof/>
          <w:sz w:val="18"/>
        </w:rPr>
      </w:pPr>
    </w:p>
    <w:p w:rsidR="00731A63" w:rsidRDefault="00731A63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5274310" cy="38703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0B" w:rsidRDefault="00072E0B" w:rsidP="00072E0B">
      <w:pPr>
        <w:spacing w:line="480" w:lineRule="auto"/>
        <w:rPr>
          <w:rFonts w:ascii="Times New Roman" w:hAnsi="Times New Roman" w:cs="Times New Roman"/>
          <w:sz w:val="24"/>
        </w:rPr>
      </w:pPr>
      <w:r w:rsidRPr="001011DF">
        <w:rPr>
          <w:rFonts w:ascii="Times New Roman" w:hAnsi="Times New Roman" w:cs="Times New Roman"/>
          <w:sz w:val="24"/>
        </w:rPr>
        <w:t>Supplementary Figure 1</w:t>
      </w:r>
      <w:r>
        <w:rPr>
          <w:rFonts w:ascii="Times New Roman" w:hAnsi="Times New Roman" w:cs="Times New Roman"/>
          <w:sz w:val="24"/>
        </w:rPr>
        <w:t>. Inpatient palliative care referral over time, stratified by discharge destination.</w:t>
      </w:r>
    </w:p>
    <w:p w:rsidR="00A2798B" w:rsidRDefault="00A2798B"/>
    <w:p w:rsidR="00A2798B" w:rsidRDefault="00A2798B">
      <w:pPr>
        <w:rPr>
          <w:rFonts w:ascii="Times New Roman" w:hAnsi="Times New Roman" w:cs="Times New Roman"/>
          <w:sz w:val="24"/>
          <w:szCs w:val="24"/>
        </w:rPr>
      </w:pPr>
    </w:p>
    <w:sectPr w:rsidR="00A279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609" w:rsidRDefault="00104609">
      <w:r>
        <w:separator/>
      </w:r>
    </w:p>
  </w:endnote>
  <w:endnote w:type="continuationSeparator" w:id="0">
    <w:p w:rsidR="00104609" w:rsidRDefault="0010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9879026"/>
    </w:sdtPr>
    <w:sdtEndPr/>
    <w:sdtContent>
      <w:p w:rsidR="00A2798B" w:rsidRDefault="00EF2C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93C" w:rsidRPr="0077193C">
          <w:rPr>
            <w:noProof/>
            <w:lang w:val="zh-CN"/>
          </w:rPr>
          <w:t>4</w:t>
        </w:r>
        <w:r>
          <w:fldChar w:fldCharType="end"/>
        </w:r>
      </w:p>
    </w:sdtContent>
  </w:sdt>
  <w:p w:rsidR="00A2798B" w:rsidRDefault="00A2798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609" w:rsidRDefault="00104609">
      <w:r>
        <w:separator/>
      </w:r>
    </w:p>
  </w:footnote>
  <w:footnote w:type="continuationSeparator" w:id="0">
    <w:p w:rsidR="00104609" w:rsidRDefault="001046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HorizontalSpacing w:val="105"/>
  <w:drawingGridVerticalSpacing w:val="162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506E"/>
    <w:rsid w:val="00056793"/>
    <w:rsid w:val="00072E0B"/>
    <w:rsid w:val="00102B84"/>
    <w:rsid w:val="00104609"/>
    <w:rsid w:val="00151721"/>
    <w:rsid w:val="00172A27"/>
    <w:rsid w:val="001D3A60"/>
    <w:rsid w:val="001E6324"/>
    <w:rsid w:val="002F3115"/>
    <w:rsid w:val="00370891"/>
    <w:rsid w:val="004338D5"/>
    <w:rsid w:val="004E7F51"/>
    <w:rsid w:val="0051085C"/>
    <w:rsid w:val="005A5858"/>
    <w:rsid w:val="00731A63"/>
    <w:rsid w:val="0077193C"/>
    <w:rsid w:val="007C1974"/>
    <w:rsid w:val="007E2F76"/>
    <w:rsid w:val="00990786"/>
    <w:rsid w:val="00A2798B"/>
    <w:rsid w:val="00A87A0A"/>
    <w:rsid w:val="00AD0974"/>
    <w:rsid w:val="00AD76DD"/>
    <w:rsid w:val="00B4417C"/>
    <w:rsid w:val="00B641E6"/>
    <w:rsid w:val="00B651D7"/>
    <w:rsid w:val="00BF7220"/>
    <w:rsid w:val="00C4662D"/>
    <w:rsid w:val="00EF2C10"/>
    <w:rsid w:val="00F93B05"/>
    <w:rsid w:val="0271589A"/>
    <w:rsid w:val="03535334"/>
    <w:rsid w:val="03795884"/>
    <w:rsid w:val="03E92ECA"/>
    <w:rsid w:val="0DAF369A"/>
    <w:rsid w:val="14B734C0"/>
    <w:rsid w:val="15273705"/>
    <w:rsid w:val="17644C2C"/>
    <w:rsid w:val="17AC02EB"/>
    <w:rsid w:val="17B27202"/>
    <w:rsid w:val="1941466A"/>
    <w:rsid w:val="214500DC"/>
    <w:rsid w:val="27F13DB1"/>
    <w:rsid w:val="2C122C6D"/>
    <w:rsid w:val="2E114AFB"/>
    <w:rsid w:val="31CC4FC0"/>
    <w:rsid w:val="375D4DFA"/>
    <w:rsid w:val="38392C84"/>
    <w:rsid w:val="38397128"/>
    <w:rsid w:val="3B583D69"/>
    <w:rsid w:val="3E134CA4"/>
    <w:rsid w:val="43982048"/>
    <w:rsid w:val="48A91604"/>
    <w:rsid w:val="4B481F4B"/>
    <w:rsid w:val="4B936A8A"/>
    <w:rsid w:val="4E5111F0"/>
    <w:rsid w:val="4F0F14A5"/>
    <w:rsid w:val="4FA2515B"/>
    <w:rsid w:val="50AC6291"/>
    <w:rsid w:val="51366C95"/>
    <w:rsid w:val="555F4F9F"/>
    <w:rsid w:val="64EE2781"/>
    <w:rsid w:val="683B7D96"/>
    <w:rsid w:val="6BE24E05"/>
    <w:rsid w:val="6C4F27D7"/>
    <w:rsid w:val="719B7F30"/>
    <w:rsid w:val="76D8093F"/>
    <w:rsid w:val="79465988"/>
    <w:rsid w:val="7EB02B41"/>
    <w:rsid w:val="7EC8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F8FB80-9617-4917-BC8C-87518380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/>
      <w:tabs>
        <w:tab w:val="center" w:pos="4153"/>
        <w:tab w:val="right" w:pos="8306"/>
      </w:tabs>
      <w:autoSpaceDE w:val="0"/>
      <w:autoSpaceDN w:val="0"/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unhideWhenUsed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line number"/>
    <w:basedOn w:val="a0"/>
    <w:uiPriority w:val="99"/>
    <w:semiHidden/>
    <w:unhideWhenUsed/>
    <w:qFormat/>
  </w:style>
  <w:style w:type="character" w:styleId="aa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689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hanhedong</dc:creator>
  <cp:lastModifiedBy>hanhedong</cp:lastModifiedBy>
  <cp:revision>33</cp:revision>
  <dcterms:created xsi:type="dcterms:W3CDTF">2020-06-06T16:08:00Z</dcterms:created>
  <dcterms:modified xsi:type="dcterms:W3CDTF">2023-10-05T10:37:00Z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8694B68E367F4535BA6E3F4392A99440</vt:lpwstr>
  </property>
</Properties>
</file>