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b w:val="0"/>
        </w:rPr>
      </w:pPr>
      <w:r>
        <w:t>Supplementary Material</w:t>
      </w:r>
    </w:p>
    <w:p>
      <w:pPr>
        <w:spacing w:before="240" w:line="360" w:lineRule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The mushroom body development and learning ability of adult</w:t>
      </w:r>
      <w:r>
        <w:rPr>
          <w:rFonts w:hint="eastAsia" w:cs="Times New Roman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honeybees </w:t>
      </w:r>
      <w:r>
        <w:rPr>
          <w:rFonts w:hint="eastAsia" w:cs="Times New Roman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are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influenced by </w:t>
      </w:r>
      <w:r>
        <w:rPr>
          <w:rFonts w:hint="eastAsia" w:cs="Times New Roman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old</w:t>
      </w:r>
      <w:r>
        <w:rPr>
          <w:rFonts w:hint="eastAsia" w:cs="Times New Roman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exposure during the</w:t>
      </w:r>
      <w:r>
        <w:rPr>
          <w:rFonts w:hint="eastAsia" w:cs="Times New Roman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ir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early pupal stage</w:t>
      </w:r>
    </w:p>
    <w:p>
      <w:pPr>
        <w:spacing w:before="240" w:line="360" w:lineRule="auto"/>
        <w:rPr>
          <w:rFonts w:hint="eastAsia" w:cs="Times New Roman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Chenyu Zhu</w:t>
      </w:r>
      <w:r>
        <w:rPr>
          <w:rFonts w:hint="eastAsia" w:cs="Times New Roman"/>
          <w:b/>
          <w:color w:val="000000" w:themeColor="text1"/>
          <w:szCs w:val="24"/>
          <w:highlight w:val="none"/>
          <w:vertAlign w:val="superscript"/>
          <w14:textFill>
            <w14:solidFill>
              <w14:schemeClr w14:val="tx1"/>
            </w14:solidFill>
          </w14:textFill>
        </w:rPr>
        <w:t>1†</w:t>
      </w: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b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Han Li</w:t>
      </w:r>
      <w:r>
        <w:rPr>
          <w:rFonts w:hint="eastAsia" w:cs="Times New Roman"/>
          <w:b/>
          <w:color w:val="000000" w:themeColor="text1"/>
          <w:szCs w:val="24"/>
          <w:highlight w:val="none"/>
          <w:vertAlign w:val="superscript"/>
          <w14:textFill>
            <w14:solidFill>
              <w14:schemeClr w14:val="tx1"/>
            </w14:solidFill>
          </w14:textFill>
        </w:rPr>
        <w:t>1†</w:t>
      </w: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b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Xin</w:t>
      </w: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j</w:t>
      </w:r>
      <w:r>
        <w:rPr>
          <w:rFonts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ian Xu</w:t>
      </w:r>
      <w:r>
        <w:rPr>
          <w:rFonts w:cs="Times New Roman"/>
          <w:b/>
          <w:color w:val="000000" w:themeColor="text1"/>
          <w:szCs w:val="24"/>
          <w:highlight w:val="none"/>
          <w:vertAlign w:val="superscript"/>
          <w14:textFill>
            <w14:solidFill>
              <w14:schemeClr w14:val="tx1"/>
            </w14:solidFill>
          </w14:textFill>
        </w:rPr>
        <w:t>1,2</w:t>
      </w: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Shu</w:t>
      </w: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j</w:t>
      </w:r>
      <w:r>
        <w:rPr>
          <w:rFonts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ing Z</w:t>
      </w: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hou</w:t>
      </w:r>
      <w:r>
        <w:rPr>
          <w:rFonts w:cs="Times New Roman"/>
          <w:b/>
          <w:color w:val="000000" w:themeColor="text1"/>
          <w:szCs w:val="24"/>
          <w:highlight w:val="none"/>
          <w:vertAlign w:val="superscript"/>
          <w14:textFill>
            <w14:solidFill>
              <w14:schemeClr w14:val="tx1"/>
            </w14:solidFill>
          </w14:textFill>
        </w:rPr>
        <w:t>1,2</w:t>
      </w:r>
      <w:r>
        <w:rPr>
          <w:rFonts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, Bing</w:t>
      </w: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f</w:t>
      </w:r>
      <w:r>
        <w:rPr>
          <w:rFonts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eng Zhou</w:t>
      </w:r>
      <w:r>
        <w:rPr>
          <w:rFonts w:cs="Times New Roman"/>
          <w:b/>
          <w:color w:val="000000" w:themeColor="text1"/>
          <w:szCs w:val="24"/>
          <w:highlight w:val="none"/>
          <w:vertAlign w:val="superscript"/>
          <w14:textFill>
            <w14:solidFill>
              <w14:schemeClr w14:val="tx1"/>
            </w14:solidFill>
          </w14:textFill>
        </w:rPr>
        <w:t>1,2</w:t>
      </w: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,</w:t>
      </w:r>
      <w:r>
        <w:rPr>
          <w:rFonts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b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Xiang Li</w:t>
      </w:r>
      <w:r>
        <w:rPr>
          <w:rFonts w:hint="eastAsia" w:cs="Times New Roman"/>
          <w:b/>
          <w:color w:val="000000" w:themeColor="text1"/>
          <w:szCs w:val="24"/>
          <w:highlight w:val="none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b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Hongzhi Xu</w:t>
      </w:r>
      <w:r>
        <w:rPr>
          <w:rFonts w:hint="eastAsia" w:cs="Times New Roman"/>
          <w:b/>
          <w:color w:val="000000" w:themeColor="text1"/>
          <w:szCs w:val="24"/>
          <w:highlight w:val="none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b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Yuanmingyue Tian</w:t>
      </w:r>
      <w:r>
        <w:rPr>
          <w:rFonts w:hint="eastAsia" w:cs="Times New Roman"/>
          <w:b/>
          <w:color w:val="000000" w:themeColor="text1"/>
          <w:szCs w:val="21"/>
          <w:highlight w:val="none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b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, Yanxin Wang</w:t>
      </w:r>
      <w:r>
        <w:rPr>
          <w:rFonts w:hint="eastAsia" w:cs="Times New Roman"/>
          <w:b/>
          <w:color w:val="000000" w:themeColor="text1"/>
          <w:szCs w:val="21"/>
          <w:highlight w:val="none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b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, Yu Chu</w:t>
      </w:r>
      <w:r>
        <w:rPr>
          <w:rFonts w:hint="eastAsia" w:cs="Times New Roman"/>
          <w:b/>
          <w:color w:val="000000" w:themeColor="text1"/>
          <w:szCs w:val="21"/>
          <w:highlight w:val="none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b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Times New Roman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Xianlan Zhang</w:t>
      </w:r>
      <w:r>
        <w:rPr>
          <w:rFonts w:hint="eastAsia" w:cs="Times New Roman"/>
          <w:b/>
          <w:color w:val="000000" w:themeColor="text1"/>
          <w:szCs w:val="21"/>
          <w:highlight w:val="none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Xiang</w:t>
      </w: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j</w:t>
      </w:r>
      <w:r>
        <w:rPr>
          <w:rFonts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ie Z</w:t>
      </w:r>
      <w:r>
        <w:rPr>
          <w:rFonts w:hint="eastAsia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hu</w:t>
      </w:r>
      <w:r>
        <w:rPr>
          <w:rFonts w:hint="eastAsia" w:cs="Times New Roman"/>
          <w:b/>
          <w:color w:val="000000" w:themeColor="text1"/>
          <w:szCs w:val="24"/>
          <w:highlight w:val="none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b/>
          <w:color w:val="000000" w:themeColor="text1"/>
          <w:szCs w:val="24"/>
          <w:highlight w:val="none"/>
          <w:vertAlign w:val="superscript"/>
          <w14:textFill>
            <w14:solidFill>
              <w14:schemeClr w14:val="tx1"/>
            </w14:solidFill>
          </w14:textFill>
        </w:rPr>
        <w:t>,2*</w:t>
      </w:r>
    </w:p>
    <w:p>
      <w:pPr>
        <w:spacing w:beforeLines="50"/>
        <w:rPr>
          <w:rFonts w:cs="Times New Roman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1 College of Animal Science (College of Bee Science), Fujian Agriculture and Forestry University, Fuzhou, China</w:t>
      </w:r>
    </w:p>
    <w:p>
      <w:pPr>
        <w:spacing w:beforeLines="50"/>
        <w:rPr>
          <w:rFonts w:cs="Times New Roman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2 Honeybee Research Institute, Fujian Agriculture and Forestry University, Fuzhou, China</w:t>
      </w:r>
    </w:p>
    <w:p>
      <w:pPr>
        <w:spacing w:beforeLines="50"/>
        <w:rPr>
          <w:rFonts w:cs="Times New Roman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0"/>
          <w:szCs w:val="20"/>
          <w:highlight w:val="none"/>
          <w:vertAlign w:val="superscript"/>
          <w14:textFill>
            <w14:solidFill>
              <w14:schemeClr w14:val="tx1"/>
            </w14:solidFill>
          </w14:textFill>
        </w:rPr>
        <w:t>†</w:t>
      </w:r>
      <w:r>
        <w:rPr>
          <w:rFonts w:cs="Times New Roman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These two authors contributed equally to this study.</w:t>
      </w:r>
    </w:p>
    <w:p>
      <w:pPr>
        <w:spacing w:before="240" w:after="0"/>
        <w:rPr>
          <w:rFonts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 xml:space="preserve">* Correspondence: </w:t>
      </w:r>
    </w:p>
    <w:p>
      <w:pPr>
        <w:spacing w:before="240" w:after="0"/>
        <w:rPr>
          <w:rFonts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 xml:space="preserve">Xiangjie Zhu, </w:t>
      </w:r>
      <w:r>
        <w:rPr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"mailto:xiangjie_zhu@126.com" </w:instrText>
      </w:r>
      <w:r>
        <w:rPr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cs="Times New Roman"/>
          <w:color w:val="000000" w:themeColor="text1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xiangjie_zhu@126.com</w:t>
      </w:r>
      <w:r>
        <w:rPr>
          <w:rStyle w:val="8"/>
          <w:rFonts w:cs="Times New Roman"/>
          <w:color w:val="000000" w:themeColor="text1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bCs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jc w:val="both"/>
        <w:rPr>
          <w:rFonts w:ascii="Times New Roman" w:hAnsi="Times New Roman" w:eastAsia="宋体" w:cs="Times New Roman"/>
          <w:bCs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  <w:t xml:space="preserve">Table </w:t>
      </w:r>
      <w:r>
        <w:rPr>
          <w:rFonts w:hint="eastAsia" w:eastAsia="宋体" w:cs="Times New Roman"/>
          <w:bCs/>
          <w:color w:val="000000" w:themeColor="text1"/>
          <w:kern w:val="4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S1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  <w:t xml:space="preserve"> T</w:t>
      </w:r>
      <w:r>
        <w:rPr>
          <w:rFonts w:ascii="Times New Roman" w:hAnsi="Times New Roman" w:eastAsia="宋体" w:cs="Times New Roman"/>
          <w:bCs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  <w:t>he statistics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  <w:t xml:space="preserve"> of the transcriptome data of the head of early pupae worker bees exposed to low temperature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911"/>
        <w:gridCol w:w="1911"/>
        <w:gridCol w:w="1912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1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Sample code</w:t>
            </w:r>
          </w:p>
        </w:tc>
        <w:tc>
          <w:tcPr>
            <w:tcW w:w="191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Raw reads</w:t>
            </w:r>
          </w:p>
        </w:tc>
        <w:tc>
          <w:tcPr>
            <w:tcW w:w="191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Clean reads</w:t>
            </w:r>
          </w:p>
        </w:tc>
        <w:tc>
          <w:tcPr>
            <w:tcW w:w="1912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Q20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912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Q30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Control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43816038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43691714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97.48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Control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41521488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41392148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97.42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Control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45446176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45290538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97.65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93.61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T24-1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59242490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59054752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97.51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T24-2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44436722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44281834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97.42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T24-3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36143500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36017996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97.64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T48-1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42795954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43633244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97.56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T48-2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38622776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38543152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97.76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1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T48-3</w:t>
            </w:r>
          </w:p>
        </w:tc>
        <w:tc>
          <w:tcPr>
            <w:tcW w:w="191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43782086</w:t>
            </w:r>
          </w:p>
        </w:tc>
        <w:tc>
          <w:tcPr>
            <w:tcW w:w="191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43637842</w:t>
            </w:r>
          </w:p>
        </w:tc>
        <w:tc>
          <w:tcPr>
            <w:tcW w:w="191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97.62</w:t>
            </w:r>
          </w:p>
        </w:tc>
        <w:tc>
          <w:tcPr>
            <w:tcW w:w="191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4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93.41</w:t>
            </w:r>
          </w:p>
        </w:tc>
      </w:tr>
    </w:tbl>
    <w:p>
      <w:pPr>
        <w:spacing w:line="360" w:lineRule="auto"/>
        <w:rPr>
          <w:rFonts w:cs="Times New Roman"/>
          <w:color w:val="000000" w:themeColor="text1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4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T:Treatment group, the number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4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indicates the duration of the processing.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44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Q20 indicates the number of bases whose sequencing base quality value reaches above Q20 level and its percentage in RawData. The Q20 base sequencing error rate is 1% the Q30 base sequencing error rate is 0.1%.</w:t>
      </w:r>
    </w:p>
    <w:p>
      <w:pPr>
        <w:jc w:val="center"/>
      </w:pPr>
      <w:r>
        <w:rPr>
          <w:b/>
          <w:lang w:eastAsia="zh-CN"/>
        </w:rPr>
        <w:drawing>
          <wp:inline distT="0" distB="0" distL="0" distR="0">
            <wp:extent cx="4050665" cy="1456055"/>
            <wp:effectExtent l="0" t="0" r="6985" b="10795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6" w:type="default"/>
      <w:footerReference r:id="rId7" w:type="even"/>
      <w:pgSz w:w="12240" w:h="15840"/>
      <w:pgMar w:top="1138" w:right="1181" w:bottom="1138" w:left="1282" w:header="283" w:footer="510" w:gutter="0"/>
      <w:lnNumType w:countBy="1" w:restart="continuous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sz w:val="20"/>
        <w:szCs w:val="24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3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9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35.1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xXRCLSAAAABAEAAA8AAAAAAAAAAQAgAAAAIgAAAGRycy9kb3ducmV2LnhtbFBLAQIU&#10;ABQAAAAIAIdO4kDxHWa3MgIAAHQEAAAOAAAAAAAAAAEAIAAAACEBAABkcnMvZTJvRG9jLnhtbFBL&#10;BQYAAAAABgAGAFkBAADF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9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color w:val="C00000"/>
        <w:szCs w:val="24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8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xXRCLSAAAABAEAAA8AAAAAAAAAAQAgAAAAIgAAAGRycy9kb3ducmV2LnhtbFBLAQIU&#10;ABQAAAAIAIdO4kBpk168MgIAAHMEAAAOAAAAAAAAAAEAIAAAACEBAABkcnMvZTJvRG9jLnhtbFBL&#10;BQYAAAAABgAGAFkBAADF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8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color w:val="A6A6A6" w:themeColor="background1" w:themeShade="A6"/>
        <w:lang w:eastAsia="zh-CN"/>
      </w:rPr>
      <w:drawing>
        <wp:inline distT="0" distB="0" distL="0" distR="0">
          <wp:extent cx="1382395" cy="496570"/>
          <wp:effectExtent l="0" t="0" r="8255" b="17780"/>
          <wp:docPr id="2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Nzc0Mzk2ZjU1MTA3OGM0ODBhYzNiMzBjOWMxMTYifQ=="/>
  </w:docVars>
  <w:rsids>
    <w:rsidRoot w:val="7EA74DC6"/>
    <w:rsid w:val="20707F80"/>
    <w:rsid w:val="7EA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3">
    <w:name w:val="header"/>
    <w:basedOn w:val="1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4">
    <w:name w:val="Title"/>
    <w:basedOn w:val="1"/>
    <w:next w:val="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Supplementary Material"/>
    <w:basedOn w:val="4"/>
    <w:next w:val="4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1220</Characters>
  <Lines>0</Lines>
  <Paragraphs>0</Paragraphs>
  <TotalTime>0</TotalTime>
  <ScaleCrop>false</ScaleCrop>
  <LinksUpToDate>false</LinksUpToDate>
  <CharactersWithSpaces>1368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2023-03-14T01:37:00Z</dcterms:created>
  <dc:creator>飞翔</dc:creator>
  <cp:lastModifiedBy>飞翔</cp:lastModifiedBy>
  <dcterms:modified xsi:type="dcterms:W3CDTF">2023-03-16T11:34:28Z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6D3E2B80161947A58EA80651FFA1676D</vt:lpwstr>
  </property>
</Properties>
</file>