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C7B10" w14:textId="7DBD686B" w:rsidR="00000000" w:rsidRPr="006F74C9" w:rsidRDefault="00D90085" w:rsidP="00D90085">
      <w:pPr>
        <w:jc w:val="center"/>
        <w:rPr>
          <w:rFonts w:ascii="Times New Roman" w:hAnsi="Times New Roman" w:cs="Times New Roman"/>
          <w:sz w:val="24"/>
          <w:szCs w:val="24"/>
        </w:rPr>
      </w:pPr>
      <w:r w:rsidRPr="006F74C9">
        <w:rPr>
          <w:rFonts w:ascii="Times New Roman" w:hAnsi="Times New Roman" w:cs="Times New Roman"/>
          <w:sz w:val="24"/>
          <w:szCs w:val="24"/>
        </w:rPr>
        <w:t>Supplementary materials</w:t>
      </w:r>
    </w:p>
    <w:p w14:paraId="556C69D8" w14:textId="4451BC40" w:rsidR="000C4A0F" w:rsidRPr="00BF3E35" w:rsidRDefault="000C4A0F" w:rsidP="006F74C9">
      <w:pPr>
        <w:pStyle w:val="Caption"/>
        <w:keepNext/>
        <w:ind w:right="855"/>
        <w:rPr>
          <w:rFonts w:ascii="Times New Roman" w:hAnsi="Times New Roman" w:cs="Times New Roman"/>
          <w:i w:val="0"/>
          <w:iCs w:val="0"/>
          <w:color w:val="auto"/>
          <w:sz w:val="22"/>
          <w:szCs w:val="22"/>
        </w:rPr>
      </w:pPr>
      <w:r w:rsidRPr="00BF3E35">
        <w:rPr>
          <w:rFonts w:ascii="Times New Roman" w:hAnsi="Times New Roman" w:cs="Times New Roman"/>
          <w:i w:val="0"/>
          <w:iCs w:val="0"/>
          <w:color w:val="auto"/>
          <w:sz w:val="22"/>
          <w:szCs w:val="22"/>
        </w:rPr>
        <w:t>Table S</w:t>
      </w:r>
      <w:r w:rsidR="006106A1" w:rsidRPr="00BF3E35">
        <w:rPr>
          <w:rFonts w:ascii="Times New Roman" w:hAnsi="Times New Roman" w:cs="Times New Roman"/>
          <w:i w:val="0"/>
          <w:iCs w:val="0"/>
          <w:color w:val="auto"/>
          <w:sz w:val="22"/>
          <w:szCs w:val="22"/>
        </w:rPr>
        <w:fldChar w:fldCharType="begin"/>
      </w:r>
      <w:r w:rsidR="006106A1" w:rsidRPr="00BF3E35">
        <w:rPr>
          <w:rFonts w:ascii="Times New Roman" w:hAnsi="Times New Roman" w:cs="Times New Roman"/>
          <w:i w:val="0"/>
          <w:iCs w:val="0"/>
          <w:color w:val="auto"/>
          <w:sz w:val="22"/>
          <w:szCs w:val="22"/>
        </w:rPr>
        <w:instrText xml:space="preserve"> SEQ Table_S- \* ARABIC </w:instrText>
      </w:r>
      <w:r w:rsidR="006106A1" w:rsidRPr="00BF3E35">
        <w:rPr>
          <w:rFonts w:ascii="Times New Roman" w:hAnsi="Times New Roman" w:cs="Times New Roman"/>
          <w:i w:val="0"/>
          <w:iCs w:val="0"/>
          <w:color w:val="auto"/>
          <w:sz w:val="22"/>
          <w:szCs w:val="22"/>
        </w:rPr>
        <w:fldChar w:fldCharType="separate"/>
      </w:r>
      <w:r w:rsidR="00BF3E35" w:rsidRPr="00BF3E35">
        <w:rPr>
          <w:rFonts w:ascii="Times New Roman" w:hAnsi="Times New Roman" w:cs="Times New Roman"/>
          <w:i w:val="0"/>
          <w:iCs w:val="0"/>
          <w:noProof/>
          <w:color w:val="auto"/>
          <w:sz w:val="22"/>
          <w:szCs w:val="22"/>
        </w:rPr>
        <w:t>1</w:t>
      </w:r>
      <w:r w:rsidR="006106A1" w:rsidRPr="00BF3E35">
        <w:rPr>
          <w:rFonts w:ascii="Times New Roman" w:hAnsi="Times New Roman" w:cs="Times New Roman"/>
          <w:i w:val="0"/>
          <w:iCs w:val="0"/>
          <w:color w:val="auto"/>
          <w:sz w:val="22"/>
          <w:szCs w:val="22"/>
        </w:rPr>
        <w:fldChar w:fldCharType="end"/>
      </w:r>
      <w:r w:rsidRPr="00BF3E35">
        <w:rPr>
          <w:rFonts w:ascii="Times New Roman" w:hAnsi="Times New Roman" w:cs="Times New Roman"/>
          <w:i w:val="0"/>
          <w:iCs w:val="0"/>
          <w:color w:val="auto"/>
          <w:sz w:val="22"/>
          <w:szCs w:val="22"/>
        </w:rPr>
        <w:t>.  Definition of habitat types compare to Lan</w:t>
      </w:r>
      <w:r w:rsidR="00073802">
        <w:rPr>
          <w:rFonts w:ascii="Times New Roman" w:hAnsi="Times New Roman" w:cs="Times New Roman"/>
          <w:i w:val="0"/>
          <w:iCs w:val="0"/>
          <w:color w:val="auto"/>
          <w:sz w:val="22"/>
          <w:szCs w:val="22"/>
        </w:rPr>
        <w:t>d</w:t>
      </w:r>
      <w:r w:rsidRPr="00BF3E35">
        <w:rPr>
          <w:rFonts w:ascii="Times New Roman" w:hAnsi="Times New Roman" w:cs="Times New Roman"/>
          <w:i w:val="0"/>
          <w:iCs w:val="0"/>
          <w:color w:val="auto"/>
          <w:sz w:val="22"/>
          <w:szCs w:val="22"/>
        </w:rPr>
        <w:t xml:space="preserve"> Use and Land Cover definition based on Indonesian Ministry of Environment and Forestry</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38"/>
        <w:gridCol w:w="2014"/>
        <w:gridCol w:w="1134"/>
        <w:gridCol w:w="3969"/>
      </w:tblGrid>
      <w:tr w:rsidR="000C4A0F" w:rsidRPr="00BF3E35" w14:paraId="49C613AC" w14:textId="77777777" w:rsidTr="006F74C9">
        <w:tc>
          <w:tcPr>
            <w:tcW w:w="538" w:type="dxa"/>
          </w:tcPr>
          <w:p w14:paraId="6AC87C23" w14:textId="77510FF3" w:rsidR="000C4A0F" w:rsidRPr="00BF3E35" w:rsidRDefault="000C4A0F" w:rsidP="00D90085">
            <w:pPr>
              <w:jc w:val="center"/>
              <w:rPr>
                <w:rFonts w:ascii="Times New Roman" w:hAnsi="Times New Roman" w:cs="Times New Roman"/>
                <w:sz w:val="20"/>
                <w:szCs w:val="20"/>
              </w:rPr>
            </w:pPr>
            <w:r w:rsidRPr="00BF3E35">
              <w:rPr>
                <w:rFonts w:ascii="Times New Roman" w:hAnsi="Times New Roman" w:cs="Times New Roman"/>
                <w:sz w:val="20"/>
                <w:szCs w:val="20"/>
              </w:rPr>
              <w:t>No.</w:t>
            </w:r>
          </w:p>
        </w:tc>
        <w:tc>
          <w:tcPr>
            <w:tcW w:w="2014" w:type="dxa"/>
          </w:tcPr>
          <w:p w14:paraId="284F45C0" w14:textId="3C6CADE5"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Habitat types</w:t>
            </w:r>
          </w:p>
        </w:tc>
        <w:tc>
          <w:tcPr>
            <w:tcW w:w="1134" w:type="dxa"/>
          </w:tcPr>
          <w:p w14:paraId="6B889EF8" w14:textId="14E2E210" w:rsidR="000C4A0F" w:rsidRPr="00BF3E35" w:rsidRDefault="000C4A0F" w:rsidP="00D90085">
            <w:pPr>
              <w:jc w:val="center"/>
              <w:rPr>
                <w:rFonts w:ascii="Times New Roman" w:hAnsi="Times New Roman" w:cs="Times New Roman"/>
                <w:sz w:val="20"/>
                <w:szCs w:val="20"/>
              </w:rPr>
            </w:pPr>
            <w:r w:rsidRPr="00BF3E35">
              <w:rPr>
                <w:rFonts w:ascii="Times New Roman" w:hAnsi="Times New Roman" w:cs="Times New Roman"/>
                <w:sz w:val="20"/>
                <w:szCs w:val="20"/>
              </w:rPr>
              <w:t>Code</w:t>
            </w:r>
          </w:p>
        </w:tc>
        <w:tc>
          <w:tcPr>
            <w:tcW w:w="3969" w:type="dxa"/>
          </w:tcPr>
          <w:p w14:paraId="0433941F" w14:textId="57296EB3" w:rsidR="000C4A0F" w:rsidRPr="00BF3E35" w:rsidRDefault="000C4A0F" w:rsidP="00D90085">
            <w:pPr>
              <w:jc w:val="center"/>
              <w:rPr>
                <w:rFonts w:ascii="Times New Roman" w:hAnsi="Times New Roman" w:cs="Times New Roman"/>
                <w:sz w:val="20"/>
                <w:szCs w:val="20"/>
              </w:rPr>
            </w:pPr>
            <w:r w:rsidRPr="00BF3E35">
              <w:rPr>
                <w:rFonts w:ascii="Times New Roman" w:hAnsi="Times New Roman" w:cs="Times New Roman"/>
                <w:sz w:val="20"/>
                <w:szCs w:val="20"/>
              </w:rPr>
              <w:t>LULC types based on MoEF definition</w:t>
            </w:r>
          </w:p>
        </w:tc>
      </w:tr>
      <w:tr w:rsidR="000C4A0F" w:rsidRPr="00BF3E35" w14:paraId="1CBC045A" w14:textId="77777777" w:rsidTr="006F74C9">
        <w:tc>
          <w:tcPr>
            <w:tcW w:w="538" w:type="dxa"/>
          </w:tcPr>
          <w:p w14:paraId="4EED7FFB" w14:textId="142345D1" w:rsidR="000C4A0F" w:rsidRPr="00BF3E35" w:rsidRDefault="000C4A0F" w:rsidP="00D90085">
            <w:pPr>
              <w:jc w:val="center"/>
              <w:rPr>
                <w:rFonts w:ascii="Times New Roman" w:hAnsi="Times New Roman" w:cs="Times New Roman"/>
                <w:sz w:val="20"/>
                <w:szCs w:val="20"/>
              </w:rPr>
            </w:pPr>
            <w:r w:rsidRPr="00BF3E35">
              <w:rPr>
                <w:rFonts w:ascii="Times New Roman" w:hAnsi="Times New Roman" w:cs="Times New Roman"/>
                <w:sz w:val="20"/>
                <w:szCs w:val="20"/>
              </w:rPr>
              <w:t>1</w:t>
            </w:r>
          </w:p>
        </w:tc>
        <w:tc>
          <w:tcPr>
            <w:tcW w:w="2014" w:type="dxa"/>
          </w:tcPr>
          <w:p w14:paraId="08539980" w14:textId="1C48C63A"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Forest</w:t>
            </w:r>
          </w:p>
        </w:tc>
        <w:tc>
          <w:tcPr>
            <w:tcW w:w="1134" w:type="dxa"/>
          </w:tcPr>
          <w:p w14:paraId="17AED104" w14:textId="2D169127" w:rsidR="000C4A0F" w:rsidRPr="00BF3E35" w:rsidRDefault="000C4A0F" w:rsidP="00D90085">
            <w:pPr>
              <w:jc w:val="center"/>
              <w:rPr>
                <w:rFonts w:ascii="Times New Roman" w:hAnsi="Times New Roman" w:cs="Times New Roman"/>
                <w:sz w:val="20"/>
                <w:szCs w:val="20"/>
              </w:rPr>
            </w:pPr>
            <w:r w:rsidRPr="00BF3E35">
              <w:rPr>
                <w:rFonts w:ascii="Times New Roman" w:hAnsi="Times New Roman" w:cs="Times New Roman"/>
                <w:sz w:val="20"/>
                <w:szCs w:val="20"/>
              </w:rPr>
              <w:t>FOR</w:t>
            </w:r>
          </w:p>
        </w:tc>
        <w:tc>
          <w:tcPr>
            <w:tcW w:w="3969" w:type="dxa"/>
          </w:tcPr>
          <w:p w14:paraId="0A348AC3" w14:textId="5C227DD9"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Primary dryland forest</w:t>
            </w:r>
          </w:p>
        </w:tc>
      </w:tr>
      <w:tr w:rsidR="000C4A0F" w:rsidRPr="00BF3E35" w14:paraId="58AEB1C0" w14:textId="77777777" w:rsidTr="006F74C9">
        <w:tc>
          <w:tcPr>
            <w:tcW w:w="538" w:type="dxa"/>
          </w:tcPr>
          <w:p w14:paraId="73FFBC4C" w14:textId="283A2C5B"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2</w:t>
            </w:r>
          </w:p>
        </w:tc>
        <w:tc>
          <w:tcPr>
            <w:tcW w:w="2014" w:type="dxa"/>
          </w:tcPr>
          <w:p w14:paraId="34E79404" w14:textId="5483A1CD"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Forest</w:t>
            </w:r>
          </w:p>
        </w:tc>
        <w:tc>
          <w:tcPr>
            <w:tcW w:w="1134" w:type="dxa"/>
          </w:tcPr>
          <w:p w14:paraId="030C8C69" w14:textId="58E312FB"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FOR</w:t>
            </w:r>
          </w:p>
        </w:tc>
        <w:tc>
          <w:tcPr>
            <w:tcW w:w="3969" w:type="dxa"/>
          </w:tcPr>
          <w:p w14:paraId="33262037" w14:textId="059AE291"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Secondary dryland forest</w:t>
            </w:r>
          </w:p>
        </w:tc>
      </w:tr>
      <w:tr w:rsidR="000C4A0F" w:rsidRPr="00BF3E35" w14:paraId="4D49BA41" w14:textId="77777777" w:rsidTr="006F74C9">
        <w:tc>
          <w:tcPr>
            <w:tcW w:w="538" w:type="dxa"/>
          </w:tcPr>
          <w:p w14:paraId="40E5EF70" w14:textId="5AC47932"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3</w:t>
            </w:r>
          </w:p>
        </w:tc>
        <w:tc>
          <w:tcPr>
            <w:tcW w:w="2014" w:type="dxa"/>
          </w:tcPr>
          <w:p w14:paraId="501F699D" w14:textId="1A5C1B66"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Forest</w:t>
            </w:r>
          </w:p>
        </w:tc>
        <w:tc>
          <w:tcPr>
            <w:tcW w:w="1134" w:type="dxa"/>
          </w:tcPr>
          <w:p w14:paraId="462C46D6" w14:textId="5A93E754"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FOR</w:t>
            </w:r>
          </w:p>
        </w:tc>
        <w:tc>
          <w:tcPr>
            <w:tcW w:w="3969" w:type="dxa"/>
          </w:tcPr>
          <w:p w14:paraId="60238247" w14:textId="637E7378"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Primary mangrove forest</w:t>
            </w:r>
          </w:p>
        </w:tc>
      </w:tr>
      <w:tr w:rsidR="000C4A0F" w:rsidRPr="00BF3E35" w14:paraId="3FA2D9DF" w14:textId="77777777" w:rsidTr="006F74C9">
        <w:tc>
          <w:tcPr>
            <w:tcW w:w="538" w:type="dxa"/>
          </w:tcPr>
          <w:p w14:paraId="207B2F00" w14:textId="3E6A60B6"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4</w:t>
            </w:r>
          </w:p>
        </w:tc>
        <w:tc>
          <w:tcPr>
            <w:tcW w:w="2014" w:type="dxa"/>
          </w:tcPr>
          <w:p w14:paraId="30C6CF3E" w14:textId="771E6218"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Forest</w:t>
            </w:r>
          </w:p>
        </w:tc>
        <w:tc>
          <w:tcPr>
            <w:tcW w:w="1134" w:type="dxa"/>
          </w:tcPr>
          <w:p w14:paraId="28B61012" w14:textId="63A63817"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FOR</w:t>
            </w:r>
          </w:p>
        </w:tc>
        <w:tc>
          <w:tcPr>
            <w:tcW w:w="3969" w:type="dxa"/>
          </w:tcPr>
          <w:p w14:paraId="560958DC" w14:textId="122E55EC"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Secondary mangrove forest</w:t>
            </w:r>
          </w:p>
        </w:tc>
      </w:tr>
      <w:tr w:rsidR="000C4A0F" w:rsidRPr="00BF3E35" w14:paraId="065D5C4F" w14:textId="77777777" w:rsidTr="006F74C9">
        <w:tc>
          <w:tcPr>
            <w:tcW w:w="538" w:type="dxa"/>
          </w:tcPr>
          <w:p w14:paraId="658D13B4" w14:textId="120CEF07"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5</w:t>
            </w:r>
          </w:p>
        </w:tc>
        <w:tc>
          <w:tcPr>
            <w:tcW w:w="2014" w:type="dxa"/>
          </w:tcPr>
          <w:p w14:paraId="7039DC78" w14:textId="7AC2B07B"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Forest</w:t>
            </w:r>
          </w:p>
        </w:tc>
        <w:tc>
          <w:tcPr>
            <w:tcW w:w="1134" w:type="dxa"/>
          </w:tcPr>
          <w:p w14:paraId="09F66458" w14:textId="19F94EA1"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FOR</w:t>
            </w:r>
          </w:p>
        </w:tc>
        <w:tc>
          <w:tcPr>
            <w:tcW w:w="3969" w:type="dxa"/>
          </w:tcPr>
          <w:p w14:paraId="76CBE000" w14:textId="4C189F9D"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Primary swamp forest</w:t>
            </w:r>
          </w:p>
        </w:tc>
      </w:tr>
      <w:tr w:rsidR="000C4A0F" w:rsidRPr="00BF3E35" w14:paraId="0F65562B" w14:textId="77777777" w:rsidTr="006F74C9">
        <w:tc>
          <w:tcPr>
            <w:tcW w:w="538" w:type="dxa"/>
          </w:tcPr>
          <w:p w14:paraId="46AB035D" w14:textId="153A88E8"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6</w:t>
            </w:r>
          </w:p>
        </w:tc>
        <w:tc>
          <w:tcPr>
            <w:tcW w:w="2014" w:type="dxa"/>
          </w:tcPr>
          <w:p w14:paraId="29ACD743" w14:textId="0C4A385B"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Forest</w:t>
            </w:r>
          </w:p>
        </w:tc>
        <w:tc>
          <w:tcPr>
            <w:tcW w:w="1134" w:type="dxa"/>
          </w:tcPr>
          <w:p w14:paraId="2196E10E" w14:textId="1660A193"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FOR</w:t>
            </w:r>
          </w:p>
        </w:tc>
        <w:tc>
          <w:tcPr>
            <w:tcW w:w="3969" w:type="dxa"/>
          </w:tcPr>
          <w:p w14:paraId="66CADBF6" w14:textId="526BECA2"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Secondary swamp forest</w:t>
            </w:r>
          </w:p>
        </w:tc>
      </w:tr>
      <w:tr w:rsidR="000C4A0F" w:rsidRPr="00BF3E35" w14:paraId="4E352490" w14:textId="77777777" w:rsidTr="006F74C9">
        <w:tc>
          <w:tcPr>
            <w:tcW w:w="538" w:type="dxa"/>
          </w:tcPr>
          <w:p w14:paraId="3DA77561" w14:textId="01A2E9F4" w:rsidR="000C4A0F" w:rsidRPr="00BF3E35" w:rsidRDefault="000C4A0F" w:rsidP="00D90085">
            <w:pPr>
              <w:jc w:val="center"/>
              <w:rPr>
                <w:rFonts w:ascii="Times New Roman" w:hAnsi="Times New Roman" w:cs="Times New Roman"/>
                <w:sz w:val="20"/>
                <w:szCs w:val="20"/>
              </w:rPr>
            </w:pPr>
            <w:r w:rsidRPr="00BF3E35">
              <w:rPr>
                <w:rFonts w:ascii="Times New Roman" w:hAnsi="Times New Roman" w:cs="Times New Roman"/>
                <w:sz w:val="20"/>
                <w:szCs w:val="20"/>
              </w:rPr>
              <w:t>7</w:t>
            </w:r>
          </w:p>
        </w:tc>
        <w:tc>
          <w:tcPr>
            <w:tcW w:w="2014" w:type="dxa"/>
          </w:tcPr>
          <w:p w14:paraId="5C4EE832" w14:textId="5CEE5905"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Plantation</w:t>
            </w:r>
          </w:p>
        </w:tc>
        <w:tc>
          <w:tcPr>
            <w:tcW w:w="1134" w:type="dxa"/>
          </w:tcPr>
          <w:p w14:paraId="451BE273" w14:textId="267B8269" w:rsidR="000C4A0F" w:rsidRPr="00BF3E35" w:rsidRDefault="000C4A0F" w:rsidP="00D90085">
            <w:pPr>
              <w:jc w:val="center"/>
              <w:rPr>
                <w:rFonts w:ascii="Times New Roman" w:hAnsi="Times New Roman" w:cs="Times New Roman"/>
                <w:sz w:val="20"/>
                <w:szCs w:val="20"/>
              </w:rPr>
            </w:pPr>
            <w:r w:rsidRPr="00BF3E35">
              <w:rPr>
                <w:rFonts w:ascii="Times New Roman" w:hAnsi="Times New Roman" w:cs="Times New Roman"/>
                <w:sz w:val="20"/>
                <w:szCs w:val="20"/>
              </w:rPr>
              <w:t>PLT</w:t>
            </w:r>
          </w:p>
        </w:tc>
        <w:tc>
          <w:tcPr>
            <w:tcW w:w="3969" w:type="dxa"/>
          </w:tcPr>
          <w:p w14:paraId="5A2EBDD3" w14:textId="15548D20"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Industrial plantation forest</w:t>
            </w:r>
          </w:p>
        </w:tc>
      </w:tr>
      <w:tr w:rsidR="000C4A0F" w:rsidRPr="00BF3E35" w14:paraId="28B0D6B2" w14:textId="77777777" w:rsidTr="006F74C9">
        <w:tc>
          <w:tcPr>
            <w:tcW w:w="538" w:type="dxa"/>
          </w:tcPr>
          <w:p w14:paraId="67C88B24" w14:textId="61F5D58F"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8</w:t>
            </w:r>
          </w:p>
        </w:tc>
        <w:tc>
          <w:tcPr>
            <w:tcW w:w="2014" w:type="dxa"/>
          </w:tcPr>
          <w:p w14:paraId="138ED453" w14:textId="539C1BFC"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Plantation</w:t>
            </w:r>
          </w:p>
        </w:tc>
        <w:tc>
          <w:tcPr>
            <w:tcW w:w="1134" w:type="dxa"/>
          </w:tcPr>
          <w:p w14:paraId="625918CB" w14:textId="26EA7621"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PLT</w:t>
            </w:r>
          </w:p>
        </w:tc>
        <w:tc>
          <w:tcPr>
            <w:tcW w:w="3969" w:type="dxa"/>
          </w:tcPr>
          <w:p w14:paraId="69742B5F" w14:textId="500B5CF0"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Plantation</w:t>
            </w:r>
          </w:p>
        </w:tc>
      </w:tr>
      <w:tr w:rsidR="000C4A0F" w:rsidRPr="00BF3E35" w14:paraId="3F65F274" w14:textId="77777777" w:rsidTr="006F74C9">
        <w:tc>
          <w:tcPr>
            <w:tcW w:w="538" w:type="dxa"/>
          </w:tcPr>
          <w:p w14:paraId="232935D2" w14:textId="2F0EB754"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9</w:t>
            </w:r>
          </w:p>
        </w:tc>
        <w:tc>
          <w:tcPr>
            <w:tcW w:w="2014" w:type="dxa"/>
          </w:tcPr>
          <w:p w14:paraId="7F0273E1" w14:textId="3D842867"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Cropland</w:t>
            </w:r>
          </w:p>
        </w:tc>
        <w:tc>
          <w:tcPr>
            <w:tcW w:w="1134" w:type="dxa"/>
          </w:tcPr>
          <w:p w14:paraId="50124F24" w14:textId="55FB71E7"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CRP</w:t>
            </w:r>
          </w:p>
        </w:tc>
        <w:tc>
          <w:tcPr>
            <w:tcW w:w="3969" w:type="dxa"/>
          </w:tcPr>
          <w:p w14:paraId="1C248097" w14:textId="135AC4CE"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Dryland agriculture</w:t>
            </w:r>
          </w:p>
        </w:tc>
      </w:tr>
      <w:tr w:rsidR="000C4A0F" w:rsidRPr="00BF3E35" w14:paraId="70970D6D" w14:textId="77777777" w:rsidTr="006F74C9">
        <w:tc>
          <w:tcPr>
            <w:tcW w:w="538" w:type="dxa"/>
          </w:tcPr>
          <w:p w14:paraId="45131E90" w14:textId="0EBE407B"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10</w:t>
            </w:r>
          </w:p>
        </w:tc>
        <w:tc>
          <w:tcPr>
            <w:tcW w:w="2014" w:type="dxa"/>
          </w:tcPr>
          <w:p w14:paraId="09884CAA" w14:textId="3FAE8494"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Cropland</w:t>
            </w:r>
          </w:p>
        </w:tc>
        <w:tc>
          <w:tcPr>
            <w:tcW w:w="1134" w:type="dxa"/>
          </w:tcPr>
          <w:p w14:paraId="7C0D7B24" w14:textId="2520F7DC"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CRP</w:t>
            </w:r>
          </w:p>
        </w:tc>
        <w:tc>
          <w:tcPr>
            <w:tcW w:w="3969" w:type="dxa"/>
          </w:tcPr>
          <w:p w14:paraId="4CF1BAC6" w14:textId="6E44E8C8"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Mixed dryland agriculture</w:t>
            </w:r>
          </w:p>
        </w:tc>
      </w:tr>
      <w:tr w:rsidR="000C4A0F" w:rsidRPr="00BF3E35" w14:paraId="16ADC08F" w14:textId="77777777" w:rsidTr="006F74C9">
        <w:tc>
          <w:tcPr>
            <w:tcW w:w="538" w:type="dxa"/>
          </w:tcPr>
          <w:p w14:paraId="6DEB0415" w14:textId="5DF48638"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11</w:t>
            </w:r>
          </w:p>
        </w:tc>
        <w:tc>
          <w:tcPr>
            <w:tcW w:w="2014" w:type="dxa"/>
          </w:tcPr>
          <w:p w14:paraId="6C0892A3" w14:textId="7CD18171"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Cropland</w:t>
            </w:r>
          </w:p>
        </w:tc>
        <w:tc>
          <w:tcPr>
            <w:tcW w:w="1134" w:type="dxa"/>
          </w:tcPr>
          <w:p w14:paraId="491DB771" w14:textId="0C5FDA0B"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CRP</w:t>
            </w:r>
          </w:p>
        </w:tc>
        <w:tc>
          <w:tcPr>
            <w:tcW w:w="3969" w:type="dxa"/>
          </w:tcPr>
          <w:p w14:paraId="1FEE5E8B" w14:textId="28B76E9F"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Paddy field</w:t>
            </w:r>
          </w:p>
        </w:tc>
      </w:tr>
      <w:tr w:rsidR="000C4A0F" w:rsidRPr="00BF3E35" w14:paraId="3667343E" w14:textId="77777777" w:rsidTr="006F74C9">
        <w:tc>
          <w:tcPr>
            <w:tcW w:w="538" w:type="dxa"/>
          </w:tcPr>
          <w:p w14:paraId="021E0E01" w14:textId="6BB979B1"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12</w:t>
            </w:r>
          </w:p>
        </w:tc>
        <w:tc>
          <w:tcPr>
            <w:tcW w:w="2014" w:type="dxa"/>
          </w:tcPr>
          <w:p w14:paraId="560BF921" w14:textId="1D15FC78"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Shrubland</w:t>
            </w:r>
          </w:p>
        </w:tc>
        <w:tc>
          <w:tcPr>
            <w:tcW w:w="1134" w:type="dxa"/>
          </w:tcPr>
          <w:p w14:paraId="24614CBF" w14:textId="1EEA66AA"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SHB</w:t>
            </w:r>
          </w:p>
        </w:tc>
        <w:tc>
          <w:tcPr>
            <w:tcW w:w="3969" w:type="dxa"/>
          </w:tcPr>
          <w:p w14:paraId="43C9F921" w14:textId="53506C44"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Savanna</w:t>
            </w:r>
          </w:p>
        </w:tc>
      </w:tr>
      <w:tr w:rsidR="000C4A0F" w:rsidRPr="00BF3E35" w14:paraId="498E9F31" w14:textId="77777777" w:rsidTr="006F74C9">
        <w:tc>
          <w:tcPr>
            <w:tcW w:w="538" w:type="dxa"/>
          </w:tcPr>
          <w:p w14:paraId="5E23F206" w14:textId="20A831C9"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13</w:t>
            </w:r>
          </w:p>
        </w:tc>
        <w:tc>
          <w:tcPr>
            <w:tcW w:w="2014" w:type="dxa"/>
          </w:tcPr>
          <w:p w14:paraId="2408B363" w14:textId="0C7AA128"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Shrubland</w:t>
            </w:r>
          </w:p>
        </w:tc>
        <w:tc>
          <w:tcPr>
            <w:tcW w:w="1134" w:type="dxa"/>
          </w:tcPr>
          <w:p w14:paraId="7CD6A352" w14:textId="578541F6"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SHB</w:t>
            </w:r>
          </w:p>
        </w:tc>
        <w:tc>
          <w:tcPr>
            <w:tcW w:w="3969" w:type="dxa"/>
          </w:tcPr>
          <w:p w14:paraId="51447022" w14:textId="4369D828"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Shrub</w:t>
            </w:r>
          </w:p>
        </w:tc>
      </w:tr>
      <w:tr w:rsidR="000C4A0F" w:rsidRPr="00BF3E35" w14:paraId="3F793560" w14:textId="77777777" w:rsidTr="006F74C9">
        <w:tc>
          <w:tcPr>
            <w:tcW w:w="538" w:type="dxa"/>
          </w:tcPr>
          <w:p w14:paraId="4C1BFEA6" w14:textId="391A8300"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14</w:t>
            </w:r>
          </w:p>
        </w:tc>
        <w:tc>
          <w:tcPr>
            <w:tcW w:w="2014" w:type="dxa"/>
          </w:tcPr>
          <w:p w14:paraId="69050C5B" w14:textId="2E4070AE"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Shrubland</w:t>
            </w:r>
          </w:p>
        </w:tc>
        <w:tc>
          <w:tcPr>
            <w:tcW w:w="1134" w:type="dxa"/>
          </w:tcPr>
          <w:p w14:paraId="01B7E80A" w14:textId="792F95C7"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SHB</w:t>
            </w:r>
          </w:p>
        </w:tc>
        <w:tc>
          <w:tcPr>
            <w:tcW w:w="3969" w:type="dxa"/>
          </w:tcPr>
          <w:p w14:paraId="074D671B" w14:textId="512C2005"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Shrub swamp</w:t>
            </w:r>
          </w:p>
        </w:tc>
      </w:tr>
      <w:tr w:rsidR="000C4A0F" w:rsidRPr="00BF3E35" w14:paraId="46CF1538" w14:textId="77777777" w:rsidTr="006F74C9">
        <w:tc>
          <w:tcPr>
            <w:tcW w:w="538" w:type="dxa"/>
          </w:tcPr>
          <w:p w14:paraId="2D619CC0" w14:textId="7C6D7B96"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15</w:t>
            </w:r>
          </w:p>
        </w:tc>
        <w:tc>
          <w:tcPr>
            <w:tcW w:w="2014" w:type="dxa"/>
          </w:tcPr>
          <w:p w14:paraId="14C7429A" w14:textId="3191F9F1"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Shrubland</w:t>
            </w:r>
          </w:p>
        </w:tc>
        <w:tc>
          <w:tcPr>
            <w:tcW w:w="1134" w:type="dxa"/>
          </w:tcPr>
          <w:p w14:paraId="3B52C10C" w14:textId="482E55C3"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SHB</w:t>
            </w:r>
          </w:p>
        </w:tc>
        <w:tc>
          <w:tcPr>
            <w:tcW w:w="3969" w:type="dxa"/>
          </w:tcPr>
          <w:p w14:paraId="70C4BE8D" w14:textId="1A738673"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swamp</w:t>
            </w:r>
          </w:p>
        </w:tc>
      </w:tr>
      <w:tr w:rsidR="000C4A0F" w:rsidRPr="00BF3E35" w14:paraId="17705BFB" w14:textId="77777777" w:rsidTr="006F74C9">
        <w:tc>
          <w:tcPr>
            <w:tcW w:w="538" w:type="dxa"/>
          </w:tcPr>
          <w:p w14:paraId="24E6C72C" w14:textId="0300050A"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16</w:t>
            </w:r>
          </w:p>
        </w:tc>
        <w:tc>
          <w:tcPr>
            <w:tcW w:w="2014" w:type="dxa"/>
          </w:tcPr>
          <w:p w14:paraId="4473AE23" w14:textId="0E3EAE08"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Non-vegetation areas</w:t>
            </w:r>
          </w:p>
        </w:tc>
        <w:tc>
          <w:tcPr>
            <w:tcW w:w="1134" w:type="dxa"/>
          </w:tcPr>
          <w:p w14:paraId="24EC55AD" w14:textId="7BE14A10"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NON</w:t>
            </w:r>
          </w:p>
        </w:tc>
        <w:tc>
          <w:tcPr>
            <w:tcW w:w="3969" w:type="dxa"/>
          </w:tcPr>
          <w:p w14:paraId="199F82F9" w14:textId="68D34544"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Settlement</w:t>
            </w:r>
          </w:p>
        </w:tc>
      </w:tr>
      <w:tr w:rsidR="000C4A0F" w:rsidRPr="00BF3E35" w14:paraId="4A820443" w14:textId="77777777" w:rsidTr="006F74C9">
        <w:tc>
          <w:tcPr>
            <w:tcW w:w="538" w:type="dxa"/>
          </w:tcPr>
          <w:p w14:paraId="6F7B73D6" w14:textId="25131141"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17</w:t>
            </w:r>
          </w:p>
        </w:tc>
        <w:tc>
          <w:tcPr>
            <w:tcW w:w="2014" w:type="dxa"/>
          </w:tcPr>
          <w:p w14:paraId="6E17C802" w14:textId="1D94BE1E"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Non-vegetation areas</w:t>
            </w:r>
          </w:p>
        </w:tc>
        <w:tc>
          <w:tcPr>
            <w:tcW w:w="1134" w:type="dxa"/>
          </w:tcPr>
          <w:p w14:paraId="2160EAE4" w14:textId="6E4E33A7"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NON</w:t>
            </w:r>
          </w:p>
        </w:tc>
        <w:tc>
          <w:tcPr>
            <w:tcW w:w="3969" w:type="dxa"/>
          </w:tcPr>
          <w:p w14:paraId="1E1FF18A" w14:textId="0612BDA7"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Cloud</w:t>
            </w:r>
          </w:p>
        </w:tc>
      </w:tr>
      <w:tr w:rsidR="000C4A0F" w:rsidRPr="00BF3E35" w14:paraId="597AA8B5" w14:textId="77777777" w:rsidTr="006F74C9">
        <w:tc>
          <w:tcPr>
            <w:tcW w:w="538" w:type="dxa"/>
          </w:tcPr>
          <w:p w14:paraId="66D61CFC" w14:textId="2623A2C9"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18</w:t>
            </w:r>
          </w:p>
        </w:tc>
        <w:tc>
          <w:tcPr>
            <w:tcW w:w="2014" w:type="dxa"/>
          </w:tcPr>
          <w:p w14:paraId="3F22E93B" w14:textId="492074B2"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Non-vegetation areas</w:t>
            </w:r>
          </w:p>
        </w:tc>
        <w:tc>
          <w:tcPr>
            <w:tcW w:w="1134" w:type="dxa"/>
          </w:tcPr>
          <w:p w14:paraId="395A55AD" w14:textId="7D29A135"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NON</w:t>
            </w:r>
          </w:p>
        </w:tc>
        <w:tc>
          <w:tcPr>
            <w:tcW w:w="3969" w:type="dxa"/>
          </w:tcPr>
          <w:p w14:paraId="59958E23" w14:textId="19974BCD"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Bare land</w:t>
            </w:r>
          </w:p>
        </w:tc>
      </w:tr>
      <w:tr w:rsidR="000C4A0F" w:rsidRPr="00BF3E35" w14:paraId="2AC135F3" w14:textId="77777777" w:rsidTr="006F74C9">
        <w:tc>
          <w:tcPr>
            <w:tcW w:w="538" w:type="dxa"/>
          </w:tcPr>
          <w:p w14:paraId="1A5B2D96" w14:textId="68DCD722"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19</w:t>
            </w:r>
          </w:p>
        </w:tc>
        <w:tc>
          <w:tcPr>
            <w:tcW w:w="2014" w:type="dxa"/>
          </w:tcPr>
          <w:p w14:paraId="36F089BE" w14:textId="411A7892"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Non-vegetation areas</w:t>
            </w:r>
          </w:p>
        </w:tc>
        <w:tc>
          <w:tcPr>
            <w:tcW w:w="1134" w:type="dxa"/>
          </w:tcPr>
          <w:p w14:paraId="44E104FB" w14:textId="2F905EDE"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NON</w:t>
            </w:r>
          </w:p>
        </w:tc>
        <w:tc>
          <w:tcPr>
            <w:tcW w:w="3969" w:type="dxa"/>
          </w:tcPr>
          <w:p w14:paraId="0788EB8D" w14:textId="313AE578"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Water</w:t>
            </w:r>
          </w:p>
        </w:tc>
      </w:tr>
      <w:tr w:rsidR="000C4A0F" w:rsidRPr="00BF3E35" w14:paraId="5A4A9854" w14:textId="77777777" w:rsidTr="006F74C9">
        <w:tc>
          <w:tcPr>
            <w:tcW w:w="538" w:type="dxa"/>
          </w:tcPr>
          <w:p w14:paraId="706B89E2" w14:textId="643A5BBF"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20</w:t>
            </w:r>
          </w:p>
        </w:tc>
        <w:tc>
          <w:tcPr>
            <w:tcW w:w="2014" w:type="dxa"/>
          </w:tcPr>
          <w:p w14:paraId="689588DA" w14:textId="50943EB8"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Non-vegetation areas</w:t>
            </w:r>
          </w:p>
        </w:tc>
        <w:tc>
          <w:tcPr>
            <w:tcW w:w="1134" w:type="dxa"/>
          </w:tcPr>
          <w:p w14:paraId="4BB006CF" w14:textId="6236EB0A"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NON</w:t>
            </w:r>
          </w:p>
        </w:tc>
        <w:tc>
          <w:tcPr>
            <w:tcW w:w="3969" w:type="dxa"/>
          </w:tcPr>
          <w:p w14:paraId="3B021774" w14:textId="18DBA3B9"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Fishpond</w:t>
            </w:r>
          </w:p>
        </w:tc>
      </w:tr>
      <w:tr w:rsidR="000C4A0F" w:rsidRPr="00BF3E35" w14:paraId="4AB9F7E2" w14:textId="77777777" w:rsidTr="006F74C9">
        <w:tc>
          <w:tcPr>
            <w:tcW w:w="538" w:type="dxa"/>
          </w:tcPr>
          <w:p w14:paraId="6AC2FAC1" w14:textId="4F72CFD7"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21</w:t>
            </w:r>
          </w:p>
        </w:tc>
        <w:tc>
          <w:tcPr>
            <w:tcW w:w="2014" w:type="dxa"/>
          </w:tcPr>
          <w:p w14:paraId="551AAB5C" w14:textId="6FE3C26F"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Non-vegetation areas</w:t>
            </w:r>
          </w:p>
        </w:tc>
        <w:tc>
          <w:tcPr>
            <w:tcW w:w="1134" w:type="dxa"/>
          </w:tcPr>
          <w:p w14:paraId="7B2CBBD0" w14:textId="0FA71A6F"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NON</w:t>
            </w:r>
          </w:p>
        </w:tc>
        <w:tc>
          <w:tcPr>
            <w:tcW w:w="3969" w:type="dxa"/>
          </w:tcPr>
          <w:p w14:paraId="7E2E2121" w14:textId="797BBCD0"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Airport</w:t>
            </w:r>
          </w:p>
        </w:tc>
      </w:tr>
      <w:tr w:rsidR="000C4A0F" w:rsidRPr="00BF3E35" w14:paraId="362C29A2" w14:textId="77777777" w:rsidTr="006F74C9">
        <w:tc>
          <w:tcPr>
            <w:tcW w:w="538" w:type="dxa"/>
          </w:tcPr>
          <w:p w14:paraId="13A55E5D" w14:textId="33B71016"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22</w:t>
            </w:r>
          </w:p>
        </w:tc>
        <w:tc>
          <w:tcPr>
            <w:tcW w:w="2014" w:type="dxa"/>
          </w:tcPr>
          <w:p w14:paraId="4A21D207" w14:textId="18ADBC6A"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Non-vegetation areas</w:t>
            </w:r>
          </w:p>
        </w:tc>
        <w:tc>
          <w:tcPr>
            <w:tcW w:w="1134" w:type="dxa"/>
          </w:tcPr>
          <w:p w14:paraId="0E8331E2" w14:textId="5C21E8CD"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NON</w:t>
            </w:r>
          </w:p>
        </w:tc>
        <w:tc>
          <w:tcPr>
            <w:tcW w:w="3969" w:type="dxa"/>
          </w:tcPr>
          <w:p w14:paraId="5A1D6EB0" w14:textId="6FF645AB"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Transmigration</w:t>
            </w:r>
          </w:p>
        </w:tc>
      </w:tr>
      <w:tr w:rsidR="000C4A0F" w:rsidRPr="00BF3E35" w14:paraId="5B4C0FF1" w14:textId="77777777" w:rsidTr="006F74C9">
        <w:tc>
          <w:tcPr>
            <w:tcW w:w="538" w:type="dxa"/>
          </w:tcPr>
          <w:p w14:paraId="77AE0E55" w14:textId="067B64E9"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23</w:t>
            </w:r>
          </w:p>
        </w:tc>
        <w:tc>
          <w:tcPr>
            <w:tcW w:w="2014" w:type="dxa"/>
          </w:tcPr>
          <w:p w14:paraId="6B68BC9A" w14:textId="1BECE674"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Non-vegetation areas</w:t>
            </w:r>
          </w:p>
        </w:tc>
        <w:tc>
          <w:tcPr>
            <w:tcW w:w="1134" w:type="dxa"/>
          </w:tcPr>
          <w:p w14:paraId="2C18452D" w14:textId="6A51ABC8" w:rsidR="000C4A0F" w:rsidRPr="00BF3E35" w:rsidRDefault="000C4A0F" w:rsidP="000C4A0F">
            <w:pPr>
              <w:jc w:val="center"/>
              <w:rPr>
                <w:rFonts w:ascii="Times New Roman" w:hAnsi="Times New Roman" w:cs="Times New Roman"/>
                <w:sz w:val="20"/>
                <w:szCs w:val="20"/>
              </w:rPr>
            </w:pPr>
            <w:r w:rsidRPr="00BF3E35">
              <w:rPr>
                <w:rFonts w:ascii="Times New Roman" w:hAnsi="Times New Roman" w:cs="Times New Roman"/>
                <w:sz w:val="20"/>
                <w:szCs w:val="20"/>
              </w:rPr>
              <w:t>NON</w:t>
            </w:r>
          </w:p>
        </w:tc>
        <w:tc>
          <w:tcPr>
            <w:tcW w:w="3969" w:type="dxa"/>
          </w:tcPr>
          <w:p w14:paraId="3A22921C" w14:textId="26646CD9" w:rsidR="000C4A0F" w:rsidRPr="00BF3E35" w:rsidRDefault="000C4A0F" w:rsidP="000C4A0F">
            <w:pPr>
              <w:rPr>
                <w:rFonts w:ascii="Times New Roman" w:hAnsi="Times New Roman" w:cs="Times New Roman"/>
                <w:sz w:val="20"/>
                <w:szCs w:val="20"/>
              </w:rPr>
            </w:pPr>
            <w:r w:rsidRPr="00BF3E35">
              <w:rPr>
                <w:rFonts w:ascii="Times New Roman" w:hAnsi="Times New Roman" w:cs="Times New Roman"/>
                <w:sz w:val="20"/>
                <w:szCs w:val="20"/>
              </w:rPr>
              <w:t>Mining</w:t>
            </w:r>
          </w:p>
        </w:tc>
      </w:tr>
    </w:tbl>
    <w:p w14:paraId="4CE36EE2" w14:textId="289A546A" w:rsidR="006F74C9" w:rsidRDefault="006F74C9" w:rsidP="006F74C9"/>
    <w:p w14:paraId="4E2A6CA2" w14:textId="07ED21E9" w:rsidR="00BF3E35" w:rsidRPr="00BF3E35" w:rsidRDefault="00BF3E35" w:rsidP="00BF3E35">
      <w:pPr>
        <w:pStyle w:val="Caption"/>
        <w:keepNext/>
        <w:rPr>
          <w:rFonts w:ascii="Times New Roman" w:hAnsi="Times New Roman" w:cs="Times New Roman"/>
          <w:i w:val="0"/>
          <w:iCs w:val="0"/>
          <w:color w:val="auto"/>
          <w:sz w:val="22"/>
          <w:szCs w:val="22"/>
        </w:rPr>
      </w:pPr>
      <w:r w:rsidRPr="00BF3E35">
        <w:rPr>
          <w:rFonts w:ascii="Times New Roman" w:hAnsi="Times New Roman" w:cs="Times New Roman"/>
          <w:i w:val="0"/>
          <w:iCs w:val="0"/>
          <w:color w:val="auto"/>
          <w:sz w:val="22"/>
          <w:szCs w:val="22"/>
        </w:rPr>
        <w:t>Table S</w:t>
      </w:r>
      <w:r w:rsidRPr="00BF3E35">
        <w:rPr>
          <w:rFonts w:ascii="Times New Roman" w:hAnsi="Times New Roman" w:cs="Times New Roman"/>
          <w:i w:val="0"/>
          <w:iCs w:val="0"/>
          <w:color w:val="auto"/>
          <w:sz w:val="22"/>
          <w:szCs w:val="22"/>
        </w:rPr>
        <w:fldChar w:fldCharType="begin"/>
      </w:r>
      <w:r w:rsidRPr="00BF3E35">
        <w:rPr>
          <w:rFonts w:ascii="Times New Roman" w:hAnsi="Times New Roman" w:cs="Times New Roman"/>
          <w:i w:val="0"/>
          <w:iCs w:val="0"/>
          <w:color w:val="auto"/>
          <w:sz w:val="22"/>
          <w:szCs w:val="22"/>
        </w:rPr>
        <w:instrText xml:space="preserve"> SEQ Table_S- \* ARABIC </w:instrText>
      </w:r>
      <w:r w:rsidRPr="00BF3E35">
        <w:rPr>
          <w:rFonts w:ascii="Times New Roman" w:hAnsi="Times New Roman" w:cs="Times New Roman"/>
          <w:i w:val="0"/>
          <w:iCs w:val="0"/>
          <w:color w:val="auto"/>
          <w:sz w:val="22"/>
          <w:szCs w:val="22"/>
        </w:rPr>
        <w:fldChar w:fldCharType="separate"/>
      </w:r>
      <w:r w:rsidRPr="00BF3E35">
        <w:rPr>
          <w:rFonts w:ascii="Times New Roman" w:hAnsi="Times New Roman" w:cs="Times New Roman"/>
          <w:i w:val="0"/>
          <w:iCs w:val="0"/>
          <w:noProof/>
          <w:color w:val="auto"/>
          <w:sz w:val="22"/>
          <w:szCs w:val="22"/>
        </w:rPr>
        <w:t>2</w:t>
      </w:r>
      <w:r w:rsidRPr="00BF3E35">
        <w:rPr>
          <w:rFonts w:ascii="Times New Roman" w:hAnsi="Times New Roman" w:cs="Times New Roman"/>
          <w:i w:val="0"/>
          <w:iCs w:val="0"/>
          <w:color w:val="auto"/>
          <w:sz w:val="22"/>
          <w:szCs w:val="22"/>
        </w:rPr>
        <w:fldChar w:fldCharType="end"/>
      </w:r>
      <w:r w:rsidRPr="00BF3E35">
        <w:rPr>
          <w:rFonts w:ascii="Times New Roman" w:hAnsi="Times New Roman" w:cs="Times New Roman"/>
          <w:i w:val="0"/>
          <w:iCs w:val="0"/>
          <w:color w:val="auto"/>
          <w:sz w:val="22"/>
          <w:szCs w:val="22"/>
        </w:rPr>
        <w:t>. Environmental predictors are used to build habitat loss models as well as occupancy model in Leuser Ecosystem</w:t>
      </w:r>
    </w:p>
    <w:tbl>
      <w:tblPr>
        <w:tblStyle w:val="TableGrid"/>
        <w:tblW w:w="983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811"/>
        <w:gridCol w:w="1874"/>
        <w:gridCol w:w="1794"/>
        <w:gridCol w:w="2696"/>
        <w:gridCol w:w="2655"/>
      </w:tblGrid>
      <w:tr w:rsidR="00BF3E35" w:rsidRPr="00BF3E35" w14:paraId="23563317" w14:textId="77777777" w:rsidTr="00BF3E35">
        <w:trPr>
          <w:jc w:val="center"/>
        </w:trPr>
        <w:tc>
          <w:tcPr>
            <w:tcW w:w="811" w:type="dxa"/>
          </w:tcPr>
          <w:p w14:paraId="3826050B" w14:textId="77777777" w:rsidR="00BF3E35" w:rsidRPr="00BF3E35" w:rsidRDefault="00BF3E35" w:rsidP="00921D4E">
            <w:pPr>
              <w:spacing w:before="120" w:after="120"/>
              <w:jc w:val="center"/>
              <w:rPr>
                <w:rFonts w:ascii="Times New Roman" w:hAnsi="Times New Roman" w:cs="Times New Roman"/>
                <w:b/>
                <w:bCs/>
                <w:sz w:val="20"/>
                <w:szCs w:val="20"/>
              </w:rPr>
            </w:pPr>
            <w:r w:rsidRPr="00BF3E35">
              <w:rPr>
                <w:rFonts w:ascii="Times New Roman" w:hAnsi="Times New Roman" w:cs="Times New Roman"/>
                <w:b/>
                <w:bCs/>
                <w:sz w:val="20"/>
                <w:szCs w:val="20"/>
              </w:rPr>
              <w:t>No</w:t>
            </w:r>
          </w:p>
        </w:tc>
        <w:tc>
          <w:tcPr>
            <w:tcW w:w="1874" w:type="dxa"/>
          </w:tcPr>
          <w:p w14:paraId="259C533C" w14:textId="77777777" w:rsidR="00BF3E35" w:rsidRPr="00BF3E35" w:rsidRDefault="00BF3E35" w:rsidP="00921D4E">
            <w:pPr>
              <w:spacing w:before="120" w:after="120"/>
              <w:jc w:val="center"/>
              <w:rPr>
                <w:rFonts w:ascii="Times New Roman" w:hAnsi="Times New Roman" w:cs="Times New Roman"/>
                <w:b/>
                <w:bCs/>
                <w:sz w:val="20"/>
                <w:szCs w:val="20"/>
              </w:rPr>
            </w:pPr>
            <w:r w:rsidRPr="00BF3E35">
              <w:rPr>
                <w:rFonts w:ascii="Times New Roman" w:hAnsi="Times New Roman" w:cs="Times New Roman"/>
                <w:b/>
                <w:bCs/>
                <w:sz w:val="20"/>
                <w:szCs w:val="20"/>
              </w:rPr>
              <w:t>Full name</w:t>
            </w:r>
          </w:p>
        </w:tc>
        <w:tc>
          <w:tcPr>
            <w:tcW w:w="1794" w:type="dxa"/>
          </w:tcPr>
          <w:p w14:paraId="7931EF46" w14:textId="77777777" w:rsidR="00BF3E35" w:rsidRPr="00BF3E35" w:rsidRDefault="00BF3E35" w:rsidP="00921D4E">
            <w:pPr>
              <w:spacing w:before="120" w:after="120"/>
              <w:jc w:val="center"/>
              <w:rPr>
                <w:rFonts w:ascii="Times New Roman" w:hAnsi="Times New Roman" w:cs="Times New Roman"/>
                <w:b/>
                <w:bCs/>
                <w:sz w:val="20"/>
                <w:szCs w:val="20"/>
              </w:rPr>
            </w:pPr>
            <w:r w:rsidRPr="00BF3E35">
              <w:rPr>
                <w:rFonts w:ascii="Times New Roman" w:hAnsi="Times New Roman" w:cs="Times New Roman"/>
                <w:b/>
                <w:bCs/>
                <w:sz w:val="20"/>
                <w:szCs w:val="20"/>
              </w:rPr>
              <w:t>Abbreviated name</w:t>
            </w:r>
          </w:p>
        </w:tc>
        <w:tc>
          <w:tcPr>
            <w:tcW w:w="2696" w:type="dxa"/>
          </w:tcPr>
          <w:p w14:paraId="0BB53F67" w14:textId="77777777" w:rsidR="00BF3E35" w:rsidRPr="00BF3E35" w:rsidRDefault="00BF3E35" w:rsidP="00921D4E">
            <w:pPr>
              <w:spacing w:before="120" w:after="120"/>
              <w:jc w:val="center"/>
              <w:rPr>
                <w:rFonts w:ascii="Times New Roman" w:hAnsi="Times New Roman" w:cs="Times New Roman"/>
                <w:b/>
                <w:bCs/>
                <w:sz w:val="20"/>
                <w:szCs w:val="20"/>
              </w:rPr>
            </w:pPr>
            <w:r w:rsidRPr="00BF3E35">
              <w:rPr>
                <w:rFonts w:ascii="Times New Roman" w:hAnsi="Times New Roman" w:cs="Times New Roman"/>
                <w:b/>
                <w:bCs/>
                <w:sz w:val="20"/>
                <w:szCs w:val="20"/>
              </w:rPr>
              <w:t>Justification</w:t>
            </w:r>
          </w:p>
        </w:tc>
        <w:tc>
          <w:tcPr>
            <w:tcW w:w="2655" w:type="dxa"/>
          </w:tcPr>
          <w:p w14:paraId="434E0658" w14:textId="77777777" w:rsidR="00BF3E35" w:rsidRPr="00BF3E35" w:rsidRDefault="00BF3E35" w:rsidP="00921D4E">
            <w:pPr>
              <w:spacing w:before="120" w:after="120"/>
              <w:jc w:val="center"/>
              <w:rPr>
                <w:rFonts w:ascii="Times New Roman" w:hAnsi="Times New Roman" w:cs="Times New Roman"/>
                <w:b/>
                <w:bCs/>
                <w:sz w:val="20"/>
                <w:szCs w:val="20"/>
              </w:rPr>
            </w:pPr>
            <w:r w:rsidRPr="00BF3E35">
              <w:rPr>
                <w:rFonts w:ascii="Times New Roman" w:hAnsi="Times New Roman" w:cs="Times New Roman"/>
                <w:b/>
                <w:bCs/>
                <w:sz w:val="20"/>
                <w:szCs w:val="20"/>
              </w:rPr>
              <w:t>Data source</w:t>
            </w:r>
          </w:p>
        </w:tc>
      </w:tr>
      <w:tr w:rsidR="003A0A37" w:rsidRPr="00BF3E35" w14:paraId="22833D25" w14:textId="77777777" w:rsidTr="00926D39">
        <w:trPr>
          <w:jc w:val="center"/>
        </w:trPr>
        <w:tc>
          <w:tcPr>
            <w:tcW w:w="9830" w:type="dxa"/>
            <w:gridSpan w:val="5"/>
          </w:tcPr>
          <w:p w14:paraId="359B511B" w14:textId="3EA7E55F" w:rsidR="003A0A37" w:rsidRPr="00BF3E35" w:rsidRDefault="003A0A37" w:rsidP="003A0A37">
            <w:pPr>
              <w:spacing w:before="120" w:after="120"/>
              <w:rPr>
                <w:rFonts w:ascii="Times New Roman" w:hAnsi="Times New Roman" w:cs="Times New Roman"/>
                <w:b/>
                <w:bCs/>
                <w:sz w:val="20"/>
                <w:szCs w:val="20"/>
              </w:rPr>
            </w:pPr>
            <w:r>
              <w:rPr>
                <w:rFonts w:ascii="Times New Roman" w:hAnsi="Times New Roman" w:cs="Times New Roman"/>
                <w:b/>
                <w:bCs/>
                <w:sz w:val="20"/>
                <w:szCs w:val="20"/>
              </w:rPr>
              <w:t>Habitat loss model</w:t>
            </w:r>
          </w:p>
        </w:tc>
      </w:tr>
      <w:tr w:rsidR="00BF3E35" w:rsidRPr="00BF3E35" w14:paraId="550661BB" w14:textId="77777777" w:rsidTr="00BF3E35">
        <w:trPr>
          <w:jc w:val="center"/>
        </w:trPr>
        <w:tc>
          <w:tcPr>
            <w:tcW w:w="811" w:type="dxa"/>
          </w:tcPr>
          <w:p w14:paraId="3CF2BA05" w14:textId="77777777" w:rsidR="00BF3E35" w:rsidRPr="00BF3E35" w:rsidRDefault="00BF3E35" w:rsidP="00921D4E">
            <w:pPr>
              <w:jc w:val="center"/>
              <w:rPr>
                <w:rFonts w:ascii="Times New Roman" w:hAnsi="Times New Roman" w:cs="Times New Roman"/>
                <w:sz w:val="20"/>
                <w:szCs w:val="20"/>
              </w:rPr>
            </w:pPr>
            <w:r w:rsidRPr="00BF3E35">
              <w:rPr>
                <w:rFonts w:ascii="Times New Roman" w:hAnsi="Times New Roman" w:cs="Times New Roman"/>
                <w:sz w:val="20"/>
                <w:szCs w:val="20"/>
              </w:rPr>
              <w:t>1</w:t>
            </w:r>
          </w:p>
        </w:tc>
        <w:tc>
          <w:tcPr>
            <w:tcW w:w="1874" w:type="dxa"/>
          </w:tcPr>
          <w:p w14:paraId="46D7224A"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Terrain Ruggedness Index</w:t>
            </w:r>
          </w:p>
        </w:tc>
        <w:tc>
          <w:tcPr>
            <w:tcW w:w="1794" w:type="dxa"/>
          </w:tcPr>
          <w:p w14:paraId="464B4DDE"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tri</w:t>
            </w:r>
          </w:p>
        </w:tc>
        <w:tc>
          <w:tcPr>
            <w:tcW w:w="2696" w:type="dxa"/>
          </w:tcPr>
          <w:p w14:paraId="51F72772"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 xml:space="preserve">Topographical roughness was associated with deforestation </w:t>
            </w:r>
            <w:r w:rsidRPr="00BF3E35">
              <w:rPr>
                <w:rFonts w:ascii="Times New Roman" w:hAnsi="Times New Roman" w:cs="Times New Roman"/>
                <w:sz w:val="20"/>
                <w:szCs w:val="20"/>
              </w:rPr>
              <w:fldChar w:fldCharType="begin" w:fldLock="1"/>
            </w:r>
            <w:r w:rsidRPr="00BF3E35">
              <w:rPr>
                <w:rFonts w:ascii="Times New Roman" w:hAnsi="Times New Roman" w:cs="Times New Roman"/>
                <w:sz w:val="20"/>
                <w:szCs w:val="20"/>
              </w:rPr>
              <w:instrText>ADDIN CSL_CITATION {"citationItems":[{"id":"ITEM-1","itemData":{"DOI":"10.1007/s10980-017-0520-0","ISSN":"15729761","abstract":"Context: The forests of Borneo have among the highest biodiversity and also the highest forest loss rates on the planet. Objectives: Our objectives were to: (1) compare multiple modelling approaches, (2) evaluate the utility of landscape composition and configuration as predictors, (3) assess the influence of the ratio of forest loss and persistence points in the training sample, (4) identify the multiple-scale drivers of recent forest loss and (5) predict future forest loss risk across Borneo. Methods: We compared random forest machine learning and logistic regression in a multi-scale approach to model forest loss risk between 2000 and 2010 as a function of topographical variables and landscape structure, and applied the highest performing model to predict the spatial pattern of forest loss risk between 2010 and 2020. We utilized a naïve model as a null comparison and used the total operating characteristic AUC to assess model performance. Results: Our analysis produced five main results. We found that: (1) random forest consistently outperformed logistic regression and the naïve model; (2) including landscape structure variables substantially improved predictions; (3) a ratio of occurrence to non-occurrence points in the training dataset that does not match the actual ratio in the landscape biases the predictions of both random forest and logistic regression; (4) forest loss risk differed between the three nations that comprise Borneo, with patterns in Kalimantan highly related to distance from the edge of the previous frontier of forest loss, while Malaysian Borneo showed a more diffuse pattern related to the structure of the landscape; (5) we predicted continuing very high rates of forest loss in the 2010–2020 period, and produced maps of the expected risk of forest loss across the full extent of Borneo. Conclusions: These results confirm that multiple-scale modelling using landscape metrics as predictors in a random forest modelling framework is a powerful approach to landscape change modelling. There is immense immanent risk to Borneo’s forests, with clear spatial patterns of risk related to topography and landscape structure that differ between the three nations that comprise Borneo.","author":[{"dropping-particle":"","family":"Cushman","given":"Samuel A.","non-dropping-particle":"","parse-names":false,"suffix":""},{"dropping-particle":"","family":"Macdonald","given":"Ewan A.","non-dropping-particle":"","parse-names":false,"suffix":""},{"dropping-particle":"","family":"Landguth","given":"Erin L.","non-dropping-particle":"","parse-names":false,"suffix":""},{"dropping-particle":"","family":"Malhi","given":"Yadvinder","non-dropping-particle":"","parse-names":false,"suffix":""},{"dropping-particle":"","family":"Macdonald","given":"David W.","non-dropping-particle":"","parse-names":false,"suffix":""}],"container-title":"Landscape Ecology","id":"ITEM-1","issue":"8","issued":{"date-parts":[["2017"]]},"page":"1581-1598","title":"Multiple-scale prediction of forest loss risk across Borneo","type":"article-journal","volume":"32"},"uris":["http://www.mendeley.com/documents/?uuid=50064b86-d605-44ea-9bb8-e4247b20ec7b"]}],"mendeley":{"formattedCitation":"(Cushman et al., 2017)","plainTextFormattedCitation":"(Cushman et al., 2017)","previouslyFormattedCitation":"(Cushman et al., 2017)"},"properties":{"noteIndex":0},"schema":"https://github.com/citation-style-language/schema/raw/master/csl-citation.json"}</w:instrText>
            </w:r>
            <w:r w:rsidRPr="00BF3E35">
              <w:rPr>
                <w:rFonts w:ascii="Times New Roman" w:hAnsi="Times New Roman" w:cs="Times New Roman"/>
                <w:sz w:val="20"/>
                <w:szCs w:val="20"/>
              </w:rPr>
              <w:fldChar w:fldCharType="separate"/>
            </w:r>
            <w:r w:rsidRPr="00BF3E35">
              <w:rPr>
                <w:rFonts w:ascii="Times New Roman" w:hAnsi="Times New Roman" w:cs="Times New Roman"/>
                <w:noProof/>
                <w:sz w:val="20"/>
                <w:szCs w:val="20"/>
              </w:rPr>
              <w:t>(Cushman et al., 2017)</w:t>
            </w:r>
            <w:r w:rsidRPr="00BF3E35">
              <w:rPr>
                <w:rFonts w:ascii="Times New Roman" w:hAnsi="Times New Roman" w:cs="Times New Roman"/>
                <w:sz w:val="20"/>
                <w:szCs w:val="20"/>
              </w:rPr>
              <w:fldChar w:fldCharType="end"/>
            </w:r>
          </w:p>
        </w:tc>
        <w:tc>
          <w:tcPr>
            <w:tcW w:w="2655" w:type="dxa"/>
          </w:tcPr>
          <w:p w14:paraId="11B12C8A"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 xml:space="preserve">Digital Elevation Model by </w:t>
            </w:r>
            <w:r w:rsidRPr="00BF3E35">
              <w:rPr>
                <w:rFonts w:ascii="Times New Roman" w:hAnsi="Times New Roman" w:cs="Times New Roman"/>
                <w:sz w:val="20"/>
                <w:szCs w:val="20"/>
              </w:rPr>
              <w:fldChar w:fldCharType="begin" w:fldLock="1"/>
            </w:r>
            <w:r w:rsidRPr="00BF3E35">
              <w:rPr>
                <w:rFonts w:ascii="Times New Roman" w:hAnsi="Times New Roman" w:cs="Times New Roman"/>
                <w:sz w:val="20"/>
                <w:szCs w:val="20"/>
              </w:rPr>
              <w:instrText>ADDIN CSL_CITATION {"citationItems":[{"id":"ITEM-1","itemData":{"author":[{"dropping-particle":"","family":"Jarvis","given":"A","non-dropping-particle":"","parse-names":false,"suffix":""},{"dropping-particle":"","family":"Reuter","given":"H I","non-dropping-particle":"","parse-names":false,"suffix":""},{"dropping-particle":"","family":"Nelson","given":"A","non-dropping-particle":"","parse-names":false,"suffix":""},{"dropping-particle":"","family":"Guevara","given":"E","non-dropping-particle":"","parse-names":false,"suffix":""}],"id":"ITEM-1","issue":"January","issued":{"date-parts":[["2008"]]},"title":"Hole-filled seamless SRTM data Version 4, available from the CGIAR-CSI SRTM 90m Database.","type":"article"},"uris":["http://www.mendeley.com/documents/?uuid=8e12b2b6-908b-484e-af6a-fbd0d1455280"]}],"mendeley":{"formattedCitation":"(Jarvis et al., 2008)","manualFormatting":"Jarvis et al., 2008","plainTextFormattedCitation":"(Jarvis et al., 2008)","previouslyFormattedCitation":"(Jarvis et al., 2008)"},"properties":{"noteIndex":0},"schema":"https://github.com/citation-style-language/schema/raw/master/csl-citation.json"}</w:instrText>
            </w:r>
            <w:r w:rsidRPr="00BF3E35">
              <w:rPr>
                <w:rFonts w:ascii="Times New Roman" w:hAnsi="Times New Roman" w:cs="Times New Roman"/>
                <w:sz w:val="20"/>
                <w:szCs w:val="20"/>
              </w:rPr>
              <w:fldChar w:fldCharType="separate"/>
            </w:r>
            <w:r w:rsidRPr="00BF3E35">
              <w:rPr>
                <w:rFonts w:ascii="Times New Roman" w:hAnsi="Times New Roman" w:cs="Times New Roman"/>
                <w:noProof/>
                <w:sz w:val="20"/>
                <w:szCs w:val="20"/>
              </w:rPr>
              <w:t>Jarvis et al., 2008</w:t>
            </w:r>
            <w:r w:rsidRPr="00BF3E35">
              <w:rPr>
                <w:rFonts w:ascii="Times New Roman" w:hAnsi="Times New Roman" w:cs="Times New Roman"/>
                <w:sz w:val="20"/>
                <w:szCs w:val="20"/>
              </w:rPr>
              <w:fldChar w:fldCharType="end"/>
            </w:r>
          </w:p>
        </w:tc>
      </w:tr>
      <w:tr w:rsidR="00BF3E35" w:rsidRPr="00BF3E35" w14:paraId="090234FB" w14:textId="77777777" w:rsidTr="00BF3E35">
        <w:trPr>
          <w:jc w:val="center"/>
        </w:trPr>
        <w:tc>
          <w:tcPr>
            <w:tcW w:w="811" w:type="dxa"/>
          </w:tcPr>
          <w:p w14:paraId="70E0143A" w14:textId="77777777" w:rsidR="00BF3E35" w:rsidRPr="00BF3E35" w:rsidRDefault="00BF3E35" w:rsidP="00921D4E">
            <w:pPr>
              <w:jc w:val="center"/>
              <w:rPr>
                <w:rFonts w:ascii="Times New Roman" w:hAnsi="Times New Roman" w:cs="Times New Roman"/>
                <w:sz w:val="20"/>
                <w:szCs w:val="20"/>
              </w:rPr>
            </w:pPr>
            <w:r w:rsidRPr="00BF3E35">
              <w:rPr>
                <w:rFonts w:ascii="Times New Roman" w:hAnsi="Times New Roman" w:cs="Times New Roman"/>
                <w:sz w:val="20"/>
                <w:szCs w:val="20"/>
              </w:rPr>
              <w:t>2</w:t>
            </w:r>
          </w:p>
        </w:tc>
        <w:tc>
          <w:tcPr>
            <w:tcW w:w="1874" w:type="dxa"/>
          </w:tcPr>
          <w:p w14:paraId="5F74F858"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Minimum distance to village</w:t>
            </w:r>
          </w:p>
        </w:tc>
        <w:tc>
          <w:tcPr>
            <w:tcW w:w="1794" w:type="dxa"/>
          </w:tcPr>
          <w:p w14:paraId="25682ACD" w14:textId="7026257A" w:rsidR="00BF3E35" w:rsidRPr="00BF3E35" w:rsidRDefault="00073802" w:rsidP="00921D4E">
            <w:pPr>
              <w:rPr>
                <w:rFonts w:ascii="Times New Roman" w:hAnsi="Times New Roman" w:cs="Times New Roman"/>
                <w:sz w:val="20"/>
                <w:szCs w:val="20"/>
              </w:rPr>
            </w:pPr>
            <w:r>
              <w:rPr>
                <w:rFonts w:ascii="Times New Roman" w:hAnsi="Times New Roman" w:cs="Times New Roman"/>
                <w:sz w:val="20"/>
                <w:szCs w:val="20"/>
              </w:rPr>
              <w:t xml:space="preserve">dist. to </w:t>
            </w:r>
            <w:r w:rsidR="00BF3E35" w:rsidRPr="00BF3E35">
              <w:rPr>
                <w:rFonts w:ascii="Times New Roman" w:hAnsi="Times New Roman" w:cs="Times New Roman"/>
                <w:sz w:val="20"/>
                <w:szCs w:val="20"/>
              </w:rPr>
              <w:t xml:space="preserve">village </w:t>
            </w:r>
          </w:p>
        </w:tc>
        <w:tc>
          <w:tcPr>
            <w:tcW w:w="2696" w:type="dxa"/>
          </w:tcPr>
          <w:p w14:paraId="283EC45B"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Forest patches closer to settlements were highly vulnerable to deforestation</w:t>
            </w:r>
          </w:p>
        </w:tc>
        <w:tc>
          <w:tcPr>
            <w:tcW w:w="2655" w:type="dxa"/>
          </w:tcPr>
          <w:p w14:paraId="0AFF8E49"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Village points by Indonesian Geospatial Agency (BIG)</w:t>
            </w:r>
          </w:p>
        </w:tc>
      </w:tr>
      <w:tr w:rsidR="00BF3E35" w:rsidRPr="00BF3E35" w14:paraId="697D01B0" w14:textId="77777777" w:rsidTr="00BF3E35">
        <w:trPr>
          <w:jc w:val="center"/>
        </w:trPr>
        <w:tc>
          <w:tcPr>
            <w:tcW w:w="811" w:type="dxa"/>
          </w:tcPr>
          <w:p w14:paraId="34B725F9" w14:textId="77777777" w:rsidR="00BF3E35" w:rsidRPr="00BF3E35" w:rsidRDefault="00BF3E35" w:rsidP="00921D4E">
            <w:pPr>
              <w:jc w:val="center"/>
              <w:rPr>
                <w:rFonts w:ascii="Times New Roman" w:hAnsi="Times New Roman" w:cs="Times New Roman"/>
                <w:sz w:val="20"/>
                <w:szCs w:val="20"/>
              </w:rPr>
            </w:pPr>
            <w:r w:rsidRPr="00BF3E35">
              <w:rPr>
                <w:rFonts w:ascii="Times New Roman" w:hAnsi="Times New Roman" w:cs="Times New Roman"/>
                <w:sz w:val="20"/>
                <w:szCs w:val="20"/>
              </w:rPr>
              <w:t>3</w:t>
            </w:r>
          </w:p>
        </w:tc>
        <w:tc>
          <w:tcPr>
            <w:tcW w:w="1874" w:type="dxa"/>
          </w:tcPr>
          <w:p w14:paraId="7138A269"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Minimum distance to roads</w:t>
            </w:r>
          </w:p>
        </w:tc>
        <w:tc>
          <w:tcPr>
            <w:tcW w:w="1794" w:type="dxa"/>
          </w:tcPr>
          <w:p w14:paraId="24BB97FF" w14:textId="3037D56D"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dist</w:t>
            </w:r>
            <w:r w:rsidR="00073802">
              <w:rPr>
                <w:rFonts w:ascii="Times New Roman" w:hAnsi="Times New Roman" w:cs="Times New Roman"/>
                <w:sz w:val="20"/>
                <w:szCs w:val="20"/>
              </w:rPr>
              <w:t xml:space="preserve">. </w:t>
            </w:r>
            <w:r w:rsidRPr="00BF3E35">
              <w:rPr>
                <w:rFonts w:ascii="Times New Roman" w:hAnsi="Times New Roman" w:cs="Times New Roman"/>
                <w:sz w:val="20"/>
                <w:szCs w:val="20"/>
              </w:rPr>
              <w:t>to</w:t>
            </w:r>
            <w:r w:rsidR="00073802">
              <w:rPr>
                <w:rFonts w:ascii="Times New Roman" w:hAnsi="Times New Roman" w:cs="Times New Roman"/>
                <w:sz w:val="20"/>
                <w:szCs w:val="20"/>
              </w:rPr>
              <w:t xml:space="preserve"> </w:t>
            </w:r>
            <w:r w:rsidRPr="00BF3E35">
              <w:rPr>
                <w:rFonts w:ascii="Times New Roman" w:hAnsi="Times New Roman" w:cs="Times New Roman"/>
                <w:sz w:val="20"/>
                <w:szCs w:val="20"/>
              </w:rPr>
              <w:t>road</w:t>
            </w:r>
          </w:p>
        </w:tc>
        <w:tc>
          <w:tcPr>
            <w:tcW w:w="2696" w:type="dxa"/>
          </w:tcPr>
          <w:p w14:paraId="4BC2E33C"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 xml:space="preserve">Forest patches closer to roads were highly vulnerable to deforestation </w:t>
            </w:r>
            <w:r w:rsidRPr="00BF3E35">
              <w:rPr>
                <w:rFonts w:ascii="Times New Roman" w:hAnsi="Times New Roman" w:cs="Times New Roman"/>
                <w:sz w:val="20"/>
                <w:szCs w:val="20"/>
              </w:rPr>
              <w:fldChar w:fldCharType="begin" w:fldLock="1"/>
            </w:r>
            <w:r w:rsidRPr="00BF3E35">
              <w:rPr>
                <w:rFonts w:ascii="Times New Roman" w:hAnsi="Times New Roman" w:cs="Times New Roman"/>
                <w:sz w:val="20"/>
                <w:szCs w:val="20"/>
              </w:rPr>
              <w:instrText>ADDIN CSL_CITATION {"citationItems":[{"id":"ITEM-1","itemData":{"DOI":"10.1088/1748-9326/4/3/034013","ISSN":"17489326","abstract":"Payments for reduced carbon emissions from deforestation (RED) are now attracting attention as a way to halt tropical deforestation. Northern Sumatra comprises an area of 65 000km2 that is both the site of Indonesia's first planned RED initiative, and the stronghold of 92% of remaining Sumatran orangutans. Under current plans, this RED initiative will be implemented in a defined geographic area, essentially a newly established, 7500km2 protected area (PA) comprising mostly upland forest, where guards will be recruited to enforce forest protection. Meanwhile, new roads are currently under construction, while companies are converting lowland forests into oil palm plantations. This case study predicts the effectiveness of RED in reducing deforestation and conserving orangutans for two distinct scenarios: the current plan of implementing RED within the specific boundary of a new upland PA, and an alternative scenario of implementing RED across landscapes outside PAs. Our satellite-based spatially explicit deforestation model predicts that 1313km 2 of forest would be saved from deforestation by 2030, while forest cover present in 2006 would shrink by 22% (7913km2) across landscapes outside PAs if RED were only to be implemented in the upland PA. Meanwhile, orangutan habitat would reduce by 16% (1137km2), resulting in the conservative loss of 1384 orangutans, or 25% of the current total population with or without RED intervention. By contrast, an estimated 7824km2 of forest could be saved from deforestation, with maximum benefit for orangutan conservation, if RED were to be implemented across all remaining forest landscapes outside PAs. Here, RED payments would compensate land users for their opportunity costs in not converting unprotected forests into oil palm, while the construction of new roads to service the marketing of oil palm would be halted. Our predictions suggest that Indonesia's first RED initiative in an upland PA may not significantly reduce deforestation in northern Sumatra and would have little impact on orangutan conservation because a large amount of forest inside the project area is protected de facto by being inaccessible, while lowland forests will remain exposed to the combined expansion of high-revenue plantations and road networks. In contrast, RED would be more effective in terms of its conservation impact if payments were extended to all remaining carbon-rich tropical forests, including lowland peat swamp forests, the preferred habit…","author":[{"dropping-particle":"","family":"Gaveau","given":"David L. A.","non-dropping-particle":"","parse-names":false,"suffix":""},{"dropping-particle":"","family":"Wich","given":"Serge","non-dropping-particle":"","parse-names":false,"suffix":""},{"dropping-particle":"","family":"Epting","given":"Justin","non-dropping-particle":"","parse-names":false,"suffix":""},{"dropping-particle":"","family":"Juhn","given":"Daniel","non-dropping-particle":"","parse-names":false,"suffix":""},{"dropping-particle":"","family":"Kanninen","given":"Markku","non-dropping-particle":"","parse-names":false,"suffix":""},{"dropping-particle":"","family":"Leader-Williams","given":"Nigel","non-dropping-particle":"","parse-names":false,"suffix":""}],"container-title":"Environmental Research Letters","id":"ITEM-1","issue":"3","issued":{"date-parts":[["2009"]]},"page":"034013","title":"The future of forests and orangutans (Pongo abelii) in Sumatra: Predicting impacts of oil palm plantations, road construction, and mechanisms for reducing carbon emissions from deforestation","type":"article-journal","volume":"4"},"uris":["http://www.mendeley.com/documents/?uuid=59daf365-394f-4d7e-a4d2-a06f53bae920"]}],"mendeley":{"formattedCitation":"(Gaveau et al., 2009)","plainTextFormattedCitation":"(Gaveau et al., 2009)","previouslyFormattedCitation":"(Gaveau et al., 2009)"},"properties":{"noteIndex":0},"schema":"https://github.com/citation-style-language/schema/raw/master/csl-citation.json"}</w:instrText>
            </w:r>
            <w:r w:rsidRPr="00BF3E35">
              <w:rPr>
                <w:rFonts w:ascii="Times New Roman" w:hAnsi="Times New Roman" w:cs="Times New Roman"/>
                <w:sz w:val="20"/>
                <w:szCs w:val="20"/>
              </w:rPr>
              <w:fldChar w:fldCharType="separate"/>
            </w:r>
            <w:r w:rsidRPr="00BF3E35">
              <w:rPr>
                <w:rFonts w:ascii="Times New Roman" w:hAnsi="Times New Roman" w:cs="Times New Roman"/>
                <w:noProof/>
                <w:sz w:val="20"/>
                <w:szCs w:val="20"/>
              </w:rPr>
              <w:t>(Gaveau et al., 2009)</w:t>
            </w:r>
            <w:r w:rsidRPr="00BF3E35">
              <w:rPr>
                <w:rFonts w:ascii="Times New Roman" w:hAnsi="Times New Roman" w:cs="Times New Roman"/>
                <w:sz w:val="20"/>
                <w:szCs w:val="20"/>
              </w:rPr>
              <w:fldChar w:fldCharType="end"/>
            </w:r>
            <w:r w:rsidRPr="00BF3E35">
              <w:rPr>
                <w:rFonts w:ascii="Times New Roman" w:hAnsi="Times New Roman" w:cs="Times New Roman"/>
                <w:sz w:val="20"/>
                <w:szCs w:val="20"/>
              </w:rPr>
              <w:t>.</w:t>
            </w:r>
          </w:p>
        </w:tc>
        <w:tc>
          <w:tcPr>
            <w:tcW w:w="2655" w:type="dxa"/>
          </w:tcPr>
          <w:p w14:paraId="0E944739"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Road networks by Indonesian Geospatial Agency (BIG)</w:t>
            </w:r>
          </w:p>
        </w:tc>
      </w:tr>
      <w:tr w:rsidR="00BF3E35" w:rsidRPr="00BF3E35" w14:paraId="391B5E98" w14:textId="77777777" w:rsidTr="00BF3E35">
        <w:trPr>
          <w:jc w:val="center"/>
        </w:trPr>
        <w:tc>
          <w:tcPr>
            <w:tcW w:w="811" w:type="dxa"/>
          </w:tcPr>
          <w:p w14:paraId="7BB6AEAD" w14:textId="77777777" w:rsidR="00BF3E35" w:rsidRPr="00BF3E35" w:rsidRDefault="00BF3E35" w:rsidP="00921D4E">
            <w:pPr>
              <w:jc w:val="center"/>
              <w:rPr>
                <w:rFonts w:ascii="Times New Roman" w:hAnsi="Times New Roman" w:cs="Times New Roman"/>
                <w:sz w:val="20"/>
                <w:szCs w:val="20"/>
              </w:rPr>
            </w:pPr>
            <w:r w:rsidRPr="00BF3E35">
              <w:rPr>
                <w:rFonts w:ascii="Times New Roman" w:hAnsi="Times New Roman" w:cs="Times New Roman"/>
                <w:sz w:val="20"/>
                <w:szCs w:val="20"/>
              </w:rPr>
              <w:t>4</w:t>
            </w:r>
          </w:p>
        </w:tc>
        <w:tc>
          <w:tcPr>
            <w:tcW w:w="1874" w:type="dxa"/>
          </w:tcPr>
          <w:p w14:paraId="2A5818B6"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Minimum distance to river</w:t>
            </w:r>
          </w:p>
        </w:tc>
        <w:tc>
          <w:tcPr>
            <w:tcW w:w="1794" w:type="dxa"/>
          </w:tcPr>
          <w:p w14:paraId="10B8CD52" w14:textId="655140EC"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dist</w:t>
            </w:r>
            <w:r w:rsidR="00073802">
              <w:rPr>
                <w:rFonts w:ascii="Times New Roman" w:hAnsi="Times New Roman" w:cs="Times New Roman"/>
                <w:sz w:val="20"/>
                <w:szCs w:val="20"/>
              </w:rPr>
              <w:t xml:space="preserve">. </w:t>
            </w:r>
            <w:r w:rsidRPr="00BF3E35">
              <w:rPr>
                <w:rFonts w:ascii="Times New Roman" w:hAnsi="Times New Roman" w:cs="Times New Roman"/>
                <w:sz w:val="20"/>
                <w:szCs w:val="20"/>
              </w:rPr>
              <w:t>to</w:t>
            </w:r>
            <w:r w:rsidR="00073802">
              <w:rPr>
                <w:rFonts w:ascii="Times New Roman" w:hAnsi="Times New Roman" w:cs="Times New Roman"/>
                <w:sz w:val="20"/>
                <w:szCs w:val="20"/>
              </w:rPr>
              <w:t xml:space="preserve"> </w:t>
            </w:r>
            <w:r w:rsidRPr="00BF3E35">
              <w:rPr>
                <w:rFonts w:ascii="Times New Roman" w:hAnsi="Times New Roman" w:cs="Times New Roman"/>
                <w:sz w:val="20"/>
                <w:szCs w:val="20"/>
              </w:rPr>
              <w:t>river</w:t>
            </w:r>
          </w:p>
        </w:tc>
        <w:tc>
          <w:tcPr>
            <w:tcW w:w="2696" w:type="dxa"/>
          </w:tcPr>
          <w:p w14:paraId="1CA9760B"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Forest clearance activities were likely occurred close to river</w:t>
            </w:r>
          </w:p>
        </w:tc>
        <w:tc>
          <w:tcPr>
            <w:tcW w:w="2655" w:type="dxa"/>
          </w:tcPr>
          <w:p w14:paraId="2C2240C4"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River networks by Indonesian Geospatial Agency (BIG)</w:t>
            </w:r>
          </w:p>
        </w:tc>
      </w:tr>
      <w:tr w:rsidR="00BF3E35" w:rsidRPr="00BF3E35" w14:paraId="6F3B3DAF" w14:textId="77777777" w:rsidTr="00BF3E35">
        <w:trPr>
          <w:jc w:val="center"/>
        </w:trPr>
        <w:tc>
          <w:tcPr>
            <w:tcW w:w="811" w:type="dxa"/>
          </w:tcPr>
          <w:p w14:paraId="6A08BA51" w14:textId="77777777" w:rsidR="00BF3E35" w:rsidRPr="00BF3E35" w:rsidRDefault="00BF3E35" w:rsidP="00921D4E">
            <w:pPr>
              <w:jc w:val="center"/>
              <w:rPr>
                <w:rFonts w:ascii="Times New Roman" w:hAnsi="Times New Roman" w:cs="Times New Roman"/>
                <w:sz w:val="20"/>
                <w:szCs w:val="20"/>
              </w:rPr>
            </w:pPr>
            <w:r w:rsidRPr="00BF3E35">
              <w:rPr>
                <w:rFonts w:ascii="Times New Roman" w:hAnsi="Times New Roman" w:cs="Times New Roman"/>
                <w:sz w:val="20"/>
                <w:szCs w:val="20"/>
              </w:rPr>
              <w:lastRenderedPageBreak/>
              <w:t>5</w:t>
            </w:r>
          </w:p>
        </w:tc>
        <w:tc>
          <w:tcPr>
            <w:tcW w:w="1874" w:type="dxa"/>
          </w:tcPr>
          <w:p w14:paraId="6BE0B21B"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Minimum distance to forest edge in 2000</w:t>
            </w:r>
          </w:p>
        </w:tc>
        <w:tc>
          <w:tcPr>
            <w:tcW w:w="1794" w:type="dxa"/>
          </w:tcPr>
          <w:p w14:paraId="261D993E" w14:textId="4ED5E312"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dist</w:t>
            </w:r>
            <w:r w:rsidR="00073802">
              <w:rPr>
                <w:rFonts w:ascii="Times New Roman" w:hAnsi="Times New Roman" w:cs="Times New Roman"/>
                <w:sz w:val="20"/>
                <w:szCs w:val="20"/>
              </w:rPr>
              <w:t xml:space="preserve">. </w:t>
            </w:r>
            <w:r w:rsidRPr="00BF3E35">
              <w:rPr>
                <w:rFonts w:ascii="Times New Roman" w:hAnsi="Times New Roman" w:cs="Times New Roman"/>
                <w:sz w:val="20"/>
                <w:szCs w:val="20"/>
              </w:rPr>
              <w:t>to</w:t>
            </w:r>
            <w:r w:rsidR="00073802">
              <w:rPr>
                <w:rFonts w:ascii="Times New Roman" w:hAnsi="Times New Roman" w:cs="Times New Roman"/>
                <w:sz w:val="20"/>
                <w:szCs w:val="20"/>
              </w:rPr>
              <w:t xml:space="preserve"> </w:t>
            </w:r>
            <w:r w:rsidRPr="00BF3E35">
              <w:rPr>
                <w:rFonts w:ascii="Times New Roman" w:hAnsi="Times New Roman" w:cs="Times New Roman"/>
                <w:sz w:val="20"/>
                <w:szCs w:val="20"/>
              </w:rPr>
              <w:t>forest</w:t>
            </w:r>
            <w:r w:rsidR="00073802">
              <w:rPr>
                <w:rFonts w:ascii="Times New Roman" w:hAnsi="Times New Roman" w:cs="Times New Roman"/>
                <w:sz w:val="20"/>
                <w:szCs w:val="20"/>
              </w:rPr>
              <w:t xml:space="preserve"> </w:t>
            </w:r>
            <w:r w:rsidRPr="00BF3E35">
              <w:rPr>
                <w:rFonts w:ascii="Times New Roman" w:hAnsi="Times New Roman" w:cs="Times New Roman"/>
                <w:sz w:val="20"/>
                <w:szCs w:val="20"/>
              </w:rPr>
              <w:t>edge</w:t>
            </w:r>
          </w:p>
        </w:tc>
        <w:tc>
          <w:tcPr>
            <w:tcW w:w="2696" w:type="dxa"/>
          </w:tcPr>
          <w:p w14:paraId="588C947F"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 xml:space="preserve">Forest patches closer to forest edge were highly vulnerable to deforestation </w:t>
            </w:r>
            <w:r w:rsidRPr="00BF3E35">
              <w:rPr>
                <w:rFonts w:ascii="Times New Roman" w:hAnsi="Times New Roman" w:cs="Times New Roman"/>
                <w:sz w:val="20"/>
                <w:szCs w:val="20"/>
              </w:rPr>
              <w:fldChar w:fldCharType="begin" w:fldLock="1"/>
            </w:r>
            <w:r w:rsidRPr="00BF3E35">
              <w:rPr>
                <w:rFonts w:ascii="Times New Roman" w:hAnsi="Times New Roman" w:cs="Times New Roman"/>
                <w:sz w:val="20"/>
                <w:szCs w:val="20"/>
              </w:rPr>
              <w:instrText>ADDIN CSL_CITATION {"citationItems":[{"id":"ITEM-1","itemData":{"DOI":"10.1088/1748-9326/4/3/034013","ISSN":"17489326","abstract":"Payments for reduced carbon emissions from deforestation (RED) are now attracting attention as a way to halt tropical deforestation. Northern Sumatra comprises an area of 65 000km2 that is both the site of Indonesia's first planned RED initiative, and the stronghold of 92% of remaining Sumatran orangutans. Under current plans, this RED initiative will be implemented in a defined geographic area, essentially a newly established, 7500km2 protected area (PA) comprising mostly upland forest, where guards will be recruited to enforce forest protection. Meanwhile, new roads are currently under construction, while companies are converting lowland forests into oil palm plantations. This case study predicts the effectiveness of RED in reducing deforestation and conserving orangutans for two distinct scenarios: the current plan of implementing RED within the specific boundary of a new upland PA, and an alternative scenario of implementing RED across landscapes outside PAs. Our satellite-based spatially explicit deforestation model predicts that 1313km 2 of forest would be saved from deforestation by 2030, while forest cover present in 2006 would shrink by 22% (7913km2) across landscapes outside PAs if RED were only to be implemented in the upland PA. Meanwhile, orangutan habitat would reduce by 16% (1137km2), resulting in the conservative loss of 1384 orangutans, or 25% of the current total population with or without RED intervention. By contrast, an estimated 7824km2 of forest could be saved from deforestation, with maximum benefit for orangutan conservation, if RED were to be implemented across all remaining forest landscapes outside PAs. Here, RED payments would compensate land users for their opportunity costs in not converting unprotected forests into oil palm, while the construction of new roads to service the marketing of oil palm would be halted. Our predictions suggest that Indonesia's first RED initiative in an upland PA may not significantly reduce deforestation in northern Sumatra and would have little impact on orangutan conservation because a large amount of forest inside the project area is protected de facto by being inaccessible, while lowland forests will remain exposed to the combined expansion of high-revenue plantations and road networks. In contrast, RED would be more effective in terms of its conservation impact if payments were extended to all remaining carbon-rich tropical forests, including lowland peat swamp forests, the preferred habit…","author":[{"dropping-particle":"","family":"Gaveau","given":"David L. A.","non-dropping-particle":"","parse-names":false,"suffix":""},{"dropping-particle":"","family":"Wich","given":"Serge","non-dropping-particle":"","parse-names":false,"suffix":""},{"dropping-particle":"","family":"Epting","given":"Justin","non-dropping-particle":"","parse-names":false,"suffix":""},{"dropping-particle":"","family":"Juhn","given":"Daniel","non-dropping-particle":"","parse-names":false,"suffix":""},{"dropping-particle":"","family":"Kanninen","given":"Markku","non-dropping-particle":"","parse-names":false,"suffix":""},{"dropping-particle":"","family":"Leader-Williams","given":"Nigel","non-dropping-particle":"","parse-names":false,"suffix":""}],"container-title":"Environmental Research Letters","id":"ITEM-1","issue":"3","issued":{"date-parts":[["2009"]]},"page":"034013","title":"The future of forests and orangutans (Pongo abelii) in Sumatra: Predicting impacts of oil palm plantations, road construction, and mechanisms for reducing carbon emissions from deforestation","type":"article-journal","volume":"4"},"uris":["http://www.mendeley.com/documents/?uuid=59daf365-394f-4d7e-a4d2-a06f53bae920"]}],"mendeley":{"formattedCitation":"(Gaveau et al., 2009)","plainTextFormattedCitation":"(Gaveau et al., 2009)","previouslyFormattedCitation":"(Gaveau et al., 2009)"},"properties":{"noteIndex":0},"schema":"https://github.com/citation-style-language/schema/raw/master/csl-citation.json"}</w:instrText>
            </w:r>
            <w:r w:rsidRPr="00BF3E35">
              <w:rPr>
                <w:rFonts w:ascii="Times New Roman" w:hAnsi="Times New Roman" w:cs="Times New Roman"/>
                <w:sz w:val="20"/>
                <w:szCs w:val="20"/>
              </w:rPr>
              <w:fldChar w:fldCharType="separate"/>
            </w:r>
            <w:r w:rsidRPr="00BF3E35">
              <w:rPr>
                <w:rFonts w:ascii="Times New Roman" w:hAnsi="Times New Roman" w:cs="Times New Roman"/>
                <w:noProof/>
                <w:sz w:val="20"/>
                <w:szCs w:val="20"/>
              </w:rPr>
              <w:t>(Gaveau et al., 2009)</w:t>
            </w:r>
            <w:r w:rsidRPr="00BF3E35">
              <w:rPr>
                <w:rFonts w:ascii="Times New Roman" w:hAnsi="Times New Roman" w:cs="Times New Roman"/>
                <w:sz w:val="20"/>
                <w:szCs w:val="20"/>
              </w:rPr>
              <w:fldChar w:fldCharType="end"/>
            </w:r>
            <w:r w:rsidRPr="00BF3E35">
              <w:rPr>
                <w:rFonts w:ascii="Times New Roman" w:hAnsi="Times New Roman" w:cs="Times New Roman"/>
                <w:sz w:val="20"/>
                <w:szCs w:val="20"/>
              </w:rPr>
              <w:t>.</w:t>
            </w:r>
          </w:p>
        </w:tc>
        <w:tc>
          <w:tcPr>
            <w:tcW w:w="2655" w:type="dxa"/>
          </w:tcPr>
          <w:p w14:paraId="2429B616"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Land use and land cover by Ministry of Environmental Forestry, 2018</w:t>
            </w:r>
          </w:p>
        </w:tc>
      </w:tr>
      <w:tr w:rsidR="00BF3E35" w:rsidRPr="00BF3E35" w14:paraId="3CBD2B62" w14:textId="77777777" w:rsidTr="00BF3E35">
        <w:trPr>
          <w:jc w:val="center"/>
        </w:trPr>
        <w:tc>
          <w:tcPr>
            <w:tcW w:w="811" w:type="dxa"/>
          </w:tcPr>
          <w:p w14:paraId="4EBA5EA8" w14:textId="77777777" w:rsidR="00BF3E35" w:rsidRPr="00BF3E35" w:rsidRDefault="00BF3E35" w:rsidP="00921D4E">
            <w:pPr>
              <w:jc w:val="center"/>
              <w:rPr>
                <w:rFonts w:ascii="Times New Roman" w:hAnsi="Times New Roman" w:cs="Times New Roman"/>
                <w:sz w:val="20"/>
                <w:szCs w:val="20"/>
              </w:rPr>
            </w:pPr>
            <w:r w:rsidRPr="00BF3E35">
              <w:rPr>
                <w:rFonts w:ascii="Times New Roman" w:hAnsi="Times New Roman" w:cs="Times New Roman"/>
                <w:sz w:val="20"/>
                <w:szCs w:val="20"/>
              </w:rPr>
              <w:t>6</w:t>
            </w:r>
          </w:p>
        </w:tc>
        <w:tc>
          <w:tcPr>
            <w:tcW w:w="1874" w:type="dxa"/>
          </w:tcPr>
          <w:p w14:paraId="5ECE2514"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Minimum distance to oil palm plantation</w:t>
            </w:r>
          </w:p>
        </w:tc>
        <w:tc>
          <w:tcPr>
            <w:tcW w:w="1794" w:type="dxa"/>
          </w:tcPr>
          <w:p w14:paraId="25714623" w14:textId="0EEE75F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dist</w:t>
            </w:r>
            <w:r w:rsidR="00073802">
              <w:rPr>
                <w:rFonts w:ascii="Times New Roman" w:hAnsi="Times New Roman" w:cs="Times New Roman"/>
                <w:sz w:val="20"/>
                <w:szCs w:val="20"/>
              </w:rPr>
              <w:t xml:space="preserve">. </w:t>
            </w:r>
            <w:r w:rsidRPr="00BF3E35">
              <w:rPr>
                <w:rFonts w:ascii="Times New Roman" w:hAnsi="Times New Roman" w:cs="Times New Roman"/>
                <w:sz w:val="20"/>
                <w:szCs w:val="20"/>
              </w:rPr>
              <w:t>to</w:t>
            </w:r>
            <w:r w:rsidR="00073802">
              <w:rPr>
                <w:rFonts w:ascii="Times New Roman" w:hAnsi="Times New Roman" w:cs="Times New Roman"/>
                <w:sz w:val="20"/>
                <w:szCs w:val="20"/>
              </w:rPr>
              <w:t xml:space="preserve"> </w:t>
            </w:r>
            <w:r w:rsidRPr="00BF3E35">
              <w:rPr>
                <w:rFonts w:ascii="Times New Roman" w:hAnsi="Times New Roman" w:cs="Times New Roman"/>
                <w:sz w:val="20"/>
                <w:szCs w:val="20"/>
              </w:rPr>
              <w:t>oilpalm</w:t>
            </w:r>
          </w:p>
        </w:tc>
        <w:tc>
          <w:tcPr>
            <w:tcW w:w="2696" w:type="dxa"/>
          </w:tcPr>
          <w:p w14:paraId="059C6657"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 xml:space="preserve">Vulnerable areas for deforestation were associated with the expansion of oil palm plantations </w:t>
            </w:r>
            <w:r w:rsidRPr="00BF3E35">
              <w:rPr>
                <w:rFonts w:ascii="Times New Roman" w:hAnsi="Times New Roman" w:cs="Times New Roman"/>
                <w:sz w:val="20"/>
                <w:szCs w:val="20"/>
              </w:rPr>
              <w:fldChar w:fldCharType="begin" w:fldLock="1"/>
            </w:r>
            <w:r w:rsidRPr="00BF3E35">
              <w:rPr>
                <w:rFonts w:ascii="Times New Roman" w:hAnsi="Times New Roman" w:cs="Times New Roman"/>
                <w:sz w:val="20"/>
                <w:szCs w:val="20"/>
              </w:rPr>
              <w:instrText>ADDIN CSL_CITATION {"citationItems":[{"id":"ITEM-1","itemData":{"abstract":"Palm oil is the most widely traded vegetable oil globally, with demand projected to increase substantially in the future. Almost all oil palm grows in areas that were once tropical moist forests, some of them quite recently. The conversion to date, and future expansion, threatens biodiversity and increases greenhouse gas emissions. Today, consumer pressure is pushing companies toward deforestation-free sources of palm oil. To guide interventions aimed at reducing tropical deforestation due to oil palm, we analysed recent expansions and modelled likely future ones. We assessed sample areas to find where oil palm plantations have recently replaced forests in 20 countries, using a combination of high-resolution imagery from Google Earth and Landsat. We then compared these trends to countrywide trends in FAO data for oil palm planted area. Finally, we assessed which forests have high agricultural suitability for future oil palm development, which we refer to as vulnerable forests, and identified critical areas for biodiversity that oil palm expansion threatens. Our analysis reveals regional trends in deforestation associated with oil palm agriculture. In Southeast Asia, 45% of sampled oil palm plantations came from areas that were forests in 1989. For South America, the percentage was 31%. By contrast, in Mesoamerica and Africa, we observed only 2% and 7% of oil palm plantations coming from areas that were forest in 1989. The largest areas of vulnerable forest are in Africa and South America. Vulnerable forests in all four regions of production contain globally high concentrations of mammal and bird species at risk of extinction. However, priority areas for biodiversity conservation differ based on taxa and criteria used. Government regulation and voluntary market interventions can help incentivize the expansion of oil palm plantations in ways that protect biodiversity-rich ecosystems.","author":[{"dropping-particle":"","family":"Vijay","given":"Varsha","non-dropping-particle":"","parse-names":false,"suffix":""},{"dropping-particle":"","family":"Pimm","given":"Stuart L","non-dropping-particle":"","parse-names":false,"suffix":""},{"dropping-particle":"","family":"Jenkins","given":"Clinton N","non-dropping-particle":"","parse-names":false,"suffix":""},{"dropping-particle":"","family":"Smith","given":"Sharon J","non-dropping-particle":"","parse-names":false,"suffix":""}],"container-title":"PLOS ONE","id":"ITEM-1","issue":"7","issued":{"date-parts":[["2016","7","27"]]},"page":"e0159668","title":"The Impacts of Oil Palm on Recent Deforestation and Biodiversity Loss","type":"article-journal","volume":"11"},"uris":["http://www.mendeley.com/documents/?uuid=7203840c-6d4f-40ae-b249-143afefdcab6"]}],"mendeley":{"formattedCitation":"(Vijay et al., 2016)","plainTextFormattedCitation":"(Vijay et al., 2016)","previouslyFormattedCitation":"(Vijay et al., 2016)"},"properties":{"noteIndex":0},"schema":"https://github.com/citation-style-language/schema/raw/master/csl-citation.json"}</w:instrText>
            </w:r>
            <w:r w:rsidRPr="00BF3E35">
              <w:rPr>
                <w:rFonts w:ascii="Times New Roman" w:hAnsi="Times New Roman" w:cs="Times New Roman"/>
                <w:sz w:val="20"/>
                <w:szCs w:val="20"/>
              </w:rPr>
              <w:fldChar w:fldCharType="separate"/>
            </w:r>
            <w:r w:rsidRPr="00BF3E35">
              <w:rPr>
                <w:rFonts w:ascii="Times New Roman" w:hAnsi="Times New Roman" w:cs="Times New Roman"/>
                <w:noProof/>
                <w:sz w:val="20"/>
                <w:szCs w:val="20"/>
              </w:rPr>
              <w:t>(Vijay et al., 2016)</w:t>
            </w:r>
            <w:r w:rsidRPr="00BF3E35">
              <w:rPr>
                <w:rFonts w:ascii="Times New Roman" w:hAnsi="Times New Roman" w:cs="Times New Roman"/>
                <w:sz w:val="20"/>
                <w:szCs w:val="20"/>
              </w:rPr>
              <w:fldChar w:fldCharType="end"/>
            </w:r>
          </w:p>
        </w:tc>
        <w:tc>
          <w:tcPr>
            <w:tcW w:w="2655" w:type="dxa"/>
          </w:tcPr>
          <w:p w14:paraId="5C0EBEDE"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 xml:space="preserve">The extent of oil palm plantation in South East Asia between 1980 and 2017 by </w:t>
            </w:r>
            <w:r w:rsidRPr="00BF3E35">
              <w:rPr>
                <w:rFonts w:ascii="Times New Roman" w:hAnsi="Times New Roman" w:cs="Times New Roman"/>
                <w:sz w:val="20"/>
                <w:szCs w:val="20"/>
              </w:rPr>
              <w:fldChar w:fldCharType="begin" w:fldLock="1"/>
            </w:r>
            <w:r w:rsidRPr="00BF3E35">
              <w:rPr>
                <w:rFonts w:ascii="Times New Roman" w:hAnsi="Times New Roman" w:cs="Times New Roman"/>
                <w:sz w:val="20"/>
                <w:szCs w:val="20"/>
              </w:rPr>
              <w:instrText>ADDIN CSL_CITATION {"citationItems":[{"id":"ITEM-1","itemData":{"DOI":"10.1038/s41597-021-00867-1","ISSN":"20524463","PMID":"33785753","abstract":"In recent decades, global oil palm production has shown an abrupt increase, with almost 90% produced in Southeast Asia alone. To understand trends in oil palm plantation expansion and for landscape-level planning, accurate maps are needed. Although different oil palm maps have been produced using remote sensing in the past, here we use Sentinel 1 imagery to generate an oil palm plantation map for Indonesia, Malaysia and Thailand for the year 2017. In addition to location, the age of the oil palm plantation is critical for calculating yields. Here we have used a Landsat time series approach to determine the year in which the oil palm plantations are first detected, at which point they are 2 to 3 years of age. From this, the approximate age of the oil palm plantation in 2017 can be derived.","author":[{"dropping-particle":"","family":"Danylo","given":"Olga","non-dropping-particle":"","parse-names":false,"suffix":""},{"dropping-particle":"","family":"Pirker","given":"Johannes","non-dropping-particle":"","parse-names":false,"suffix":""},{"dropping-particle":"","family":"Lemoine","given":"Guido","non-dropping-particle":"","parse-names":false,"suffix":""},{"dropping-particle":"","family":"Ceccherini","given":"Guido","non-dropping-particle":"","parse-names":false,"suffix":""},{"dropping-particle":"","family":"See","given":"Linda","non-dropping-particle":"","parse-names":false,"suffix":""},{"dropping-particle":"","family":"McCallum","given":"Ian","non-dropping-particle":"","parse-names":false,"suffix":""},{"dropping-particle":"","family":"Hadi","given":"","non-dropping-particle":"","parse-names":false,"suffix":""},{"dropping-particle":"","family":"Kraxner","given":"Florian","non-dropping-particle":"","parse-names":false,"suffix":""},{"dropping-particle":"","family":"Achard","given":"Frédéric","non-dropping-particle":"","parse-names":false,"suffix":""},{"dropping-particle":"","family":"Fritz","given":"Steffen","non-dropping-particle":"","parse-names":false,"suffix":""}],"container-title":"Scientific Data","id":"ITEM-1","issue":"1","issued":{"date-parts":[["2021"]]},"page":"4-11","title":"A map of the extent and year of detection of oil palm plantations in Indonesia, Malaysia and Thailand","type":"article-journal","volume":"8"},"uris":["http://www.mendeley.com/documents/?uuid=eae474af-931b-4d36-ae44-eedd2aed13c6"]}],"mendeley":{"formattedCitation":"(Danylo et al., 2021)","manualFormatting":"Danylo et al., 2021","plainTextFormattedCitation":"(Danylo et al., 2021)","previouslyFormattedCitation":"(Danylo et al., 2021)"},"properties":{"noteIndex":0},"schema":"https://github.com/citation-style-language/schema/raw/master/csl-citation.json"}</w:instrText>
            </w:r>
            <w:r w:rsidRPr="00BF3E35">
              <w:rPr>
                <w:rFonts w:ascii="Times New Roman" w:hAnsi="Times New Roman" w:cs="Times New Roman"/>
                <w:sz w:val="20"/>
                <w:szCs w:val="20"/>
              </w:rPr>
              <w:fldChar w:fldCharType="separate"/>
            </w:r>
            <w:r w:rsidRPr="00BF3E35">
              <w:rPr>
                <w:rFonts w:ascii="Times New Roman" w:hAnsi="Times New Roman" w:cs="Times New Roman"/>
                <w:noProof/>
                <w:sz w:val="20"/>
                <w:szCs w:val="20"/>
              </w:rPr>
              <w:t>Danylo et al., 2021</w:t>
            </w:r>
            <w:r w:rsidRPr="00BF3E35">
              <w:rPr>
                <w:rFonts w:ascii="Times New Roman" w:hAnsi="Times New Roman" w:cs="Times New Roman"/>
                <w:sz w:val="20"/>
                <w:szCs w:val="20"/>
              </w:rPr>
              <w:fldChar w:fldCharType="end"/>
            </w:r>
          </w:p>
        </w:tc>
      </w:tr>
      <w:tr w:rsidR="003A0A37" w:rsidRPr="003A0A37" w14:paraId="62EB17DD" w14:textId="77777777" w:rsidTr="00A20ACB">
        <w:trPr>
          <w:jc w:val="center"/>
        </w:trPr>
        <w:tc>
          <w:tcPr>
            <w:tcW w:w="9830" w:type="dxa"/>
            <w:gridSpan w:val="5"/>
          </w:tcPr>
          <w:p w14:paraId="0FA5B3B0" w14:textId="4480D2AC" w:rsidR="003A0A37" w:rsidRPr="003A0A37" w:rsidRDefault="003A0A37" w:rsidP="003A0A37">
            <w:pPr>
              <w:spacing w:before="120" w:after="120"/>
              <w:rPr>
                <w:rFonts w:ascii="Times New Roman" w:hAnsi="Times New Roman" w:cs="Times New Roman"/>
                <w:b/>
                <w:bCs/>
                <w:sz w:val="20"/>
                <w:szCs w:val="20"/>
              </w:rPr>
            </w:pPr>
            <w:r>
              <w:rPr>
                <w:rFonts w:ascii="Times New Roman" w:hAnsi="Times New Roman" w:cs="Times New Roman"/>
                <w:b/>
                <w:bCs/>
                <w:sz w:val="20"/>
                <w:szCs w:val="20"/>
              </w:rPr>
              <w:t>Occupancy model</w:t>
            </w:r>
          </w:p>
        </w:tc>
      </w:tr>
      <w:tr w:rsidR="00BF3E35" w:rsidRPr="00BF3E35" w14:paraId="145736AA" w14:textId="77777777" w:rsidTr="00BF3E35">
        <w:trPr>
          <w:jc w:val="center"/>
        </w:trPr>
        <w:tc>
          <w:tcPr>
            <w:tcW w:w="811" w:type="dxa"/>
          </w:tcPr>
          <w:p w14:paraId="4036152F" w14:textId="77777777" w:rsidR="00BF3E35" w:rsidRPr="00BF3E35" w:rsidRDefault="00BF3E35" w:rsidP="00921D4E">
            <w:pPr>
              <w:jc w:val="center"/>
              <w:rPr>
                <w:rFonts w:ascii="Times New Roman" w:hAnsi="Times New Roman" w:cs="Times New Roman"/>
                <w:sz w:val="20"/>
                <w:szCs w:val="20"/>
              </w:rPr>
            </w:pPr>
            <w:r w:rsidRPr="00BF3E35">
              <w:rPr>
                <w:rFonts w:ascii="Times New Roman" w:hAnsi="Times New Roman" w:cs="Times New Roman"/>
                <w:sz w:val="20"/>
                <w:szCs w:val="20"/>
              </w:rPr>
              <w:t>7</w:t>
            </w:r>
          </w:p>
        </w:tc>
        <w:tc>
          <w:tcPr>
            <w:tcW w:w="1874" w:type="dxa"/>
          </w:tcPr>
          <w:p w14:paraId="75D789F5"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Mean elevation in meter at species’ home-range level</w:t>
            </w:r>
            <w:r w:rsidRPr="00BF3E35" w:rsidDel="00FE4F23">
              <w:rPr>
                <w:rFonts w:ascii="Times New Roman" w:hAnsi="Times New Roman" w:cs="Times New Roman"/>
                <w:sz w:val="20"/>
                <w:szCs w:val="20"/>
              </w:rPr>
              <w:t xml:space="preserve"> </w:t>
            </w:r>
          </w:p>
        </w:tc>
        <w:tc>
          <w:tcPr>
            <w:tcW w:w="1794" w:type="dxa"/>
          </w:tcPr>
          <w:p w14:paraId="68D46CB2"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elevation</w:t>
            </w:r>
          </w:p>
        </w:tc>
        <w:tc>
          <w:tcPr>
            <w:tcW w:w="2696" w:type="dxa"/>
          </w:tcPr>
          <w:p w14:paraId="385AC9B2"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 xml:space="preserve">Occupancy of tiger increased strongly with altitude </w:t>
            </w:r>
            <w:r w:rsidRPr="00BF3E35">
              <w:rPr>
                <w:rFonts w:ascii="Times New Roman" w:hAnsi="Times New Roman" w:cs="Times New Roman"/>
                <w:sz w:val="20"/>
                <w:szCs w:val="20"/>
              </w:rPr>
              <w:fldChar w:fldCharType="begin" w:fldLock="1"/>
            </w:r>
            <w:r w:rsidRPr="00BF3E35">
              <w:rPr>
                <w:rFonts w:ascii="Times New Roman" w:hAnsi="Times New Roman" w:cs="Times New Roman"/>
                <w:sz w:val="20"/>
                <w:szCs w:val="20"/>
              </w:rPr>
              <w:instrText>ADDIN CSL_CITATION {"citationItems":[{"id":"ITEM-1","itemData":{"DOI":"10.1371/journal.pone.0030859","ISSN":"19326203","PMID":"22292063","abstract":"The critically endangered Sumatran tiger (Panthera tigris sumatrae Pocock, 1929) is generally known as a forest-dependent animal. With large-scale conversion of forests into plantations, however, it is crucial for restoration efforts to understand to what extent tigers use modified habitats. We investigated tiger-habitat relationships at 2 spatial scales: occupancy across the landscape and habitat use within the home range. Across major landcover types in central Sumatra, we conducted systematic detection, non-detection sign surveys in 47, 17×17 km grid cells. Within each cell, we surveyed 40, 1-km transects and recorded tiger detections and habitat variables in 100 m segments totaling 1,857 km surveyed. We found that tigers strongly preferred forest and used plantations of acacia and oilpalm, far less than their availability. Tiger probability of occupancy covaried positively and strongly with altitude, positively with forest area, and negatively with distance-to-forest centroids. At the fine scale, probability of habitat use by tigers across landcover types covaried positively and strongly with understory cover and altitude, and negatively and strongly with human settlement. Within forest areas, tigers strongly preferred sites that are farther from water bodies, higher in altitude, farther from edge, and closer to centroid of large forest block; and strongly preferred sites with thicker understory cover, lower level of disturbance, higher altitude, and steeper slope. These results indicate that to thrive, tigers depend on the existence of large contiguous forest blocks, and that with adjustments in plantation management, tigers could use mosaics of plantations (as additional roaming zones), riparian forests (as corridors) and smaller forest patches (as stepping stones), potentially maintaining a metapopulation structure in fragmented landscapes. This study highlights the importance of a multi-spatial scale analysis and provides crucial information relevant to restoring tigers and other wildlife in forest and plantation landscapes through improvement in habitat extent, quality, and connectivity. © 2012 Sunarto et al.","author":[{"dropping-particle":"","family":"Sunarto","given":"Sunarto","non-dropping-particle":"","parse-names":false,"suffix":""},{"dropping-particle":"","family":"Kelly","given":"Marcella J.","non-dropping-particle":"","parse-names":false,"suffix":""},{"dropping-particle":"","family":"Parakkasi","given":"Karmila","non-dropping-particle":"","parse-names":false,"suffix":""},{"dropping-particle":"","family":"Klenzendorf","given":"Sybille","non-dropping-particle":"","parse-names":false,"suffix":""},{"dropping-particle":"","family":"Septayuda","given":"Eka","non-dropping-particle":"","parse-names":false,"suffix":""},{"dropping-particle":"","family":"Kurniawan","given":"Harry","non-dropping-particle":"","parse-names":false,"suffix":""}],"container-title":"PLoS ONE","id":"ITEM-1","issue":"1","issued":{"date-parts":[["2012"]]},"title":"Tigers need cover: Multi-scale occupancy study of the big cat in Sumatran forest and plantation landscapes","type":"article-journal","volume":"7"},"uris":["http://www.mendeley.com/documents/?uuid=06006595-d975-44a8-95b7-0aa05b7db180"]}],"mendeley":{"formattedCitation":"(Sunarto et al., 2012)","plainTextFormattedCitation":"(Sunarto et al., 2012)","previouslyFormattedCitation":"(Sunarto et al., 2012)"},"properties":{"noteIndex":0},"schema":"https://github.com/citation-style-language/schema/raw/master/csl-citation.json"}</w:instrText>
            </w:r>
            <w:r w:rsidRPr="00BF3E35">
              <w:rPr>
                <w:rFonts w:ascii="Times New Roman" w:hAnsi="Times New Roman" w:cs="Times New Roman"/>
                <w:sz w:val="20"/>
                <w:szCs w:val="20"/>
              </w:rPr>
              <w:fldChar w:fldCharType="separate"/>
            </w:r>
            <w:r w:rsidRPr="00BF3E35">
              <w:rPr>
                <w:rFonts w:ascii="Times New Roman" w:hAnsi="Times New Roman" w:cs="Times New Roman"/>
                <w:noProof/>
                <w:sz w:val="20"/>
                <w:szCs w:val="20"/>
              </w:rPr>
              <w:t>(Sunarto et al., 2012)</w:t>
            </w:r>
            <w:r w:rsidRPr="00BF3E35">
              <w:rPr>
                <w:rFonts w:ascii="Times New Roman" w:hAnsi="Times New Roman" w:cs="Times New Roman"/>
                <w:sz w:val="20"/>
                <w:szCs w:val="20"/>
              </w:rPr>
              <w:fldChar w:fldCharType="end"/>
            </w:r>
            <w:r w:rsidRPr="00BF3E35">
              <w:rPr>
                <w:rFonts w:ascii="Times New Roman" w:hAnsi="Times New Roman" w:cs="Times New Roman"/>
                <w:sz w:val="20"/>
                <w:szCs w:val="20"/>
              </w:rPr>
              <w:t xml:space="preserve">. While wild boar occupancy decreased with altitude </w:t>
            </w:r>
            <w:r w:rsidRPr="00BF3E35">
              <w:rPr>
                <w:rFonts w:ascii="Times New Roman" w:hAnsi="Times New Roman" w:cs="Times New Roman"/>
                <w:sz w:val="20"/>
                <w:szCs w:val="20"/>
              </w:rPr>
              <w:fldChar w:fldCharType="begin" w:fldLock="1"/>
            </w:r>
            <w:r w:rsidRPr="00BF3E35">
              <w:rPr>
                <w:rFonts w:ascii="Times New Roman" w:hAnsi="Times New Roman" w:cs="Times New Roman"/>
                <w:sz w:val="20"/>
                <w:szCs w:val="20"/>
              </w:rPr>
              <w:instrText>ADDIN CSL_CITATION {"citationItems":[{"id":"ITEM-1","itemData":{"DOI":"10.1371/journal.pone.0265440","ISBN":"1111111111","ISSN":"19326203","PMID":"35303739","abstract":"Understanding the effect of anthropogenic disturbance, and its interaction with carnivores and their prey, is crucial to support the conservation of threatened carnivores, particularly in rapidly changing landscapes. Based on systematic camera-trap sampling of four protected areas in Riau Province of central Sumatra, we assessed the habitat occupancy and spatiotemporal overlap between people, potential carnivore prey, and four threatened species of medium-sized or large carnivores: Sumatran tigers (Panthera tigris sumatrae), Malayan sun bears (Helarctos malayanus), dholes (Cuon alpinus), and Sunda clouded leopards (Neofelis diardi). To assess spatial overlap of target species, we used single-species occupancy models and applied a Species Interaction Factor (SIF) to conditional two-species occupancy models. We also used kernel density estimation (KDE) to assess temporal overlap among these species. Our habitat use models showed that altitude (elevation) strongly influenced the occupancy of all large carnivores and potential prey species. Except for Sunda clouded leopards, the occurrence of large carnivore species was positively related to the spatial cooccurrence of humans (SIF &gt; 1). In addition, we found that sun bears and dholes both exhibited high spatial overlap with tigers, and that sun bears alone exhibited high temporal overlap with people. Our findings contribute to an improved understanding of the contemporary ecology of carnivores and their prey in rapidly changing, southeast Asian landscapes. Such knowledge is important to the conservation and recovery of large carnivores in conservation hotspots that are increasingly dominated by humans across Sumatra, as well as globally.","author":[{"dropping-particle":"","family":"Widodo","given":"Febri Anggriawan","non-dropping-particle":"","parse-names":false,"suffix":""},{"dropping-particle":"","family":"Imron","given":"Muhammad Ali","non-dropping-particle":"","parse-names":false,"suffix":""},{"dropping-particle":"","family":"Sunarto","given":"Sunarto","non-dropping-particle":"","parse-names":false,"suffix":""},{"dropping-particle":"","family":"Giordano","given":"Anthony J.","non-dropping-particle":"","parse-names":false,"suffix":""}],"container-title":"PLoS ONE","id":"ITEM-1","issue":"3 March 2022","issued":{"date-parts":[["2022"]]},"page":"1-25","title":"Carnivores and their prey in Sumatra: Occupancy and activity in human-dominated forests","type":"article-journal","volume":"17"},"uris":["http://www.mendeley.com/documents/?uuid=33f93532-bc30-45e2-8494-f11e66770457"]}],"mendeley":{"formattedCitation":"(Widodo et al., 2022)","plainTextFormattedCitation":"(Widodo et al., 2022)","previouslyFormattedCitation":"(Widodo et al., 2022)"},"properties":{"noteIndex":0},"schema":"https://github.com/citation-style-language/schema/raw/master/csl-citation.json"}</w:instrText>
            </w:r>
            <w:r w:rsidRPr="00BF3E35">
              <w:rPr>
                <w:rFonts w:ascii="Times New Roman" w:hAnsi="Times New Roman" w:cs="Times New Roman"/>
                <w:sz w:val="20"/>
                <w:szCs w:val="20"/>
              </w:rPr>
              <w:fldChar w:fldCharType="separate"/>
            </w:r>
            <w:r w:rsidRPr="00BF3E35">
              <w:rPr>
                <w:rFonts w:ascii="Times New Roman" w:hAnsi="Times New Roman" w:cs="Times New Roman"/>
                <w:noProof/>
                <w:sz w:val="20"/>
                <w:szCs w:val="20"/>
              </w:rPr>
              <w:t>(Widodo et al., 2022)</w:t>
            </w:r>
            <w:r w:rsidRPr="00BF3E35">
              <w:rPr>
                <w:rFonts w:ascii="Times New Roman" w:hAnsi="Times New Roman" w:cs="Times New Roman"/>
                <w:sz w:val="20"/>
                <w:szCs w:val="20"/>
              </w:rPr>
              <w:fldChar w:fldCharType="end"/>
            </w:r>
            <w:r w:rsidRPr="00BF3E35">
              <w:rPr>
                <w:rFonts w:ascii="Times New Roman" w:hAnsi="Times New Roman" w:cs="Times New Roman"/>
                <w:sz w:val="20"/>
                <w:szCs w:val="20"/>
              </w:rPr>
              <w:t>.</w:t>
            </w:r>
          </w:p>
        </w:tc>
        <w:tc>
          <w:tcPr>
            <w:tcW w:w="2655" w:type="dxa"/>
          </w:tcPr>
          <w:p w14:paraId="0DF89420"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 xml:space="preserve">Digital Elevation Model by </w:t>
            </w:r>
            <w:r w:rsidRPr="00BF3E35">
              <w:rPr>
                <w:rFonts w:ascii="Times New Roman" w:hAnsi="Times New Roman" w:cs="Times New Roman"/>
                <w:sz w:val="20"/>
                <w:szCs w:val="20"/>
              </w:rPr>
              <w:fldChar w:fldCharType="begin" w:fldLock="1"/>
            </w:r>
            <w:r w:rsidRPr="00BF3E35">
              <w:rPr>
                <w:rFonts w:ascii="Times New Roman" w:hAnsi="Times New Roman" w:cs="Times New Roman"/>
                <w:sz w:val="20"/>
                <w:szCs w:val="20"/>
              </w:rPr>
              <w:instrText>ADDIN CSL_CITATION {"citationItems":[{"id":"ITEM-1","itemData":{"author":[{"dropping-particle":"","family":"Jarvis","given":"A","non-dropping-particle":"","parse-names":false,"suffix":""},{"dropping-particle":"","family":"Reuter","given":"H I","non-dropping-particle":"","parse-names":false,"suffix":""},{"dropping-particle":"","family":"Nelson","given":"A","non-dropping-particle":"","parse-names":false,"suffix":""},{"dropping-particle":"","family":"Guevara","given":"E","non-dropping-particle":"","parse-names":false,"suffix":""}],"id":"ITEM-1","issue":"January","issued":{"date-parts":[["2008"]]},"title":"Hole-filled seamless SRTM data Version 4, available from the CGIAR-CSI SRTM 90m Database.","type":"article"},"uris":["http://www.mendeley.com/documents/?uuid=8e12b2b6-908b-484e-af6a-fbd0d1455280"]}],"mendeley":{"formattedCitation":"(Jarvis et al., 2008)","manualFormatting":"Jarvis et al., 2008","plainTextFormattedCitation":"(Jarvis et al., 2008)","previouslyFormattedCitation":"(Jarvis et al., 2008)"},"properties":{"noteIndex":0},"schema":"https://github.com/citation-style-language/schema/raw/master/csl-citation.json"}</w:instrText>
            </w:r>
            <w:r w:rsidRPr="00BF3E35">
              <w:rPr>
                <w:rFonts w:ascii="Times New Roman" w:hAnsi="Times New Roman" w:cs="Times New Roman"/>
                <w:sz w:val="20"/>
                <w:szCs w:val="20"/>
              </w:rPr>
              <w:fldChar w:fldCharType="separate"/>
            </w:r>
            <w:r w:rsidRPr="00BF3E35">
              <w:rPr>
                <w:rFonts w:ascii="Times New Roman" w:hAnsi="Times New Roman" w:cs="Times New Roman"/>
                <w:noProof/>
                <w:sz w:val="20"/>
                <w:szCs w:val="20"/>
              </w:rPr>
              <w:t>Jarvis et al., 2008</w:t>
            </w:r>
            <w:r w:rsidRPr="00BF3E35">
              <w:rPr>
                <w:rFonts w:ascii="Times New Roman" w:hAnsi="Times New Roman" w:cs="Times New Roman"/>
                <w:sz w:val="20"/>
                <w:szCs w:val="20"/>
              </w:rPr>
              <w:fldChar w:fldCharType="end"/>
            </w:r>
          </w:p>
        </w:tc>
      </w:tr>
      <w:tr w:rsidR="00BF3E35" w:rsidRPr="00BF3E35" w14:paraId="57376C6C" w14:textId="77777777" w:rsidTr="00BF3E35">
        <w:trPr>
          <w:jc w:val="center"/>
        </w:trPr>
        <w:tc>
          <w:tcPr>
            <w:tcW w:w="811" w:type="dxa"/>
          </w:tcPr>
          <w:p w14:paraId="70D8E395" w14:textId="77777777" w:rsidR="00BF3E35" w:rsidRPr="00BF3E35" w:rsidRDefault="00BF3E35" w:rsidP="00921D4E">
            <w:pPr>
              <w:jc w:val="center"/>
              <w:rPr>
                <w:rFonts w:ascii="Times New Roman" w:hAnsi="Times New Roman" w:cs="Times New Roman"/>
                <w:sz w:val="20"/>
                <w:szCs w:val="20"/>
              </w:rPr>
            </w:pPr>
            <w:r w:rsidRPr="00BF3E35">
              <w:rPr>
                <w:rFonts w:ascii="Times New Roman" w:hAnsi="Times New Roman" w:cs="Times New Roman"/>
                <w:sz w:val="20"/>
                <w:szCs w:val="20"/>
              </w:rPr>
              <w:t>8</w:t>
            </w:r>
          </w:p>
        </w:tc>
        <w:tc>
          <w:tcPr>
            <w:tcW w:w="1874" w:type="dxa"/>
          </w:tcPr>
          <w:p w14:paraId="4B9FC470"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Mean steepness of a surface (degree) generated from elevation data at species’ home-range level</w:t>
            </w:r>
          </w:p>
        </w:tc>
        <w:tc>
          <w:tcPr>
            <w:tcW w:w="1794" w:type="dxa"/>
          </w:tcPr>
          <w:p w14:paraId="4B3FD986"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slope</w:t>
            </w:r>
          </w:p>
        </w:tc>
        <w:tc>
          <w:tcPr>
            <w:tcW w:w="2696" w:type="dxa"/>
          </w:tcPr>
          <w:p w14:paraId="6B88C58A"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 xml:space="preserve">Sambar were likely to occupy flatter terrain </w:t>
            </w:r>
            <w:r w:rsidRPr="00BF3E35">
              <w:rPr>
                <w:rFonts w:ascii="Times New Roman" w:hAnsi="Times New Roman" w:cs="Times New Roman"/>
                <w:sz w:val="20"/>
                <w:szCs w:val="20"/>
              </w:rPr>
              <w:fldChar w:fldCharType="begin" w:fldLock="1"/>
            </w:r>
            <w:r w:rsidRPr="00BF3E35">
              <w:rPr>
                <w:rFonts w:ascii="Times New Roman" w:hAnsi="Times New Roman" w:cs="Times New Roman"/>
                <w:sz w:val="20"/>
                <w:szCs w:val="20"/>
              </w:rPr>
              <w:instrText>ADDIN CSL_CITATION {"citationItems":[{"id":"ITEM-1","itemData":{"DOI":"10.1017/S0030605317001144","ISSN":"0030-6053","abstract":"Reliable information on wildlife populations and the threats they face is crucial for assessing the performance of conservation strategies. As part of its efforts to improve the effectiveness of Bukit Barisan Selatan National Park in Sumatra, Indonesia, and aid the recovery of flagship species, the Park's management authority designated a 1,000 km 2 forest block an Intensive Protection Zone. To set a baseline from which to evaluate the performance of this zone, we investigated the density of tigers Panthera tigris sumatrae , and spatio-temporal interactions between tigers, their principle prey and threats. The estimated density of tigers was 2.8 per 100 km 2 , whereas in 2002 camera-trapping failed to record any tigers in the Intensive Protection Zone. We found the study area contained a rich prey base, with muntjac deer Muntiacus muntjak , macaques Macaca nemestrina and wild pigs Sus scrofa occupying 85–98% of the area, and sambar Rusa unicolor 61%. Despite these promising findings we also recorded a relatively high number of people entering the Park illegally, with 77 incidents over 6 months, of which 20% involved armed poachers. The poachers operated mainly at night and were concentrated in two locations. Law enforcement patrol teams were active during the day, and therefore had little overlap with the poachers. Prioritizing these at-risk areas for increased protection by rangers would further secure the Intensive Protection Zone, and expanding ranger activity across the Park would support efforts to remove the Park from UNESCO's List of World Heritage In Danger.","author":[{"dropping-particle":"","family":"Pusparini","given":"Wulan","non-dropping-particle":"","parse-names":false,"suffix":""},{"dropping-particle":"","family":"Batubara","given":"Timbul","non-dropping-particle":"","parse-names":false,"suffix":""},{"dropping-particle":"","family":"Surahmat","given":"Fahrudin","non-dropping-particle":"","parse-names":false,"suffix":""},{"dropping-particle":"","family":"Ardiantiono","given":"","non-dropping-particle":"","parse-names":false,"suffix":""},{"dropping-particle":"","family":"Sugiharti","given":"Tri","non-dropping-particle":"","parse-names":false,"suffix":""},{"dropping-particle":"","family":"Muslich","given":"Muhammad","non-dropping-particle":"","parse-names":false,"suffix":""},{"dropping-particle":"","family":"Amama","given":"Fahrul","non-dropping-particle":"","parse-names":false,"suffix":""},{"dropping-particle":"","family":"Marthy","given":"William","non-dropping-particle":"","parse-names":false,"suffix":""},{"dropping-particle":"","family":"Andayani","given":"Noviar","non-dropping-particle":"","parse-names":false,"suffix":""}],"container-title":"Oryx","id":"ITEM-1","issued":{"date-parts":[["2017","10","23"]]},"page":"1-10","title":"A pathway to recovery: the Critically Endangered Sumatran tiger Panthera tigris sumatrae in an ‘in danger’ UNESCO World Heritage Site","type":"article-journal"},"uris":["http://www.mendeley.com/documents/?uuid=1ebcb897-b35c-31e1-9f6f-8980f8657f4a"]}],"mendeley":{"formattedCitation":"(Pusparini et al., 2017)","plainTextFormattedCitation":"(Pusparini et al., 2017)","previouslyFormattedCitation":"(Pusparini et al., 2017)"},"properties":{"noteIndex":0},"schema":"https://github.com/citation-style-language/schema/raw/master/csl-citation.json"}</w:instrText>
            </w:r>
            <w:r w:rsidRPr="00BF3E35">
              <w:rPr>
                <w:rFonts w:ascii="Times New Roman" w:hAnsi="Times New Roman" w:cs="Times New Roman"/>
                <w:sz w:val="20"/>
                <w:szCs w:val="20"/>
              </w:rPr>
              <w:fldChar w:fldCharType="separate"/>
            </w:r>
            <w:r w:rsidRPr="00BF3E35">
              <w:rPr>
                <w:rFonts w:ascii="Times New Roman" w:hAnsi="Times New Roman" w:cs="Times New Roman"/>
                <w:noProof/>
                <w:sz w:val="20"/>
                <w:szCs w:val="20"/>
              </w:rPr>
              <w:t>(Pusparini et al., 2017)</w:t>
            </w:r>
            <w:r w:rsidRPr="00BF3E35">
              <w:rPr>
                <w:rFonts w:ascii="Times New Roman" w:hAnsi="Times New Roman" w:cs="Times New Roman"/>
                <w:sz w:val="20"/>
                <w:szCs w:val="20"/>
              </w:rPr>
              <w:fldChar w:fldCharType="end"/>
            </w:r>
            <w:r w:rsidRPr="00BF3E35">
              <w:rPr>
                <w:rFonts w:ascii="Times New Roman" w:hAnsi="Times New Roman" w:cs="Times New Roman"/>
                <w:sz w:val="20"/>
                <w:szCs w:val="20"/>
              </w:rPr>
              <w:t>.</w:t>
            </w:r>
          </w:p>
        </w:tc>
        <w:tc>
          <w:tcPr>
            <w:tcW w:w="2655" w:type="dxa"/>
          </w:tcPr>
          <w:p w14:paraId="790F337E"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 xml:space="preserve">Digital Elevation Model by </w:t>
            </w:r>
            <w:r w:rsidRPr="00BF3E35">
              <w:rPr>
                <w:rFonts w:ascii="Times New Roman" w:hAnsi="Times New Roman" w:cs="Times New Roman"/>
                <w:sz w:val="20"/>
                <w:szCs w:val="20"/>
              </w:rPr>
              <w:fldChar w:fldCharType="begin" w:fldLock="1"/>
            </w:r>
            <w:r w:rsidRPr="00BF3E35">
              <w:rPr>
                <w:rFonts w:ascii="Times New Roman" w:hAnsi="Times New Roman" w:cs="Times New Roman"/>
                <w:sz w:val="20"/>
                <w:szCs w:val="20"/>
              </w:rPr>
              <w:instrText>ADDIN CSL_CITATION {"citationItems":[{"id":"ITEM-1","itemData":{"author":[{"dropping-particle":"","family":"Jarvis","given":"A","non-dropping-particle":"","parse-names":false,"suffix":""},{"dropping-particle":"","family":"Reuter","given":"H I","non-dropping-particle":"","parse-names":false,"suffix":""},{"dropping-particle":"","family":"Nelson","given":"A","non-dropping-particle":"","parse-names":false,"suffix":""},{"dropping-particle":"","family":"Guevara","given":"E","non-dropping-particle":"","parse-names":false,"suffix":""}],"id":"ITEM-1","issue":"January","issued":{"date-parts":[["2008"]]},"title":"Hole-filled seamless SRTM data Version 4, available from the CGIAR-CSI SRTM 90m Database.","type":"article"},"uris":["http://www.mendeley.com/documents/?uuid=8e12b2b6-908b-484e-af6a-fbd0d1455280"]}],"mendeley":{"formattedCitation":"(Jarvis et al., 2008)","manualFormatting":"Jarvis et al., 2008","plainTextFormattedCitation":"(Jarvis et al., 2008)","previouslyFormattedCitation":"(Jarvis et al., 2008)"},"properties":{"noteIndex":0},"schema":"https://github.com/citation-style-language/schema/raw/master/csl-citation.json"}</w:instrText>
            </w:r>
            <w:r w:rsidRPr="00BF3E35">
              <w:rPr>
                <w:rFonts w:ascii="Times New Roman" w:hAnsi="Times New Roman" w:cs="Times New Roman"/>
                <w:sz w:val="20"/>
                <w:szCs w:val="20"/>
              </w:rPr>
              <w:fldChar w:fldCharType="separate"/>
            </w:r>
            <w:r w:rsidRPr="00BF3E35">
              <w:rPr>
                <w:rFonts w:ascii="Times New Roman" w:hAnsi="Times New Roman" w:cs="Times New Roman"/>
                <w:noProof/>
                <w:sz w:val="20"/>
                <w:szCs w:val="20"/>
              </w:rPr>
              <w:t>Jarvis et al., 2008</w:t>
            </w:r>
            <w:r w:rsidRPr="00BF3E35">
              <w:rPr>
                <w:rFonts w:ascii="Times New Roman" w:hAnsi="Times New Roman" w:cs="Times New Roman"/>
                <w:sz w:val="20"/>
                <w:szCs w:val="20"/>
              </w:rPr>
              <w:fldChar w:fldCharType="end"/>
            </w:r>
          </w:p>
        </w:tc>
      </w:tr>
      <w:tr w:rsidR="00BF3E35" w:rsidRPr="00BF3E35" w14:paraId="5D8A32AB" w14:textId="77777777" w:rsidTr="00BF3E35">
        <w:trPr>
          <w:jc w:val="center"/>
        </w:trPr>
        <w:tc>
          <w:tcPr>
            <w:tcW w:w="811" w:type="dxa"/>
          </w:tcPr>
          <w:p w14:paraId="04474A9F" w14:textId="77777777" w:rsidR="00BF3E35" w:rsidRPr="00BF3E35" w:rsidRDefault="00BF3E35" w:rsidP="00921D4E">
            <w:pPr>
              <w:jc w:val="center"/>
              <w:rPr>
                <w:rFonts w:ascii="Times New Roman" w:hAnsi="Times New Roman" w:cs="Times New Roman"/>
                <w:sz w:val="20"/>
                <w:szCs w:val="20"/>
              </w:rPr>
            </w:pPr>
            <w:r w:rsidRPr="00BF3E35">
              <w:rPr>
                <w:rFonts w:ascii="Times New Roman" w:hAnsi="Times New Roman" w:cs="Times New Roman"/>
                <w:sz w:val="20"/>
                <w:szCs w:val="20"/>
              </w:rPr>
              <w:t>9</w:t>
            </w:r>
          </w:p>
        </w:tc>
        <w:tc>
          <w:tcPr>
            <w:tcW w:w="1874" w:type="dxa"/>
          </w:tcPr>
          <w:p w14:paraId="3E067201"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Total forest cover area at species’ home-range level</w:t>
            </w:r>
            <w:r w:rsidRPr="00BF3E35" w:rsidDel="0050186B">
              <w:rPr>
                <w:rFonts w:ascii="Times New Roman" w:hAnsi="Times New Roman" w:cs="Times New Roman"/>
                <w:sz w:val="20"/>
                <w:szCs w:val="20"/>
              </w:rPr>
              <w:t xml:space="preserve"> </w:t>
            </w:r>
          </w:p>
        </w:tc>
        <w:tc>
          <w:tcPr>
            <w:tcW w:w="1794" w:type="dxa"/>
          </w:tcPr>
          <w:p w14:paraId="18506BB4"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fcover_area</w:t>
            </w:r>
          </w:p>
        </w:tc>
        <w:tc>
          <w:tcPr>
            <w:tcW w:w="2696" w:type="dxa"/>
          </w:tcPr>
          <w:p w14:paraId="60409BF9"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 xml:space="preserve">Occupancy of tiger and sambar were higher in higher total area of forest cover </w:t>
            </w:r>
            <w:r w:rsidRPr="00BF3E35">
              <w:rPr>
                <w:rFonts w:ascii="Times New Roman" w:hAnsi="Times New Roman" w:cs="Times New Roman"/>
                <w:sz w:val="20"/>
                <w:szCs w:val="20"/>
              </w:rPr>
              <w:fldChar w:fldCharType="begin" w:fldLock="1"/>
            </w:r>
            <w:r w:rsidRPr="00BF3E35">
              <w:rPr>
                <w:rFonts w:ascii="Times New Roman" w:hAnsi="Times New Roman" w:cs="Times New Roman"/>
                <w:sz w:val="20"/>
                <w:szCs w:val="20"/>
              </w:rPr>
              <w:instrText>ADDIN CSL_CITATION {"citationItems":[{"id":"ITEM-1","itemData":{"author":[{"dropping-particle":"","family":"Wibisono","given":"Hariyo T.","non-dropping-particle":"","parse-names":false,"suffix":""}],"id":"ITEM-1","issued":{"date-parts":[["2021"]]},"number-of-pages":"6","publisher":"University of Delaware","title":"An Island-wide Status of Sumatran tiger (Panthera tigris sumatrae) and Principal Prey in Sumatra, Indonesia","type":"thesis"},"uris":["http://www.mendeley.com/documents/?uuid=1ecfad0f-a46d-4dc7-abc7-da0eaa162fa2"]}],"mendeley":{"formattedCitation":"(Wibisono, 2021)","plainTextFormattedCitation":"(Wibisono, 2021)","previouslyFormattedCitation":"(Wibisono, 2021)"},"properties":{"noteIndex":0},"schema":"https://github.com/citation-style-language/schema/raw/master/csl-citation.json"}</w:instrText>
            </w:r>
            <w:r w:rsidRPr="00BF3E35">
              <w:rPr>
                <w:rFonts w:ascii="Times New Roman" w:hAnsi="Times New Roman" w:cs="Times New Roman"/>
                <w:sz w:val="20"/>
                <w:szCs w:val="20"/>
              </w:rPr>
              <w:fldChar w:fldCharType="separate"/>
            </w:r>
            <w:r w:rsidRPr="00BF3E35">
              <w:rPr>
                <w:rFonts w:ascii="Times New Roman" w:hAnsi="Times New Roman" w:cs="Times New Roman"/>
                <w:noProof/>
                <w:sz w:val="20"/>
                <w:szCs w:val="20"/>
              </w:rPr>
              <w:t>(Wibisono, 2021)</w:t>
            </w:r>
            <w:r w:rsidRPr="00BF3E35">
              <w:rPr>
                <w:rFonts w:ascii="Times New Roman" w:hAnsi="Times New Roman" w:cs="Times New Roman"/>
                <w:sz w:val="20"/>
                <w:szCs w:val="20"/>
              </w:rPr>
              <w:fldChar w:fldCharType="end"/>
            </w:r>
          </w:p>
        </w:tc>
        <w:tc>
          <w:tcPr>
            <w:tcW w:w="2655" w:type="dxa"/>
          </w:tcPr>
          <w:p w14:paraId="29AC9984"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Land use and land cover data for 2009 and 2019 by Indonesian Ministry of Environmental and Forestry</w:t>
            </w:r>
          </w:p>
        </w:tc>
      </w:tr>
      <w:tr w:rsidR="00BF3E35" w:rsidRPr="00BF3E35" w14:paraId="531F7377" w14:textId="77777777" w:rsidTr="00BF3E35">
        <w:trPr>
          <w:jc w:val="center"/>
        </w:trPr>
        <w:tc>
          <w:tcPr>
            <w:tcW w:w="811" w:type="dxa"/>
          </w:tcPr>
          <w:p w14:paraId="19C6C289" w14:textId="77777777" w:rsidR="00BF3E35" w:rsidRPr="00BF3E35" w:rsidRDefault="00BF3E35" w:rsidP="00921D4E">
            <w:pPr>
              <w:jc w:val="center"/>
              <w:rPr>
                <w:rFonts w:ascii="Times New Roman" w:hAnsi="Times New Roman" w:cs="Times New Roman"/>
                <w:sz w:val="20"/>
                <w:szCs w:val="20"/>
              </w:rPr>
            </w:pPr>
            <w:r w:rsidRPr="00BF3E35">
              <w:rPr>
                <w:rFonts w:ascii="Times New Roman" w:hAnsi="Times New Roman" w:cs="Times New Roman"/>
                <w:sz w:val="20"/>
                <w:szCs w:val="20"/>
              </w:rPr>
              <w:t>10</w:t>
            </w:r>
          </w:p>
        </w:tc>
        <w:tc>
          <w:tcPr>
            <w:tcW w:w="1874" w:type="dxa"/>
          </w:tcPr>
          <w:p w14:paraId="7921B145"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Number of forest cover patches at species’ home-range level</w:t>
            </w:r>
          </w:p>
        </w:tc>
        <w:tc>
          <w:tcPr>
            <w:tcW w:w="1794" w:type="dxa"/>
          </w:tcPr>
          <w:p w14:paraId="1C9AAA6A"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fcover_patches</w:t>
            </w:r>
          </w:p>
        </w:tc>
        <w:tc>
          <w:tcPr>
            <w:tcW w:w="2696" w:type="dxa"/>
          </w:tcPr>
          <w:p w14:paraId="74887235"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 xml:space="preserve">Increase in number of habitat patches due to fragmentation will increase the extinction risk of species due to reduced heterozygosity and greater population isolation </w:t>
            </w:r>
            <w:r w:rsidRPr="00BF3E35">
              <w:rPr>
                <w:rFonts w:ascii="Times New Roman" w:hAnsi="Times New Roman" w:cs="Times New Roman"/>
                <w:sz w:val="20"/>
                <w:szCs w:val="20"/>
              </w:rPr>
              <w:fldChar w:fldCharType="begin" w:fldLock="1"/>
            </w:r>
            <w:r w:rsidRPr="00BF3E35">
              <w:rPr>
                <w:rFonts w:ascii="Times New Roman" w:hAnsi="Times New Roman" w:cs="Times New Roman"/>
                <w:sz w:val="20"/>
                <w:szCs w:val="20"/>
              </w:rPr>
              <w:instrText>ADDIN CSL_CITATION {"citationItems":[{"id":"ITEM-1","itemData":{"DOI":"10.1016/j.biocon.2018.03.014","ISSN":"00063207","abstract":"Sumatran tigers (Panthera tigris sumatrae) are a critically endangered carnivore restricted to the island of Sumatra, and like many other large mammals on the Indonesian archipelago, they are threatened by high levels of poaching and widespread habitat degradation. Here, we conduct the first range-wide assessment of Sumatran tiger genetics using scat surveys and show that the wild population retains levels of genetic heterozygosity comparable to mainland tigers. However, the population also exhibits signs of subdivision due to the unprecedented rates of deforestation and land conversion in the last 30–40 years. The fact that this subspecies retains such levels of heterozygosity despite high rates of habitat loss and increasing isolation suggests a form of genetic extinction debt with an elevated risk of extinction if no action is taken within the next 30–100 years (see Kenney et al., 2014). However, the inherent time delay in extinction debt provides opportunities for conservation if habitat quality can be improved and connections between existing population fragments can be made. Our study highlights the importance of genetic studies for providing baseline information to improve the population management of highly threatened carnivore species. Mitigating further habitat degradation and expansion of oil palm and other cash crops in this region would improve the viability not only of Sumatran tiger populations, but of other threatened large mammal species as well.","author":[{"dropping-particle":"","family":"Smith","given":"Olutolani","non-dropping-particle":"","parse-names":false,"suffix":""},{"dropping-particle":"","family":"Wang","given":"Jinliang","non-dropping-particle":"","parse-names":false,"suffix":""},{"dropping-particle":"","family":"Carbone","given":"Chris","non-dropping-particle":"","parse-names":false,"suffix":""}],"container-title":"Biological Conservation","id":"ITEM-1","issued":{"date-parts":[["2018"]]},"page":"270-278","title":"Evaluating the effect of forest loss and agricultural expansion on Sumatran tigers from scat surveys","type":"article-journal","volume":"221"},"uris":["http://www.mendeley.com/documents/?uuid=8ed7140b-db04-3468-bc89-a5a9b69f37c4"]}],"mendeley":{"formattedCitation":"(Smith et al., 2018)","plainTextFormattedCitation":"(Smith et al., 2018)","previouslyFormattedCitation":"(Smith et al., 2018)"},"properties":{"noteIndex":0},"schema":"https://github.com/citation-style-language/schema/raw/master/csl-citation.json"}</w:instrText>
            </w:r>
            <w:r w:rsidRPr="00BF3E35">
              <w:rPr>
                <w:rFonts w:ascii="Times New Roman" w:hAnsi="Times New Roman" w:cs="Times New Roman"/>
                <w:sz w:val="20"/>
                <w:szCs w:val="20"/>
              </w:rPr>
              <w:fldChar w:fldCharType="separate"/>
            </w:r>
            <w:r w:rsidRPr="00BF3E35">
              <w:rPr>
                <w:rFonts w:ascii="Times New Roman" w:hAnsi="Times New Roman" w:cs="Times New Roman"/>
                <w:noProof/>
                <w:sz w:val="20"/>
                <w:szCs w:val="20"/>
              </w:rPr>
              <w:t>(Smith et al., 2018)</w:t>
            </w:r>
            <w:r w:rsidRPr="00BF3E35">
              <w:rPr>
                <w:rFonts w:ascii="Times New Roman" w:hAnsi="Times New Roman" w:cs="Times New Roman"/>
                <w:sz w:val="20"/>
                <w:szCs w:val="20"/>
              </w:rPr>
              <w:fldChar w:fldCharType="end"/>
            </w:r>
          </w:p>
        </w:tc>
        <w:tc>
          <w:tcPr>
            <w:tcW w:w="2655" w:type="dxa"/>
          </w:tcPr>
          <w:p w14:paraId="319242F5"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Land use and land cover data for 2009 and 2019 by Indonesian Ministry of Environmental and Forestry</w:t>
            </w:r>
          </w:p>
        </w:tc>
      </w:tr>
      <w:tr w:rsidR="00BF3E35" w:rsidRPr="00BF3E35" w14:paraId="2EF1375A" w14:textId="77777777" w:rsidTr="00BF3E35">
        <w:trPr>
          <w:jc w:val="center"/>
        </w:trPr>
        <w:tc>
          <w:tcPr>
            <w:tcW w:w="811" w:type="dxa"/>
          </w:tcPr>
          <w:p w14:paraId="789D7A7D" w14:textId="77777777" w:rsidR="00BF3E35" w:rsidRPr="00BF3E35" w:rsidRDefault="00BF3E35" w:rsidP="00921D4E">
            <w:pPr>
              <w:jc w:val="center"/>
              <w:rPr>
                <w:rFonts w:ascii="Times New Roman" w:hAnsi="Times New Roman" w:cs="Times New Roman"/>
                <w:sz w:val="20"/>
                <w:szCs w:val="20"/>
              </w:rPr>
            </w:pPr>
            <w:r w:rsidRPr="00BF3E35">
              <w:rPr>
                <w:rFonts w:ascii="Times New Roman" w:hAnsi="Times New Roman" w:cs="Times New Roman"/>
                <w:sz w:val="20"/>
                <w:szCs w:val="20"/>
              </w:rPr>
              <w:t>11</w:t>
            </w:r>
          </w:p>
        </w:tc>
        <w:tc>
          <w:tcPr>
            <w:tcW w:w="1874" w:type="dxa"/>
          </w:tcPr>
          <w:p w14:paraId="4C70FA95"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Proportion of wild prey detected along the transect lines for each cell</w:t>
            </w:r>
          </w:p>
        </w:tc>
        <w:tc>
          <w:tcPr>
            <w:tcW w:w="1794" w:type="dxa"/>
          </w:tcPr>
          <w:p w14:paraId="2549F2A2"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prey</w:t>
            </w:r>
          </w:p>
        </w:tc>
        <w:tc>
          <w:tcPr>
            <w:tcW w:w="2696" w:type="dxa"/>
          </w:tcPr>
          <w:p w14:paraId="20EDF5CA"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 xml:space="preserve">Tiger presence were associated with wild prey density </w:t>
            </w:r>
            <w:r w:rsidRPr="00BF3E35">
              <w:rPr>
                <w:rFonts w:ascii="Times New Roman" w:hAnsi="Times New Roman" w:cs="Times New Roman"/>
                <w:sz w:val="20"/>
                <w:szCs w:val="20"/>
              </w:rPr>
              <w:fldChar w:fldCharType="begin" w:fldLock="1"/>
            </w:r>
            <w:r w:rsidRPr="00BF3E35">
              <w:rPr>
                <w:rFonts w:ascii="Times New Roman" w:hAnsi="Times New Roman" w:cs="Times New Roman"/>
                <w:sz w:val="20"/>
                <w:szCs w:val="20"/>
              </w:rPr>
              <w:instrText>ADDIN CSL_CITATION {"citationItems":[{"id":"ITEM-1","itemData":{"DOI":"10.1111/j.1365-2664.2011.02002.x","ISSN":"00218901","author":[{"dropping-particle":"","family":"Karanth","given":"Kota Ullas","non-dropping-particle":"","parse-names":false,"suffix":""},{"dropping-particle":"","family":"Gopalaswamy","given":"Arjun M.","non-dropping-particle":"","parse-names":false,"suffix":""},{"dropping-particle":"","family":"Kumar","given":"Narayanarao Samba","non-dropping-particle":"","parse-names":false,"suffix":""},{"dropping-particle":"","family":"Vaidyanathan","given":"Srinivas","non-dropping-particle":"","parse-names":false,"suffix":""},{"dropping-particle":"","family":"Nichols","given":"James D.","non-dropping-particle":"","parse-names":false,"suffix":""},{"dropping-particle":"","family":"MacKenzie","given":"Darryl I.","non-dropping-particle":"","parse-names":false,"suffix":""}],"container-title":"Journal of Applied Ecology","id":"ITEM-1","issue":"4","issued":{"date-parts":[["2011","8","1"]]},"page":"1048-1056","title":"Monitoring carnivore populations at the landscape scale: occupancy modelling of tigers from sign surveys","type":"article-journal","volume":"48"},"uris":["http://www.mendeley.com/documents/?uuid=60b17009-f309-3388-a43f-0457904fbfda"]}],"mendeley":{"formattedCitation":"(Karanth et al., 2011)","plainTextFormattedCitation":"(Karanth et al., 2011)","previouslyFormattedCitation":"(Karanth et al., 2011)"},"properties":{"noteIndex":0},"schema":"https://github.com/citation-style-language/schema/raw/master/csl-citation.json"}</w:instrText>
            </w:r>
            <w:r w:rsidRPr="00BF3E35">
              <w:rPr>
                <w:rFonts w:ascii="Times New Roman" w:hAnsi="Times New Roman" w:cs="Times New Roman"/>
                <w:sz w:val="20"/>
                <w:szCs w:val="20"/>
              </w:rPr>
              <w:fldChar w:fldCharType="separate"/>
            </w:r>
            <w:r w:rsidRPr="00BF3E35">
              <w:rPr>
                <w:rFonts w:ascii="Times New Roman" w:hAnsi="Times New Roman" w:cs="Times New Roman"/>
                <w:noProof/>
                <w:sz w:val="20"/>
                <w:szCs w:val="20"/>
              </w:rPr>
              <w:t>(Karanth et al., 2011)</w:t>
            </w:r>
            <w:r w:rsidRPr="00BF3E35">
              <w:rPr>
                <w:rFonts w:ascii="Times New Roman" w:hAnsi="Times New Roman" w:cs="Times New Roman"/>
                <w:sz w:val="20"/>
                <w:szCs w:val="20"/>
              </w:rPr>
              <w:fldChar w:fldCharType="end"/>
            </w:r>
            <w:r w:rsidRPr="00BF3E35">
              <w:rPr>
                <w:rFonts w:ascii="Times New Roman" w:hAnsi="Times New Roman" w:cs="Times New Roman"/>
                <w:sz w:val="20"/>
                <w:szCs w:val="20"/>
              </w:rPr>
              <w:t>.</w:t>
            </w:r>
          </w:p>
        </w:tc>
        <w:tc>
          <w:tcPr>
            <w:tcW w:w="2655" w:type="dxa"/>
          </w:tcPr>
          <w:p w14:paraId="63FAFE0D"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SWTS survey in 2009 and 2019</w:t>
            </w:r>
          </w:p>
        </w:tc>
      </w:tr>
      <w:tr w:rsidR="00BF3E35" w:rsidRPr="00BF3E35" w14:paraId="161523E4" w14:textId="77777777" w:rsidTr="00BF3E35">
        <w:trPr>
          <w:jc w:val="center"/>
        </w:trPr>
        <w:tc>
          <w:tcPr>
            <w:tcW w:w="811" w:type="dxa"/>
          </w:tcPr>
          <w:p w14:paraId="76E5507B" w14:textId="77777777" w:rsidR="00BF3E35" w:rsidRPr="00BF3E35" w:rsidRDefault="00BF3E35" w:rsidP="00921D4E">
            <w:pPr>
              <w:jc w:val="center"/>
              <w:rPr>
                <w:rFonts w:ascii="Times New Roman" w:hAnsi="Times New Roman" w:cs="Times New Roman"/>
                <w:sz w:val="20"/>
                <w:szCs w:val="20"/>
              </w:rPr>
            </w:pPr>
            <w:r w:rsidRPr="00BF3E35">
              <w:rPr>
                <w:rFonts w:ascii="Times New Roman" w:hAnsi="Times New Roman" w:cs="Times New Roman"/>
                <w:sz w:val="20"/>
                <w:szCs w:val="20"/>
              </w:rPr>
              <w:t>12</w:t>
            </w:r>
          </w:p>
        </w:tc>
        <w:tc>
          <w:tcPr>
            <w:tcW w:w="1874" w:type="dxa"/>
          </w:tcPr>
          <w:p w14:paraId="564D8840"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Proportion of human disturbance detected along the transect lines for each cell</w:t>
            </w:r>
          </w:p>
        </w:tc>
        <w:tc>
          <w:tcPr>
            <w:tcW w:w="1794" w:type="dxa"/>
          </w:tcPr>
          <w:p w14:paraId="7770EBF8"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disturbance</w:t>
            </w:r>
          </w:p>
        </w:tc>
        <w:tc>
          <w:tcPr>
            <w:tcW w:w="2696" w:type="dxa"/>
          </w:tcPr>
          <w:p w14:paraId="42197870"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 xml:space="preserve">Human presence showed negative association with tiger occupancy </w:t>
            </w:r>
            <w:r w:rsidRPr="00BF3E35">
              <w:rPr>
                <w:rFonts w:ascii="Times New Roman" w:hAnsi="Times New Roman" w:cs="Times New Roman"/>
                <w:sz w:val="20"/>
                <w:szCs w:val="20"/>
              </w:rPr>
              <w:fldChar w:fldCharType="begin" w:fldLock="1"/>
            </w:r>
            <w:r w:rsidRPr="00BF3E35">
              <w:rPr>
                <w:rFonts w:ascii="Times New Roman" w:hAnsi="Times New Roman" w:cs="Times New Roman"/>
                <w:sz w:val="20"/>
                <w:szCs w:val="20"/>
              </w:rPr>
              <w:instrText>ADDIN CSL_CITATION {"citationItems":[{"id":"ITEM-1","itemData":{"DOI":"10.1111/j.1365-2664.2011.02002.x","ISSN":"00218901","author":[{"dropping-particle":"","family":"Karanth","given":"Kota Ullas","non-dropping-particle":"","parse-names":false,"suffix":""},{"dropping-particle":"","family":"Gopalaswamy","given":"Arjun M.","non-dropping-particle":"","parse-names":false,"suffix":""},{"dropping-particle":"","family":"Kumar","given":"Narayanarao Samba","non-dropping-particle":"","parse-names":false,"suffix":""},{"dropping-particle":"","family":"Vaidyanathan","given":"Srinivas","non-dropping-particle":"","parse-names":false,"suffix":""},{"dropping-particle":"","family":"Nichols","given":"James D.","non-dropping-particle":"","parse-names":false,"suffix":""},{"dropping-particle":"","family":"MacKenzie","given":"Darryl I.","non-dropping-particle":"","parse-names":false,"suffix":""}],"container-title":"Journal of Applied Ecology","id":"ITEM-1","issue":"4","issued":{"date-parts":[["2011","8","1"]]},"page":"1048-1056","title":"Monitoring carnivore populations at the landscape scale: occupancy modelling of tigers from sign surveys","type":"article-journal","volume":"48"},"uris":["http://www.mendeley.com/documents/?uuid=60b17009-f309-3388-a43f-0457904fbfda"]}],"mendeley":{"formattedCitation":"(Karanth et al., 2011)","plainTextFormattedCitation":"(Karanth et al., 2011)","previouslyFormattedCitation":"(Karanth et al., 2011)"},"properties":{"noteIndex":0},"schema":"https://github.com/citation-style-language/schema/raw/master/csl-citation.json"}</w:instrText>
            </w:r>
            <w:r w:rsidRPr="00BF3E35">
              <w:rPr>
                <w:rFonts w:ascii="Times New Roman" w:hAnsi="Times New Roman" w:cs="Times New Roman"/>
                <w:sz w:val="20"/>
                <w:szCs w:val="20"/>
              </w:rPr>
              <w:fldChar w:fldCharType="separate"/>
            </w:r>
            <w:r w:rsidRPr="00BF3E35">
              <w:rPr>
                <w:rFonts w:ascii="Times New Roman" w:hAnsi="Times New Roman" w:cs="Times New Roman"/>
                <w:noProof/>
                <w:sz w:val="20"/>
                <w:szCs w:val="20"/>
              </w:rPr>
              <w:t>(Karanth et al., 2011)</w:t>
            </w:r>
            <w:r w:rsidRPr="00BF3E35">
              <w:rPr>
                <w:rFonts w:ascii="Times New Roman" w:hAnsi="Times New Roman" w:cs="Times New Roman"/>
                <w:sz w:val="20"/>
                <w:szCs w:val="20"/>
              </w:rPr>
              <w:fldChar w:fldCharType="end"/>
            </w:r>
            <w:r w:rsidRPr="00BF3E35">
              <w:rPr>
                <w:rFonts w:ascii="Times New Roman" w:hAnsi="Times New Roman" w:cs="Times New Roman"/>
                <w:sz w:val="20"/>
                <w:szCs w:val="20"/>
              </w:rPr>
              <w:t>.</w:t>
            </w:r>
          </w:p>
        </w:tc>
        <w:tc>
          <w:tcPr>
            <w:tcW w:w="2655" w:type="dxa"/>
          </w:tcPr>
          <w:p w14:paraId="662E3787"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SWTS survey in 2009 and 2019</w:t>
            </w:r>
          </w:p>
        </w:tc>
      </w:tr>
      <w:tr w:rsidR="00BF3E35" w:rsidRPr="00BF3E35" w14:paraId="29FF85BA" w14:textId="77777777" w:rsidTr="00BF3E35">
        <w:trPr>
          <w:jc w:val="center"/>
        </w:trPr>
        <w:tc>
          <w:tcPr>
            <w:tcW w:w="811" w:type="dxa"/>
          </w:tcPr>
          <w:p w14:paraId="440EA03E" w14:textId="77777777" w:rsidR="00BF3E35" w:rsidRPr="00BF3E35" w:rsidRDefault="00BF3E35" w:rsidP="00921D4E">
            <w:pPr>
              <w:jc w:val="center"/>
              <w:rPr>
                <w:rFonts w:ascii="Times New Roman" w:hAnsi="Times New Roman" w:cs="Times New Roman"/>
                <w:sz w:val="20"/>
                <w:szCs w:val="20"/>
              </w:rPr>
            </w:pPr>
            <w:r w:rsidRPr="00BF3E35">
              <w:rPr>
                <w:rFonts w:ascii="Times New Roman" w:hAnsi="Times New Roman" w:cs="Times New Roman"/>
                <w:sz w:val="20"/>
                <w:szCs w:val="20"/>
              </w:rPr>
              <w:t>13</w:t>
            </w:r>
          </w:p>
        </w:tc>
        <w:tc>
          <w:tcPr>
            <w:tcW w:w="1874" w:type="dxa"/>
          </w:tcPr>
          <w:p w14:paraId="00265021"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Proportion of forested habitat collected along the transect lines for each cell.</w:t>
            </w:r>
          </w:p>
        </w:tc>
        <w:tc>
          <w:tcPr>
            <w:tcW w:w="1794" w:type="dxa"/>
          </w:tcPr>
          <w:p w14:paraId="58DCC127"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Forest_hab</w:t>
            </w:r>
            <w:r w:rsidRPr="00BF3E35" w:rsidDel="00283E4C">
              <w:rPr>
                <w:rFonts w:ascii="Times New Roman" w:hAnsi="Times New Roman" w:cs="Times New Roman"/>
                <w:sz w:val="20"/>
                <w:szCs w:val="20"/>
              </w:rPr>
              <w:t xml:space="preserve"> </w:t>
            </w:r>
          </w:p>
        </w:tc>
        <w:tc>
          <w:tcPr>
            <w:tcW w:w="2696" w:type="dxa"/>
          </w:tcPr>
          <w:p w14:paraId="27EAD3BB"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Occupancy of tiger and sambar were higher in higher total area of forest cover (Wibisono, 2021)</w:t>
            </w:r>
          </w:p>
        </w:tc>
        <w:tc>
          <w:tcPr>
            <w:tcW w:w="2655" w:type="dxa"/>
          </w:tcPr>
          <w:p w14:paraId="76C977A2" w14:textId="77777777" w:rsidR="00BF3E35" w:rsidRPr="00BF3E35" w:rsidRDefault="00BF3E35" w:rsidP="00921D4E">
            <w:pPr>
              <w:rPr>
                <w:rFonts w:ascii="Times New Roman" w:hAnsi="Times New Roman" w:cs="Times New Roman"/>
                <w:sz w:val="20"/>
                <w:szCs w:val="20"/>
              </w:rPr>
            </w:pPr>
            <w:r w:rsidRPr="00BF3E35">
              <w:rPr>
                <w:rFonts w:ascii="Times New Roman" w:hAnsi="Times New Roman" w:cs="Times New Roman"/>
                <w:sz w:val="20"/>
                <w:szCs w:val="20"/>
              </w:rPr>
              <w:t>SWTS survey in 2009 and 2019</w:t>
            </w:r>
          </w:p>
        </w:tc>
      </w:tr>
    </w:tbl>
    <w:p w14:paraId="2AD817C4" w14:textId="305AAABA" w:rsidR="00BF3E35" w:rsidRDefault="00073802" w:rsidP="006F74C9">
      <w:pPr>
        <w:pStyle w:val="Caption"/>
        <w:keepNext/>
        <w:rPr>
          <w:rFonts w:ascii="Times New Roman" w:hAnsi="Times New Roman" w:cs="Times New Roman"/>
          <w:i w:val="0"/>
          <w:iCs w:val="0"/>
          <w:color w:val="auto"/>
        </w:rPr>
      </w:pPr>
      <w:r>
        <w:rPr>
          <w:rFonts w:ascii="Times New Roman" w:hAnsi="Times New Roman" w:cs="Times New Roman"/>
          <w:i w:val="0"/>
          <w:iCs w:val="0"/>
          <w:color w:val="auto"/>
        </w:rPr>
        <w:t>SWTS stands for Sumatran-wide Tiger Survey</w:t>
      </w:r>
    </w:p>
    <w:p w14:paraId="2619468D" w14:textId="4159F974" w:rsidR="006F74C9" w:rsidRPr="00BF3E35" w:rsidRDefault="006F74C9" w:rsidP="006F74C9">
      <w:pPr>
        <w:pStyle w:val="Caption"/>
        <w:keepNext/>
        <w:rPr>
          <w:rFonts w:ascii="Times New Roman" w:hAnsi="Times New Roman" w:cs="Times New Roman"/>
          <w:i w:val="0"/>
          <w:iCs w:val="0"/>
          <w:color w:val="auto"/>
          <w:sz w:val="22"/>
          <w:szCs w:val="22"/>
        </w:rPr>
      </w:pPr>
      <w:r w:rsidRPr="00BF3E35">
        <w:rPr>
          <w:rFonts w:ascii="Times New Roman" w:hAnsi="Times New Roman" w:cs="Times New Roman"/>
          <w:i w:val="0"/>
          <w:iCs w:val="0"/>
          <w:color w:val="auto"/>
          <w:sz w:val="22"/>
          <w:szCs w:val="22"/>
        </w:rPr>
        <w:t>Table S</w:t>
      </w:r>
      <w:r w:rsidRPr="00BF3E35">
        <w:rPr>
          <w:rFonts w:ascii="Times New Roman" w:hAnsi="Times New Roman" w:cs="Times New Roman"/>
          <w:i w:val="0"/>
          <w:iCs w:val="0"/>
          <w:color w:val="auto"/>
          <w:sz w:val="22"/>
          <w:szCs w:val="22"/>
        </w:rPr>
        <w:fldChar w:fldCharType="begin"/>
      </w:r>
      <w:r w:rsidRPr="00BF3E35">
        <w:rPr>
          <w:rFonts w:ascii="Times New Roman" w:hAnsi="Times New Roman" w:cs="Times New Roman"/>
          <w:i w:val="0"/>
          <w:iCs w:val="0"/>
          <w:color w:val="auto"/>
          <w:sz w:val="22"/>
          <w:szCs w:val="22"/>
        </w:rPr>
        <w:instrText xml:space="preserve"> SEQ Table_S- \* ARABIC </w:instrText>
      </w:r>
      <w:r w:rsidRPr="00BF3E35">
        <w:rPr>
          <w:rFonts w:ascii="Times New Roman" w:hAnsi="Times New Roman" w:cs="Times New Roman"/>
          <w:i w:val="0"/>
          <w:iCs w:val="0"/>
          <w:color w:val="auto"/>
          <w:sz w:val="22"/>
          <w:szCs w:val="22"/>
        </w:rPr>
        <w:fldChar w:fldCharType="separate"/>
      </w:r>
      <w:r w:rsidR="00BF3E35" w:rsidRPr="00BF3E35">
        <w:rPr>
          <w:rFonts w:ascii="Times New Roman" w:hAnsi="Times New Roman" w:cs="Times New Roman"/>
          <w:i w:val="0"/>
          <w:iCs w:val="0"/>
          <w:noProof/>
          <w:color w:val="auto"/>
          <w:sz w:val="22"/>
          <w:szCs w:val="22"/>
        </w:rPr>
        <w:t>3</w:t>
      </w:r>
      <w:r w:rsidRPr="00BF3E35">
        <w:rPr>
          <w:rFonts w:ascii="Times New Roman" w:hAnsi="Times New Roman" w:cs="Times New Roman"/>
          <w:i w:val="0"/>
          <w:iCs w:val="0"/>
          <w:color w:val="auto"/>
          <w:sz w:val="22"/>
          <w:szCs w:val="22"/>
        </w:rPr>
        <w:fldChar w:fldCharType="end"/>
      </w:r>
      <w:r w:rsidRPr="00BF3E35">
        <w:rPr>
          <w:rFonts w:ascii="Times New Roman" w:hAnsi="Times New Roman" w:cs="Times New Roman"/>
          <w:i w:val="0"/>
          <w:iCs w:val="0"/>
          <w:color w:val="auto"/>
          <w:sz w:val="22"/>
          <w:szCs w:val="22"/>
        </w:rPr>
        <w:t>. Model performance for each species using 2009 occupancy data</w:t>
      </w:r>
    </w:p>
    <w:tbl>
      <w:tblPr>
        <w:tblW w:w="9531" w:type="dxa"/>
        <w:tblBorders>
          <w:top w:val="single" w:sz="4" w:space="0" w:color="auto"/>
          <w:bottom w:val="single" w:sz="4" w:space="0" w:color="auto"/>
          <w:insideH w:val="single" w:sz="4" w:space="0" w:color="auto"/>
        </w:tblBorders>
        <w:tblLook w:val="04A0" w:firstRow="1" w:lastRow="0" w:firstColumn="1" w:lastColumn="0" w:noHBand="0" w:noVBand="1"/>
      </w:tblPr>
      <w:tblGrid>
        <w:gridCol w:w="461"/>
        <w:gridCol w:w="1082"/>
        <w:gridCol w:w="6113"/>
        <w:gridCol w:w="946"/>
        <w:gridCol w:w="930"/>
      </w:tblGrid>
      <w:tr w:rsidR="006F74C9" w:rsidRPr="00BF3E35" w14:paraId="2C37408F" w14:textId="77777777" w:rsidTr="009C22E1">
        <w:trPr>
          <w:trHeight w:val="300"/>
        </w:trPr>
        <w:tc>
          <w:tcPr>
            <w:tcW w:w="460" w:type="dxa"/>
            <w:shd w:val="clear" w:color="auto" w:fill="auto"/>
            <w:noWrap/>
            <w:vAlign w:val="bottom"/>
            <w:hideMark/>
          </w:tcPr>
          <w:p w14:paraId="0909E524"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No</w:t>
            </w:r>
          </w:p>
        </w:tc>
        <w:tc>
          <w:tcPr>
            <w:tcW w:w="1082" w:type="dxa"/>
            <w:shd w:val="clear" w:color="auto" w:fill="auto"/>
            <w:noWrap/>
            <w:vAlign w:val="bottom"/>
            <w:hideMark/>
          </w:tcPr>
          <w:p w14:paraId="5BA8474E"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Species</w:t>
            </w:r>
          </w:p>
        </w:tc>
        <w:tc>
          <w:tcPr>
            <w:tcW w:w="6113" w:type="dxa"/>
            <w:shd w:val="clear" w:color="auto" w:fill="auto"/>
            <w:noWrap/>
            <w:vAlign w:val="bottom"/>
            <w:hideMark/>
          </w:tcPr>
          <w:p w14:paraId="61C46223"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Model</w:t>
            </w:r>
          </w:p>
        </w:tc>
        <w:tc>
          <w:tcPr>
            <w:tcW w:w="946" w:type="dxa"/>
            <w:shd w:val="clear" w:color="auto" w:fill="auto"/>
            <w:noWrap/>
            <w:vAlign w:val="bottom"/>
            <w:hideMark/>
          </w:tcPr>
          <w:p w14:paraId="45F5BAA5" w14:textId="5239EBE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DAIC</w:t>
            </w:r>
            <w:r w:rsidR="00CB6651" w:rsidRPr="00BF3E35">
              <w:rPr>
                <w:rFonts w:ascii="Times New Roman" w:eastAsia="Times New Roman" w:hAnsi="Times New Roman" w:cs="Times New Roman"/>
                <w:color w:val="000000"/>
                <w:sz w:val="20"/>
                <w:szCs w:val="20"/>
                <w:lang w:val="en-SG" w:eastAsia="en-SG"/>
              </w:rPr>
              <w:t>c</w:t>
            </w:r>
          </w:p>
        </w:tc>
        <w:tc>
          <w:tcPr>
            <w:tcW w:w="930" w:type="dxa"/>
            <w:shd w:val="clear" w:color="auto" w:fill="auto"/>
            <w:noWrap/>
            <w:vAlign w:val="bottom"/>
            <w:hideMark/>
          </w:tcPr>
          <w:p w14:paraId="7F063549"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wgt</w:t>
            </w:r>
          </w:p>
        </w:tc>
      </w:tr>
      <w:tr w:rsidR="006F74C9" w:rsidRPr="00BF3E35" w14:paraId="1132D49F" w14:textId="77777777" w:rsidTr="009C22E1">
        <w:trPr>
          <w:trHeight w:val="300"/>
        </w:trPr>
        <w:tc>
          <w:tcPr>
            <w:tcW w:w="460" w:type="dxa"/>
            <w:shd w:val="clear" w:color="auto" w:fill="auto"/>
            <w:noWrap/>
            <w:vAlign w:val="bottom"/>
            <w:hideMark/>
          </w:tcPr>
          <w:p w14:paraId="5EB47E59"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w:t>
            </w:r>
          </w:p>
        </w:tc>
        <w:tc>
          <w:tcPr>
            <w:tcW w:w="1082" w:type="dxa"/>
            <w:shd w:val="clear" w:color="auto" w:fill="auto"/>
            <w:noWrap/>
            <w:vAlign w:val="bottom"/>
            <w:hideMark/>
          </w:tcPr>
          <w:p w14:paraId="4D5FF259"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Elephant</w:t>
            </w:r>
          </w:p>
        </w:tc>
        <w:tc>
          <w:tcPr>
            <w:tcW w:w="6113" w:type="dxa"/>
            <w:shd w:val="clear" w:color="auto" w:fill="auto"/>
            <w:noWrap/>
            <w:vAlign w:val="bottom"/>
            <w:hideMark/>
          </w:tcPr>
          <w:p w14:paraId="74E12E40"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psi(~fcover_area + disturbance)theta(~PRIME)p(~forest_hab)th0pi(~1)</w:t>
            </w:r>
          </w:p>
        </w:tc>
        <w:tc>
          <w:tcPr>
            <w:tcW w:w="946" w:type="dxa"/>
            <w:shd w:val="clear" w:color="auto" w:fill="auto"/>
            <w:noWrap/>
            <w:vAlign w:val="bottom"/>
            <w:hideMark/>
          </w:tcPr>
          <w:p w14:paraId="7DB838FE"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0.00</w:t>
            </w:r>
          </w:p>
        </w:tc>
        <w:tc>
          <w:tcPr>
            <w:tcW w:w="930" w:type="dxa"/>
            <w:shd w:val="clear" w:color="auto" w:fill="auto"/>
            <w:noWrap/>
            <w:vAlign w:val="bottom"/>
            <w:hideMark/>
          </w:tcPr>
          <w:p w14:paraId="1F6F7045"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0.79</w:t>
            </w:r>
          </w:p>
        </w:tc>
      </w:tr>
      <w:tr w:rsidR="006F74C9" w:rsidRPr="00BF3E35" w14:paraId="0FC46593" w14:textId="77777777" w:rsidTr="009C22E1">
        <w:trPr>
          <w:trHeight w:val="300"/>
        </w:trPr>
        <w:tc>
          <w:tcPr>
            <w:tcW w:w="460" w:type="dxa"/>
            <w:shd w:val="clear" w:color="auto" w:fill="auto"/>
            <w:noWrap/>
            <w:vAlign w:val="bottom"/>
            <w:hideMark/>
          </w:tcPr>
          <w:p w14:paraId="66138B29"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w:t>
            </w:r>
          </w:p>
        </w:tc>
        <w:tc>
          <w:tcPr>
            <w:tcW w:w="1082" w:type="dxa"/>
            <w:shd w:val="clear" w:color="auto" w:fill="auto"/>
            <w:noWrap/>
            <w:vAlign w:val="bottom"/>
            <w:hideMark/>
          </w:tcPr>
          <w:p w14:paraId="16CE94F7"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Elephant</w:t>
            </w:r>
          </w:p>
        </w:tc>
        <w:tc>
          <w:tcPr>
            <w:tcW w:w="6113" w:type="dxa"/>
            <w:shd w:val="clear" w:color="auto" w:fill="auto"/>
            <w:noWrap/>
            <w:vAlign w:val="bottom"/>
            <w:hideMark/>
          </w:tcPr>
          <w:p w14:paraId="0E357EE2"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psi(~fcover_area)theta(~PRIME)p(~forest_hab)th0pi(~1)</w:t>
            </w:r>
          </w:p>
        </w:tc>
        <w:tc>
          <w:tcPr>
            <w:tcW w:w="946" w:type="dxa"/>
            <w:shd w:val="clear" w:color="auto" w:fill="auto"/>
            <w:noWrap/>
            <w:vAlign w:val="bottom"/>
            <w:hideMark/>
          </w:tcPr>
          <w:p w14:paraId="35514B97"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2.87</w:t>
            </w:r>
          </w:p>
        </w:tc>
        <w:tc>
          <w:tcPr>
            <w:tcW w:w="930" w:type="dxa"/>
            <w:shd w:val="clear" w:color="auto" w:fill="auto"/>
            <w:noWrap/>
            <w:vAlign w:val="bottom"/>
            <w:hideMark/>
          </w:tcPr>
          <w:p w14:paraId="0ACDAF22"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0.19</w:t>
            </w:r>
          </w:p>
        </w:tc>
      </w:tr>
      <w:tr w:rsidR="006F74C9" w:rsidRPr="00BF3E35" w14:paraId="3FC86921" w14:textId="77777777" w:rsidTr="009C22E1">
        <w:trPr>
          <w:trHeight w:val="300"/>
        </w:trPr>
        <w:tc>
          <w:tcPr>
            <w:tcW w:w="460" w:type="dxa"/>
            <w:shd w:val="clear" w:color="auto" w:fill="auto"/>
            <w:noWrap/>
            <w:vAlign w:val="bottom"/>
            <w:hideMark/>
          </w:tcPr>
          <w:p w14:paraId="7C79710B"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3</w:t>
            </w:r>
          </w:p>
        </w:tc>
        <w:tc>
          <w:tcPr>
            <w:tcW w:w="1082" w:type="dxa"/>
            <w:shd w:val="clear" w:color="auto" w:fill="auto"/>
            <w:noWrap/>
            <w:vAlign w:val="bottom"/>
            <w:hideMark/>
          </w:tcPr>
          <w:p w14:paraId="59F2BF7C"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Elephant</w:t>
            </w:r>
          </w:p>
        </w:tc>
        <w:tc>
          <w:tcPr>
            <w:tcW w:w="6113" w:type="dxa"/>
            <w:shd w:val="clear" w:color="auto" w:fill="auto"/>
            <w:noWrap/>
            <w:vAlign w:val="bottom"/>
            <w:hideMark/>
          </w:tcPr>
          <w:p w14:paraId="50A8E810"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psi(~1)theta(~PRIME)p(~1)th0pi(~1)</w:t>
            </w:r>
          </w:p>
        </w:tc>
        <w:tc>
          <w:tcPr>
            <w:tcW w:w="946" w:type="dxa"/>
            <w:shd w:val="clear" w:color="auto" w:fill="auto"/>
            <w:noWrap/>
            <w:vAlign w:val="bottom"/>
            <w:hideMark/>
          </w:tcPr>
          <w:p w14:paraId="7ADB9CDA"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9.66</w:t>
            </w:r>
          </w:p>
        </w:tc>
        <w:tc>
          <w:tcPr>
            <w:tcW w:w="930" w:type="dxa"/>
            <w:shd w:val="clear" w:color="auto" w:fill="auto"/>
            <w:noWrap/>
            <w:vAlign w:val="bottom"/>
            <w:hideMark/>
          </w:tcPr>
          <w:p w14:paraId="561D5EBD"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0.01</w:t>
            </w:r>
          </w:p>
        </w:tc>
      </w:tr>
      <w:tr w:rsidR="006F74C9" w:rsidRPr="00BF3E35" w14:paraId="14F5790C" w14:textId="77777777" w:rsidTr="009C22E1">
        <w:trPr>
          <w:trHeight w:val="300"/>
        </w:trPr>
        <w:tc>
          <w:tcPr>
            <w:tcW w:w="460" w:type="dxa"/>
            <w:shd w:val="clear" w:color="auto" w:fill="auto"/>
            <w:noWrap/>
            <w:vAlign w:val="bottom"/>
            <w:hideMark/>
          </w:tcPr>
          <w:p w14:paraId="0675E31F"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lastRenderedPageBreak/>
              <w:t>4</w:t>
            </w:r>
          </w:p>
        </w:tc>
        <w:tc>
          <w:tcPr>
            <w:tcW w:w="1082" w:type="dxa"/>
            <w:shd w:val="clear" w:color="auto" w:fill="auto"/>
            <w:noWrap/>
            <w:vAlign w:val="bottom"/>
            <w:hideMark/>
          </w:tcPr>
          <w:p w14:paraId="7396BE5A"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Elephant</w:t>
            </w:r>
          </w:p>
        </w:tc>
        <w:tc>
          <w:tcPr>
            <w:tcW w:w="6113" w:type="dxa"/>
            <w:shd w:val="clear" w:color="auto" w:fill="auto"/>
            <w:noWrap/>
            <w:vAlign w:val="bottom"/>
            <w:hideMark/>
          </w:tcPr>
          <w:p w14:paraId="79117555"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psi(~disturbance)theta(~PRIME)p(~forest_hab)th0pi(~1)</w:t>
            </w:r>
          </w:p>
        </w:tc>
        <w:tc>
          <w:tcPr>
            <w:tcW w:w="946" w:type="dxa"/>
            <w:shd w:val="clear" w:color="auto" w:fill="auto"/>
            <w:noWrap/>
            <w:vAlign w:val="bottom"/>
            <w:hideMark/>
          </w:tcPr>
          <w:p w14:paraId="2DCF3AC9"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10.32</w:t>
            </w:r>
          </w:p>
        </w:tc>
        <w:tc>
          <w:tcPr>
            <w:tcW w:w="930" w:type="dxa"/>
            <w:shd w:val="clear" w:color="auto" w:fill="auto"/>
            <w:noWrap/>
            <w:vAlign w:val="bottom"/>
            <w:hideMark/>
          </w:tcPr>
          <w:p w14:paraId="020F0312"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0.00</w:t>
            </w:r>
          </w:p>
        </w:tc>
      </w:tr>
      <w:tr w:rsidR="006F74C9" w:rsidRPr="00BF3E35" w14:paraId="4809FBBB" w14:textId="77777777" w:rsidTr="009C22E1">
        <w:trPr>
          <w:trHeight w:val="300"/>
        </w:trPr>
        <w:tc>
          <w:tcPr>
            <w:tcW w:w="460" w:type="dxa"/>
            <w:shd w:val="clear" w:color="auto" w:fill="auto"/>
            <w:noWrap/>
            <w:vAlign w:val="bottom"/>
            <w:hideMark/>
          </w:tcPr>
          <w:p w14:paraId="28317AFC"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5</w:t>
            </w:r>
          </w:p>
        </w:tc>
        <w:tc>
          <w:tcPr>
            <w:tcW w:w="1082" w:type="dxa"/>
            <w:shd w:val="clear" w:color="auto" w:fill="auto"/>
            <w:noWrap/>
            <w:vAlign w:val="bottom"/>
            <w:hideMark/>
          </w:tcPr>
          <w:p w14:paraId="0D47D3D1"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Elephant</w:t>
            </w:r>
          </w:p>
        </w:tc>
        <w:tc>
          <w:tcPr>
            <w:tcW w:w="6113" w:type="dxa"/>
            <w:shd w:val="clear" w:color="auto" w:fill="auto"/>
            <w:noWrap/>
            <w:vAlign w:val="bottom"/>
            <w:hideMark/>
          </w:tcPr>
          <w:p w14:paraId="1795AA3B"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psi(~elevation)theta(~PRIME)p(~forest_hab)th0pi(~1)</w:t>
            </w:r>
          </w:p>
        </w:tc>
        <w:tc>
          <w:tcPr>
            <w:tcW w:w="946" w:type="dxa"/>
            <w:shd w:val="clear" w:color="auto" w:fill="auto"/>
            <w:noWrap/>
            <w:vAlign w:val="bottom"/>
            <w:hideMark/>
          </w:tcPr>
          <w:p w14:paraId="63B060D7"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11.24</w:t>
            </w:r>
          </w:p>
        </w:tc>
        <w:tc>
          <w:tcPr>
            <w:tcW w:w="930" w:type="dxa"/>
            <w:shd w:val="clear" w:color="auto" w:fill="auto"/>
            <w:noWrap/>
            <w:vAlign w:val="bottom"/>
            <w:hideMark/>
          </w:tcPr>
          <w:p w14:paraId="007FF5EB"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0.00</w:t>
            </w:r>
          </w:p>
        </w:tc>
      </w:tr>
      <w:tr w:rsidR="006F74C9" w:rsidRPr="00BF3E35" w14:paraId="1B7838A4" w14:textId="77777777" w:rsidTr="009C22E1">
        <w:trPr>
          <w:trHeight w:val="300"/>
        </w:trPr>
        <w:tc>
          <w:tcPr>
            <w:tcW w:w="460" w:type="dxa"/>
            <w:shd w:val="clear" w:color="auto" w:fill="auto"/>
            <w:noWrap/>
            <w:vAlign w:val="bottom"/>
            <w:hideMark/>
          </w:tcPr>
          <w:p w14:paraId="420B1A17"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6</w:t>
            </w:r>
          </w:p>
        </w:tc>
        <w:tc>
          <w:tcPr>
            <w:tcW w:w="1082" w:type="dxa"/>
            <w:shd w:val="clear" w:color="auto" w:fill="auto"/>
            <w:noWrap/>
            <w:vAlign w:val="bottom"/>
            <w:hideMark/>
          </w:tcPr>
          <w:p w14:paraId="3EF4AB8A"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Elephant</w:t>
            </w:r>
          </w:p>
        </w:tc>
        <w:tc>
          <w:tcPr>
            <w:tcW w:w="6113" w:type="dxa"/>
            <w:shd w:val="clear" w:color="auto" w:fill="auto"/>
            <w:noWrap/>
            <w:vAlign w:val="bottom"/>
            <w:hideMark/>
          </w:tcPr>
          <w:p w14:paraId="4B65960A"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psi(~elevation + disturbance)theta(~PRIME)p(~forest_hab)th0pi(~1)</w:t>
            </w:r>
          </w:p>
        </w:tc>
        <w:tc>
          <w:tcPr>
            <w:tcW w:w="946" w:type="dxa"/>
            <w:shd w:val="clear" w:color="auto" w:fill="auto"/>
            <w:noWrap/>
            <w:vAlign w:val="bottom"/>
            <w:hideMark/>
          </w:tcPr>
          <w:p w14:paraId="1339CD5C"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11.87</w:t>
            </w:r>
          </w:p>
        </w:tc>
        <w:tc>
          <w:tcPr>
            <w:tcW w:w="930" w:type="dxa"/>
            <w:shd w:val="clear" w:color="auto" w:fill="auto"/>
            <w:noWrap/>
            <w:vAlign w:val="bottom"/>
            <w:hideMark/>
          </w:tcPr>
          <w:p w14:paraId="2B880017"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0.00</w:t>
            </w:r>
          </w:p>
        </w:tc>
      </w:tr>
      <w:tr w:rsidR="006F74C9" w:rsidRPr="00BF3E35" w14:paraId="0A4D30D2" w14:textId="77777777" w:rsidTr="009C22E1">
        <w:trPr>
          <w:trHeight w:val="300"/>
        </w:trPr>
        <w:tc>
          <w:tcPr>
            <w:tcW w:w="460" w:type="dxa"/>
            <w:shd w:val="clear" w:color="auto" w:fill="auto"/>
            <w:noWrap/>
            <w:vAlign w:val="bottom"/>
            <w:hideMark/>
          </w:tcPr>
          <w:p w14:paraId="6E21AD96"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7</w:t>
            </w:r>
          </w:p>
        </w:tc>
        <w:tc>
          <w:tcPr>
            <w:tcW w:w="1082" w:type="dxa"/>
            <w:shd w:val="clear" w:color="auto" w:fill="auto"/>
            <w:noWrap/>
            <w:vAlign w:val="bottom"/>
            <w:hideMark/>
          </w:tcPr>
          <w:p w14:paraId="1D0D54AC"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Elephant</w:t>
            </w:r>
          </w:p>
        </w:tc>
        <w:tc>
          <w:tcPr>
            <w:tcW w:w="6113" w:type="dxa"/>
            <w:shd w:val="clear" w:color="auto" w:fill="auto"/>
            <w:noWrap/>
            <w:vAlign w:val="bottom"/>
            <w:hideMark/>
          </w:tcPr>
          <w:p w14:paraId="237603A8"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psi(~slope + disturbance)theta(~PRIME)p(~forest_hab)th0pi(~1)</w:t>
            </w:r>
          </w:p>
        </w:tc>
        <w:tc>
          <w:tcPr>
            <w:tcW w:w="946" w:type="dxa"/>
            <w:shd w:val="clear" w:color="auto" w:fill="auto"/>
            <w:noWrap/>
            <w:vAlign w:val="bottom"/>
            <w:hideMark/>
          </w:tcPr>
          <w:p w14:paraId="01770E37"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12.58</w:t>
            </w:r>
          </w:p>
        </w:tc>
        <w:tc>
          <w:tcPr>
            <w:tcW w:w="930" w:type="dxa"/>
            <w:shd w:val="clear" w:color="auto" w:fill="auto"/>
            <w:noWrap/>
            <w:vAlign w:val="bottom"/>
            <w:hideMark/>
          </w:tcPr>
          <w:p w14:paraId="4F6900B6"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0.00</w:t>
            </w:r>
          </w:p>
        </w:tc>
      </w:tr>
      <w:tr w:rsidR="006F74C9" w:rsidRPr="00BF3E35" w14:paraId="7C85CA42" w14:textId="77777777" w:rsidTr="009C22E1">
        <w:trPr>
          <w:trHeight w:val="300"/>
        </w:trPr>
        <w:tc>
          <w:tcPr>
            <w:tcW w:w="460" w:type="dxa"/>
            <w:shd w:val="clear" w:color="auto" w:fill="auto"/>
            <w:noWrap/>
            <w:vAlign w:val="bottom"/>
            <w:hideMark/>
          </w:tcPr>
          <w:p w14:paraId="4E569A0A"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8</w:t>
            </w:r>
          </w:p>
        </w:tc>
        <w:tc>
          <w:tcPr>
            <w:tcW w:w="1082" w:type="dxa"/>
            <w:shd w:val="clear" w:color="auto" w:fill="auto"/>
            <w:noWrap/>
            <w:vAlign w:val="bottom"/>
            <w:hideMark/>
          </w:tcPr>
          <w:p w14:paraId="6B6062D9"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Elephant</w:t>
            </w:r>
          </w:p>
        </w:tc>
        <w:tc>
          <w:tcPr>
            <w:tcW w:w="6113" w:type="dxa"/>
            <w:shd w:val="clear" w:color="auto" w:fill="auto"/>
            <w:noWrap/>
            <w:vAlign w:val="bottom"/>
            <w:hideMark/>
          </w:tcPr>
          <w:p w14:paraId="6BBD0A47"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psi(~fcover_patches)theta(~PRIME)p(~forest_hab)th0pi(~1)</w:t>
            </w:r>
          </w:p>
        </w:tc>
        <w:tc>
          <w:tcPr>
            <w:tcW w:w="946" w:type="dxa"/>
            <w:shd w:val="clear" w:color="auto" w:fill="auto"/>
            <w:noWrap/>
            <w:vAlign w:val="bottom"/>
            <w:hideMark/>
          </w:tcPr>
          <w:p w14:paraId="4E4031EA"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12.78</w:t>
            </w:r>
          </w:p>
        </w:tc>
        <w:tc>
          <w:tcPr>
            <w:tcW w:w="930" w:type="dxa"/>
            <w:shd w:val="clear" w:color="auto" w:fill="auto"/>
            <w:noWrap/>
            <w:vAlign w:val="bottom"/>
            <w:hideMark/>
          </w:tcPr>
          <w:p w14:paraId="0FC7BC0C"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0.00</w:t>
            </w:r>
          </w:p>
        </w:tc>
      </w:tr>
      <w:tr w:rsidR="006F74C9" w:rsidRPr="00BF3E35" w14:paraId="669CE46B" w14:textId="77777777" w:rsidTr="009C22E1">
        <w:trPr>
          <w:trHeight w:val="300"/>
        </w:trPr>
        <w:tc>
          <w:tcPr>
            <w:tcW w:w="460" w:type="dxa"/>
            <w:shd w:val="clear" w:color="auto" w:fill="auto"/>
            <w:noWrap/>
            <w:vAlign w:val="bottom"/>
            <w:hideMark/>
          </w:tcPr>
          <w:p w14:paraId="33AD4522"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9</w:t>
            </w:r>
          </w:p>
        </w:tc>
        <w:tc>
          <w:tcPr>
            <w:tcW w:w="1082" w:type="dxa"/>
            <w:shd w:val="clear" w:color="auto" w:fill="auto"/>
            <w:noWrap/>
            <w:vAlign w:val="bottom"/>
            <w:hideMark/>
          </w:tcPr>
          <w:p w14:paraId="1941E645"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Elephant</w:t>
            </w:r>
          </w:p>
        </w:tc>
        <w:tc>
          <w:tcPr>
            <w:tcW w:w="6113" w:type="dxa"/>
            <w:shd w:val="clear" w:color="auto" w:fill="auto"/>
            <w:noWrap/>
            <w:vAlign w:val="bottom"/>
            <w:hideMark/>
          </w:tcPr>
          <w:p w14:paraId="102BB265"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psi(~slope)theta(~PRIME)p(~forest_hab)th0pi(~1)</w:t>
            </w:r>
          </w:p>
        </w:tc>
        <w:tc>
          <w:tcPr>
            <w:tcW w:w="946" w:type="dxa"/>
            <w:shd w:val="clear" w:color="auto" w:fill="auto"/>
            <w:noWrap/>
            <w:vAlign w:val="bottom"/>
            <w:hideMark/>
          </w:tcPr>
          <w:p w14:paraId="7767918C"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13.06</w:t>
            </w:r>
          </w:p>
        </w:tc>
        <w:tc>
          <w:tcPr>
            <w:tcW w:w="930" w:type="dxa"/>
            <w:shd w:val="clear" w:color="auto" w:fill="auto"/>
            <w:noWrap/>
            <w:vAlign w:val="bottom"/>
            <w:hideMark/>
          </w:tcPr>
          <w:p w14:paraId="5B47A54A"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0.00</w:t>
            </w:r>
          </w:p>
        </w:tc>
      </w:tr>
      <w:tr w:rsidR="006F74C9" w:rsidRPr="00BF3E35" w14:paraId="289368E0" w14:textId="77777777" w:rsidTr="009C22E1">
        <w:trPr>
          <w:trHeight w:val="300"/>
        </w:trPr>
        <w:tc>
          <w:tcPr>
            <w:tcW w:w="460" w:type="dxa"/>
            <w:tcBorders>
              <w:bottom w:val="single" w:sz="12" w:space="0" w:color="auto"/>
            </w:tcBorders>
            <w:shd w:val="clear" w:color="auto" w:fill="auto"/>
            <w:noWrap/>
            <w:vAlign w:val="bottom"/>
            <w:hideMark/>
          </w:tcPr>
          <w:p w14:paraId="2BF3C33A"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10</w:t>
            </w:r>
          </w:p>
        </w:tc>
        <w:tc>
          <w:tcPr>
            <w:tcW w:w="1082" w:type="dxa"/>
            <w:tcBorders>
              <w:bottom w:val="single" w:sz="12" w:space="0" w:color="auto"/>
            </w:tcBorders>
            <w:shd w:val="clear" w:color="auto" w:fill="auto"/>
            <w:noWrap/>
            <w:vAlign w:val="bottom"/>
            <w:hideMark/>
          </w:tcPr>
          <w:p w14:paraId="41954031"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Elephant</w:t>
            </w:r>
          </w:p>
        </w:tc>
        <w:tc>
          <w:tcPr>
            <w:tcW w:w="6113" w:type="dxa"/>
            <w:tcBorders>
              <w:bottom w:val="single" w:sz="12" w:space="0" w:color="auto"/>
            </w:tcBorders>
            <w:shd w:val="clear" w:color="auto" w:fill="auto"/>
            <w:noWrap/>
            <w:vAlign w:val="bottom"/>
            <w:hideMark/>
          </w:tcPr>
          <w:p w14:paraId="15CC7384"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psi(~slope + fcover_patches)theta(~PRIME)p(~forest_hab)th0pi(~1)</w:t>
            </w:r>
          </w:p>
        </w:tc>
        <w:tc>
          <w:tcPr>
            <w:tcW w:w="946" w:type="dxa"/>
            <w:tcBorders>
              <w:bottom w:val="single" w:sz="12" w:space="0" w:color="auto"/>
            </w:tcBorders>
            <w:shd w:val="clear" w:color="auto" w:fill="auto"/>
            <w:noWrap/>
            <w:vAlign w:val="bottom"/>
            <w:hideMark/>
          </w:tcPr>
          <w:p w14:paraId="5F784F04"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14.39</w:t>
            </w:r>
          </w:p>
        </w:tc>
        <w:tc>
          <w:tcPr>
            <w:tcW w:w="930" w:type="dxa"/>
            <w:tcBorders>
              <w:bottom w:val="single" w:sz="12" w:space="0" w:color="auto"/>
            </w:tcBorders>
            <w:shd w:val="clear" w:color="auto" w:fill="auto"/>
            <w:noWrap/>
            <w:vAlign w:val="bottom"/>
            <w:hideMark/>
          </w:tcPr>
          <w:p w14:paraId="257C31E8"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0.00</w:t>
            </w:r>
          </w:p>
        </w:tc>
      </w:tr>
      <w:tr w:rsidR="006F74C9" w:rsidRPr="00BF3E35" w14:paraId="57EE29A3" w14:textId="77777777" w:rsidTr="009C22E1">
        <w:trPr>
          <w:trHeight w:val="300"/>
        </w:trPr>
        <w:tc>
          <w:tcPr>
            <w:tcW w:w="460" w:type="dxa"/>
            <w:shd w:val="clear" w:color="auto" w:fill="auto"/>
            <w:noWrap/>
            <w:vAlign w:val="bottom"/>
            <w:hideMark/>
          </w:tcPr>
          <w:p w14:paraId="3A2B19D0"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11</w:t>
            </w:r>
          </w:p>
        </w:tc>
        <w:tc>
          <w:tcPr>
            <w:tcW w:w="1082" w:type="dxa"/>
            <w:shd w:val="clear" w:color="auto" w:fill="auto"/>
            <w:noWrap/>
            <w:vAlign w:val="bottom"/>
            <w:hideMark/>
          </w:tcPr>
          <w:p w14:paraId="228A227F"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Tiger</w:t>
            </w:r>
          </w:p>
        </w:tc>
        <w:tc>
          <w:tcPr>
            <w:tcW w:w="6113" w:type="dxa"/>
            <w:shd w:val="clear" w:color="auto" w:fill="auto"/>
            <w:noWrap/>
            <w:vAlign w:val="bottom"/>
            <w:hideMark/>
          </w:tcPr>
          <w:p w14:paraId="285A2520"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psi(~fcover_area + disturbance)theta(~PRIME)p(~forest_hab)th0pi(~1)</w:t>
            </w:r>
          </w:p>
        </w:tc>
        <w:tc>
          <w:tcPr>
            <w:tcW w:w="946" w:type="dxa"/>
            <w:shd w:val="clear" w:color="auto" w:fill="auto"/>
            <w:noWrap/>
            <w:vAlign w:val="bottom"/>
            <w:hideMark/>
          </w:tcPr>
          <w:p w14:paraId="254EFEF0"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0.00</w:t>
            </w:r>
          </w:p>
        </w:tc>
        <w:tc>
          <w:tcPr>
            <w:tcW w:w="930" w:type="dxa"/>
            <w:shd w:val="clear" w:color="auto" w:fill="auto"/>
            <w:noWrap/>
            <w:vAlign w:val="bottom"/>
            <w:hideMark/>
          </w:tcPr>
          <w:p w14:paraId="62970D82"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0.93</w:t>
            </w:r>
          </w:p>
        </w:tc>
      </w:tr>
      <w:tr w:rsidR="006F74C9" w:rsidRPr="00BF3E35" w14:paraId="762970BE" w14:textId="77777777" w:rsidTr="009C22E1">
        <w:trPr>
          <w:trHeight w:val="300"/>
        </w:trPr>
        <w:tc>
          <w:tcPr>
            <w:tcW w:w="460" w:type="dxa"/>
            <w:shd w:val="clear" w:color="auto" w:fill="auto"/>
            <w:noWrap/>
            <w:vAlign w:val="bottom"/>
            <w:hideMark/>
          </w:tcPr>
          <w:p w14:paraId="66C04441"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12</w:t>
            </w:r>
          </w:p>
        </w:tc>
        <w:tc>
          <w:tcPr>
            <w:tcW w:w="1082" w:type="dxa"/>
            <w:shd w:val="clear" w:color="auto" w:fill="auto"/>
            <w:noWrap/>
            <w:vAlign w:val="bottom"/>
            <w:hideMark/>
          </w:tcPr>
          <w:p w14:paraId="79075CFB"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Tiger</w:t>
            </w:r>
          </w:p>
        </w:tc>
        <w:tc>
          <w:tcPr>
            <w:tcW w:w="6113" w:type="dxa"/>
            <w:shd w:val="clear" w:color="auto" w:fill="auto"/>
            <w:noWrap/>
            <w:vAlign w:val="bottom"/>
            <w:hideMark/>
          </w:tcPr>
          <w:p w14:paraId="2A87148D"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psi(~disturbance)theta(~PRIME)p(~forest_hab)th0pi(~1)</w:t>
            </w:r>
          </w:p>
        </w:tc>
        <w:tc>
          <w:tcPr>
            <w:tcW w:w="946" w:type="dxa"/>
            <w:shd w:val="clear" w:color="auto" w:fill="auto"/>
            <w:noWrap/>
            <w:vAlign w:val="bottom"/>
            <w:hideMark/>
          </w:tcPr>
          <w:p w14:paraId="1B2C395F"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7.34</w:t>
            </w:r>
          </w:p>
        </w:tc>
        <w:tc>
          <w:tcPr>
            <w:tcW w:w="930" w:type="dxa"/>
            <w:shd w:val="clear" w:color="auto" w:fill="auto"/>
            <w:noWrap/>
            <w:vAlign w:val="bottom"/>
            <w:hideMark/>
          </w:tcPr>
          <w:p w14:paraId="0AA1A451"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0.02</w:t>
            </w:r>
          </w:p>
        </w:tc>
      </w:tr>
      <w:tr w:rsidR="006F74C9" w:rsidRPr="00BF3E35" w14:paraId="7B1294B8" w14:textId="77777777" w:rsidTr="009C22E1">
        <w:trPr>
          <w:trHeight w:val="300"/>
        </w:trPr>
        <w:tc>
          <w:tcPr>
            <w:tcW w:w="460" w:type="dxa"/>
            <w:shd w:val="clear" w:color="auto" w:fill="auto"/>
            <w:noWrap/>
            <w:vAlign w:val="bottom"/>
            <w:hideMark/>
          </w:tcPr>
          <w:p w14:paraId="2ED72781"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13</w:t>
            </w:r>
          </w:p>
        </w:tc>
        <w:tc>
          <w:tcPr>
            <w:tcW w:w="1082" w:type="dxa"/>
            <w:shd w:val="clear" w:color="auto" w:fill="auto"/>
            <w:noWrap/>
            <w:vAlign w:val="bottom"/>
            <w:hideMark/>
          </w:tcPr>
          <w:p w14:paraId="0F134AB8"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Tiger</w:t>
            </w:r>
          </w:p>
        </w:tc>
        <w:tc>
          <w:tcPr>
            <w:tcW w:w="6113" w:type="dxa"/>
            <w:shd w:val="clear" w:color="auto" w:fill="auto"/>
            <w:noWrap/>
            <w:vAlign w:val="bottom"/>
            <w:hideMark/>
          </w:tcPr>
          <w:p w14:paraId="722639ED"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psi(~slope + disturbance)theta(~PRIME)p(~forest_hab)th0pi(~1)</w:t>
            </w:r>
          </w:p>
        </w:tc>
        <w:tc>
          <w:tcPr>
            <w:tcW w:w="946" w:type="dxa"/>
            <w:shd w:val="clear" w:color="auto" w:fill="auto"/>
            <w:noWrap/>
            <w:vAlign w:val="bottom"/>
            <w:hideMark/>
          </w:tcPr>
          <w:p w14:paraId="3F892512"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7.75</w:t>
            </w:r>
          </w:p>
        </w:tc>
        <w:tc>
          <w:tcPr>
            <w:tcW w:w="930" w:type="dxa"/>
            <w:shd w:val="clear" w:color="auto" w:fill="auto"/>
            <w:noWrap/>
            <w:vAlign w:val="bottom"/>
            <w:hideMark/>
          </w:tcPr>
          <w:p w14:paraId="0B5FF3A4"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0.02</w:t>
            </w:r>
          </w:p>
        </w:tc>
      </w:tr>
      <w:tr w:rsidR="006F74C9" w:rsidRPr="00BF3E35" w14:paraId="0A2BECBB" w14:textId="77777777" w:rsidTr="009C22E1">
        <w:trPr>
          <w:trHeight w:val="300"/>
        </w:trPr>
        <w:tc>
          <w:tcPr>
            <w:tcW w:w="460" w:type="dxa"/>
            <w:shd w:val="clear" w:color="auto" w:fill="auto"/>
            <w:noWrap/>
            <w:vAlign w:val="bottom"/>
            <w:hideMark/>
          </w:tcPr>
          <w:p w14:paraId="12E05540"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14</w:t>
            </w:r>
          </w:p>
        </w:tc>
        <w:tc>
          <w:tcPr>
            <w:tcW w:w="1082" w:type="dxa"/>
            <w:shd w:val="clear" w:color="auto" w:fill="auto"/>
            <w:noWrap/>
            <w:vAlign w:val="bottom"/>
            <w:hideMark/>
          </w:tcPr>
          <w:p w14:paraId="43333C36"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Tiger</w:t>
            </w:r>
          </w:p>
        </w:tc>
        <w:tc>
          <w:tcPr>
            <w:tcW w:w="6113" w:type="dxa"/>
            <w:shd w:val="clear" w:color="auto" w:fill="auto"/>
            <w:noWrap/>
            <w:vAlign w:val="bottom"/>
            <w:hideMark/>
          </w:tcPr>
          <w:p w14:paraId="1F99B3CB"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psi(~fcover_area)theta(~PRIME)p(~forest_hab)th0pi(~1)</w:t>
            </w:r>
          </w:p>
        </w:tc>
        <w:tc>
          <w:tcPr>
            <w:tcW w:w="946" w:type="dxa"/>
            <w:shd w:val="clear" w:color="auto" w:fill="auto"/>
            <w:noWrap/>
            <w:vAlign w:val="bottom"/>
            <w:hideMark/>
          </w:tcPr>
          <w:p w14:paraId="669333DB"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7.75</w:t>
            </w:r>
          </w:p>
        </w:tc>
        <w:tc>
          <w:tcPr>
            <w:tcW w:w="930" w:type="dxa"/>
            <w:shd w:val="clear" w:color="auto" w:fill="auto"/>
            <w:noWrap/>
            <w:vAlign w:val="bottom"/>
            <w:hideMark/>
          </w:tcPr>
          <w:p w14:paraId="383952D8"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0.02</w:t>
            </w:r>
          </w:p>
        </w:tc>
      </w:tr>
      <w:tr w:rsidR="006F74C9" w:rsidRPr="00BF3E35" w14:paraId="1BB2457B" w14:textId="77777777" w:rsidTr="009C22E1">
        <w:trPr>
          <w:trHeight w:val="300"/>
        </w:trPr>
        <w:tc>
          <w:tcPr>
            <w:tcW w:w="460" w:type="dxa"/>
            <w:shd w:val="clear" w:color="auto" w:fill="auto"/>
            <w:noWrap/>
            <w:vAlign w:val="bottom"/>
            <w:hideMark/>
          </w:tcPr>
          <w:p w14:paraId="5225879E"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15</w:t>
            </w:r>
          </w:p>
        </w:tc>
        <w:tc>
          <w:tcPr>
            <w:tcW w:w="1082" w:type="dxa"/>
            <w:shd w:val="clear" w:color="auto" w:fill="auto"/>
            <w:noWrap/>
            <w:vAlign w:val="bottom"/>
            <w:hideMark/>
          </w:tcPr>
          <w:p w14:paraId="04D08F65"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Tiger</w:t>
            </w:r>
          </w:p>
        </w:tc>
        <w:tc>
          <w:tcPr>
            <w:tcW w:w="6113" w:type="dxa"/>
            <w:shd w:val="clear" w:color="auto" w:fill="auto"/>
            <w:noWrap/>
            <w:vAlign w:val="bottom"/>
            <w:hideMark/>
          </w:tcPr>
          <w:p w14:paraId="5019C4BF"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psi(~fcover_area + prey)theta(~PRIME)p(~forest_hab)th0pi(~1)</w:t>
            </w:r>
          </w:p>
        </w:tc>
        <w:tc>
          <w:tcPr>
            <w:tcW w:w="946" w:type="dxa"/>
            <w:shd w:val="clear" w:color="auto" w:fill="auto"/>
            <w:noWrap/>
            <w:vAlign w:val="bottom"/>
            <w:hideMark/>
          </w:tcPr>
          <w:p w14:paraId="079DAFED"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9.92</w:t>
            </w:r>
          </w:p>
        </w:tc>
        <w:tc>
          <w:tcPr>
            <w:tcW w:w="930" w:type="dxa"/>
            <w:shd w:val="clear" w:color="auto" w:fill="auto"/>
            <w:noWrap/>
            <w:vAlign w:val="bottom"/>
            <w:hideMark/>
          </w:tcPr>
          <w:p w14:paraId="4772D716"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0.01</w:t>
            </w:r>
          </w:p>
        </w:tc>
      </w:tr>
      <w:tr w:rsidR="006F74C9" w:rsidRPr="00BF3E35" w14:paraId="4B24CA67" w14:textId="77777777" w:rsidTr="009C22E1">
        <w:trPr>
          <w:trHeight w:val="300"/>
        </w:trPr>
        <w:tc>
          <w:tcPr>
            <w:tcW w:w="460" w:type="dxa"/>
            <w:shd w:val="clear" w:color="auto" w:fill="auto"/>
            <w:noWrap/>
            <w:vAlign w:val="bottom"/>
            <w:hideMark/>
          </w:tcPr>
          <w:p w14:paraId="21203509"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16</w:t>
            </w:r>
          </w:p>
        </w:tc>
        <w:tc>
          <w:tcPr>
            <w:tcW w:w="1082" w:type="dxa"/>
            <w:shd w:val="clear" w:color="auto" w:fill="auto"/>
            <w:noWrap/>
            <w:vAlign w:val="bottom"/>
            <w:hideMark/>
          </w:tcPr>
          <w:p w14:paraId="6B9F5A55"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Tiger</w:t>
            </w:r>
          </w:p>
        </w:tc>
        <w:tc>
          <w:tcPr>
            <w:tcW w:w="6113" w:type="dxa"/>
            <w:shd w:val="clear" w:color="auto" w:fill="auto"/>
            <w:noWrap/>
            <w:vAlign w:val="bottom"/>
            <w:hideMark/>
          </w:tcPr>
          <w:p w14:paraId="5B595455"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psi(~1)theta(~PRIME)p(~1)th0pi(~1)</w:t>
            </w:r>
          </w:p>
        </w:tc>
        <w:tc>
          <w:tcPr>
            <w:tcW w:w="946" w:type="dxa"/>
            <w:shd w:val="clear" w:color="auto" w:fill="auto"/>
            <w:noWrap/>
            <w:vAlign w:val="bottom"/>
            <w:hideMark/>
          </w:tcPr>
          <w:p w14:paraId="0D0518A0"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11.48</w:t>
            </w:r>
          </w:p>
        </w:tc>
        <w:tc>
          <w:tcPr>
            <w:tcW w:w="930" w:type="dxa"/>
            <w:shd w:val="clear" w:color="auto" w:fill="auto"/>
            <w:noWrap/>
            <w:vAlign w:val="bottom"/>
            <w:hideMark/>
          </w:tcPr>
          <w:p w14:paraId="178E5A24"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0.00</w:t>
            </w:r>
          </w:p>
        </w:tc>
      </w:tr>
      <w:tr w:rsidR="006F74C9" w:rsidRPr="00BF3E35" w14:paraId="549AAFCE" w14:textId="77777777" w:rsidTr="009C22E1">
        <w:trPr>
          <w:trHeight w:val="300"/>
        </w:trPr>
        <w:tc>
          <w:tcPr>
            <w:tcW w:w="460" w:type="dxa"/>
            <w:shd w:val="clear" w:color="auto" w:fill="auto"/>
            <w:noWrap/>
            <w:vAlign w:val="bottom"/>
            <w:hideMark/>
          </w:tcPr>
          <w:p w14:paraId="5D75BB84"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17</w:t>
            </w:r>
          </w:p>
        </w:tc>
        <w:tc>
          <w:tcPr>
            <w:tcW w:w="1082" w:type="dxa"/>
            <w:shd w:val="clear" w:color="auto" w:fill="auto"/>
            <w:noWrap/>
            <w:vAlign w:val="bottom"/>
            <w:hideMark/>
          </w:tcPr>
          <w:p w14:paraId="08A79897"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Tiger</w:t>
            </w:r>
          </w:p>
        </w:tc>
        <w:tc>
          <w:tcPr>
            <w:tcW w:w="6113" w:type="dxa"/>
            <w:shd w:val="clear" w:color="auto" w:fill="auto"/>
            <w:noWrap/>
            <w:vAlign w:val="bottom"/>
            <w:hideMark/>
          </w:tcPr>
          <w:p w14:paraId="20957FF8"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psi(~elevation)theta(~PRIME)p(~forest_hab)th0pi(~1)</w:t>
            </w:r>
          </w:p>
        </w:tc>
        <w:tc>
          <w:tcPr>
            <w:tcW w:w="946" w:type="dxa"/>
            <w:shd w:val="clear" w:color="auto" w:fill="auto"/>
            <w:noWrap/>
            <w:vAlign w:val="bottom"/>
            <w:hideMark/>
          </w:tcPr>
          <w:p w14:paraId="225B1FE4"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13.96</w:t>
            </w:r>
          </w:p>
        </w:tc>
        <w:tc>
          <w:tcPr>
            <w:tcW w:w="930" w:type="dxa"/>
            <w:shd w:val="clear" w:color="auto" w:fill="auto"/>
            <w:noWrap/>
            <w:vAlign w:val="bottom"/>
            <w:hideMark/>
          </w:tcPr>
          <w:p w14:paraId="1CE33CA8"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0.00</w:t>
            </w:r>
          </w:p>
        </w:tc>
      </w:tr>
      <w:tr w:rsidR="006F74C9" w:rsidRPr="00BF3E35" w14:paraId="7A3287BC" w14:textId="77777777" w:rsidTr="009C22E1">
        <w:trPr>
          <w:trHeight w:val="300"/>
        </w:trPr>
        <w:tc>
          <w:tcPr>
            <w:tcW w:w="460" w:type="dxa"/>
            <w:shd w:val="clear" w:color="auto" w:fill="auto"/>
            <w:noWrap/>
            <w:vAlign w:val="bottom"/>
            <w:hideMark/>
          </w:tcPr>
          <w:p w14:paraId="4D574335"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18</w:t>
            </w:r>
          </w:p>
        </w:tc>
        <w:tc>
          <w:tcPr>
            <w:tcW w:w="1082" w:type="dxa"/>
            <w:shd w:val="clear" w:color="auto" w:fill="auto"/>
            <w:noWrap/>
            <w:vAlign w:val="bottom"/>
            <w:hideMark/>
          </w:tcPr>
          <w:p w14:paraId="27BA2C23"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Tiger</w:t>
            </w:r>
          </w:p>
        </w:tc>
        <w:tc>
          <w:tcPr>
            <w:tcW w:w="6113" w:type="dxa"/>
            <w:shd w:val="clear" w:color="auto" w:fill="auto"/>
            <w:noWrap/>
            <w:vAlign w:val="bottom"/>
            <w:hideMark/>
          </w:tcPr>
          <w:p w14:paraId="2C3BF310"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psi(~prey)theta(~PRIME)p(~forest_hab)th0pi(~1)</w:t>
            </w:r>
          </w:p>
        </w:tc>
        <w:tc>
          <w:tcPr>
            <w:tcW w:w="946" w:type="dxa"/>
            <w:shd w:val="clear" w:color="auto" w:fill="auto"/>
            <w:noWrap/>
            <w:vAlign w:val="bottom"/>
            <w:hideMark/>
          </w:tcPr>
          <w:p w14:paraId="12E87712"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14.92</w:t>
            </w:r>
          </w:p>
        </w:tc>
        <w:tc>
          <w:tcPr>
            <w:tcW w:w="930" w:type="dxa"/>
            <w:shd w:val="clear" w:color="auto" w:fill="auto"/>
            <w:noWrap/>
            <w:vAlign w:val="bottom"/>
            <w:hideMark/>
          </w:tcPr>
          <w:p w14:paraId="7B2CA13C"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0.00</w:t>
            </w:r>
          </w:p>
        </w:tc>
      </w:tr>
      <w:tr w:rsidR="006F74C9" w:rsidRPr="00BF3E35" w14:paraId="13CC100F" w14:textId="77777777" w:rsidTr="009C22E1">
        <w:trPr>
          <w:trHeight w:val="300"/>
        </w:trPr>
        <w:tc>
          <w:tcPr>
            <w:tcW w:w="460" w:type="dxa"/>
            <w:shd w:val="clear" w:color="auto" w:fill="auto"/>
            <w:noWrap/>
            <w:vAlign w:val="bottom"/>
            <w:hideMark/>
          </w:tcPr>
          <w:p w14:paraId="7F8E2AC2"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19</w:t>
            </w:r>
          </w:p>
        </w:tc>
        <w:tc>
          <w:tcPr>
            <w:tcW w:w="1082" w:type="dxa"/>
            <w:shd w:val="clear" w:color="auto" w:fill="auto"/>
            <w:noWrap/>
            <w:vAlign w:val="bottom"/>
            <w:hideMark/>
          </w:tcPr>
          <w:p w14:paraId="0C0B513C"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Tiger</w:t>
            </w:r>
          </w:p>
        </w:tc>
        <w:tc>
          <w:tcPr>
            <w:tcW w:w="6113" w:type="dxa"/>
            <w:shd w:val="clear" w:color="auto" w:fill="auto"/>
            <w:noWrap/>
            <w:vAlign w:val="bottom"/>
            <w:hideMark/>
          </w:tcPr>
          <w:p w14:paraId="29382EE9"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psi(~slope)theta(~PRIME)p(~forest_hab)th0pi(~1)</w:t>
            </w:r>
          </w:p>
        </w:tc>
        <w:tc>
          <w:tcPr>
            <w:tcW w:w="946" w:type="dxa"/>
            <w:shd w:val="clear" w:color="auto" w:fill="auto"/>
            <w:noWrap/>
            <w:vAlign w:val="bottom"/>
            <w:hideMark/>
          </w:tcPr>
          <w:p w14:paraId="6B6C5864"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14.95</w:t>
            </w:r>
          </w:p>
        </w:tc>
        <w:tc>
          <w:tcPr>
            <w:tcW w:w="930" w:type="dxa"/>
            <w:shd w:val="clear" w:color="auto" w:fill="auto"/>
            <w:noWrap/>
            <w:vAlign w:val="bottom"/>
            <w:hideMark/>
          </w:tcPr>
          <w:p w14:paraId="3687D390"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0.00</w:t>
            </w:r>
          </w:p>
        </w:tc>
      </w:tr>
      <w:tr w:rsidR="006F74C9" w:rsidRPr="00BF3E35" w14:paraId="4BB0BE8D" w14:textId="77777777" w:rsidTr="009C22E1">
        <w:trPr>
          <w:trHeight w:val="300"/>
        </w:trPr>
        <w:tc>
          <w:tcPr>
            <w:tcW w:w="460" w:type="dxa"/>
            <w:tcBorders>
              <w:bottom w:val="single" w:sz="12" w:space="0" w:color="auto"/>
            </w:tcBorders>
            <w:shd w:val="clear" w:color="auto" w:fill="auto"/>
            <w:noWrap/>
            <w:vAlign w:val="bottom"/>
            <w:hideMark/>
          </w:tcPr>
          <w:p w14:paraId="1690D3A3"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20</w:t>
            </w:r>
          </w:p>
        </w:tc>
        <w:tc>
          <w:tcPr>
            <w:tcW w:w="1082" w:type="dxa"/>
            <w:tcBorders>
              <w:bottom w:val="single" w:sz="12" w:space="0" w:color="auto"/>
            </w:tcBorders>
            <w:shd w:val="clear" w:color="auto" w:fill="auto"/>
            <w:noWrap/>
            <w:vAlign w:val="bottom"/>
            <w:hideMark/>
          </w:tcPr>
          <w:p w14:paraId="4D13D2EE"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Tiger</w:t>
            </w:r>
          </w:p>
        </w:tc>
        <w:tc>
          <w:tcPr>
            <w:tcW w:w="6113" w:type="dxa"/>
            <w:tcBorders>
              <w:bottom w:val="single" w:sz="12" w:space="0" w:color="auto"/>
            </w:tcBorders>
            <w:shd w:val="clear" w:color="auto" w:fill="auto"/>
            <w:noWrap/>
            <w:vAlign w:val="bottom"/>
            <w:hideMark/>
          </w:tcPr>
          <w:p w14:paraId="0C8FCF94"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psi(~fcover_patches)theta(~PRIME)p(~forest_hab)th0pi(~1)</w:t>
            </w:r>
          </w:p>
        </w:tc>
        <w:tc>
          <w:tcPr>
            <w:tcW w:w="946" w:type="dxa"/>
            <w:tcBorders>
              <w:bottom w:val="single" w:sz="12" w:space="0" w:color="auto"/>
            </w:tcBorders>
            <w:shd w:val="clear" w:color="auto" w:fill="auto"/>
            <w:noWrap/>
            <w:vAlign w:val="bottom"/>
            <w:hideMark/>
          </w:tcPr>
          <w:p w14:paraId="041B0F73"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14.98</w:t>
            </w:r>
          </w:p>
        </w:tc>
        <w:tc>
          <w:tcPr>
            <w:tcW w:w="930" w:type="dxa"/>
            <w:tcBorders>
              <w:bottom w:val="single" w:sz="12" w:space="0" w:color="auto"/>
            </w:tcBorders>
            <w:shd w:val="clear" w:color="auto" w:fill="auto"/>
            <w:noWrap/>
            <w:vAlign w:val="bottom"/>
            <w:hideMark/>
          </w:tcPr>
          <w:p w14:paraId="1D2C6879"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0.00</w:t>
            </w:r>
          </w:p>
        </w:tc>
      </w:tr>
      <w:tr w:rsidR="006F74C9" w:rsidRPr="00BF3E35" w14:paraId="507E3C3A" w14:textId="77777777" w:rsidTr="009C22E1">
        <w:trPr>
          <w:trHeight w:val="300"/>
        </w:trPr>
        <w:tc>
          <w:tcPr>
            <w:tcW w:w="460" w:type="dxa"/>
            <w:tcBorders>
              <w:top w:val="single" w:sz="12" w:space="0" w:color="auto"/>
            </w:tcBorders>
            <w:shd w:val="clear" w:color="auto" w:fill="auto"/>
            <w:noWrap/>
            <w:vAlign w:val="bottom"/>
            <w:hideMark/>
          </w:tcPr>
          <w:p w14:paraId="568B03D5"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21</w:t>
            </w:r>
          </w:p>
        </w:tc>
        <w:tc>
          <w:tcPr>
            <w:tcW w:w="1082" w:type="dxa"/>
            <w:tcBorders>
              <w:top w:val="single" w:sz="12" w:space="0" w:color="auto"/>
            </w:tcBorders>
            <w:shd w:val="clear" w:color="auto" w:fill="auto"/>
            <w:noWrap/>
            <w:vAlign w:val="bottom"/>
            <w:hideMark/>
          </w:tcPr>
          <w:p w14:paraId="2E1EEFB3"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Wild boar</w:t>
            </w:r>
          </w:p>
        </w:tc>
        <w:tc>
          <w:tcPr>
            <w:tcW w:w="6113" w:type="dxa"/>
            <w:tcBorders>
              <w:top w:val="single" w:sz="12" w:space="0" w:color="auto"/>
            </w:tcBorders>
            <w:shd w:val="clear" w:color="auto" w:fill="auto"/>
            <w:noWrap/>
            <w:vAlign w:val="bottom"/>
            <w:hideMark/>
          </w:tcPr>
          <w:p w14:paraId="73DE8063"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psi(~elevation + disturbance)theta(~PRIME)p(~1)th0pi(~1)</w:t>
            </w:r>
          </w:p>
        </w:tc>
        <w:tc>
          <w:tcPr>
            <w:tcW w:w="946" w:type="dxa"/>
            <w:tcBorders>
              <w:top w:val="single" w:sz="12" w:space="0" w:color="auto"/>
            </w:tcBorders>
            <w:shd w:val="clear" w:color="auto" w:fill="auto"/>
            <w:noWrap/>
            <w:vAlign w:val="bottom"/>
            <w:hideMark/>
          </w:tcPr>
          <w:p w14:paraId="39F0586A"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0.00</w:t>
            </w:r>
          </w:p>
        </w:tc>
        <w:tc>
          <w:tcPr>
            <w:tcW w:w="930" w:type="dxa"/>
            <w:tcBorders>
              <w:top w:val="single" w:sz="12" w:space="0" w:color="auto"/>
            </w:tcBorders>
            <w:shd w:val="clear" w:color="auto" w:fill="auto"/>
            <w:noWrap/>
            <w:vAlign w:val="bottom"/>
            <w:hideMark/>
          </w:tcPr>
          <w:p w14:paraId="547CBD7D"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0.87</w:t>
            </w:r>
          </w:p>
        </w:tc>
      </w:tr>
      <w:tr w:rsidR="006F74C9" w:rsidRPr="00BF3E35" w14:paraId="76CAD852" w14:textId="77777777" w:rsidTr="009C22E1">
        <w:trPr>
          <w:trHeight w:val="300"/>
        </w:trPr>
        <w:tc>
          <w:tcPr>
            <w:tcW w:w="460" w:type="dxa"/>
            <w:shd w:val="clear" w:color="auto" w:fill="auto"/>
            <w:noWrap/>
            <w:vAlign w:val="bottom"/>
            <w:hideMark/>
          </w:tcPr>
          <w:p w14:paraId="15D9526B"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22</w:t>
            </w:r>
          </w:p>
        </w:tc>
        <w:tc>
          <w:tcPr>
            <w:tcW w:w="1082" w:type="dxa"/>
            <w:shd w:val="clear" w:color="auto" w:fill="auto"/>
            <w:noWrap/>
            <w:vAlign w:val="bottom"/>
            <w:hideMark/>
          </w:tcPr>
          <w:p w14:paraId="4D3B8213"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Wild boar</w:t>
            </w:r>
          </w:p>
        </w:tc>
        <w:tc>
          <w:tcPr>
            <w:tcW w:w="6113" w:type="dxa"/>
            <w:shd w:val="clear" w:color="auto" w:fill="auto"/>
            <w:noWrap/>
            <w:vAlign w:val="bottom"/>
            <w:hideMark/>
          </w:tcPr>
          <w:p w14:paraId="7EF9FD5F"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psi(~fcover_area)theta(~PRIME)p(~1)th0pi(~1)</w:t>
            </w:r>
          </w:p>
        </w:tc>
        <w:tc>
          <w:tcPr>
            <w:tcW w:w="946" w:type="dxa"/>
            <w:shd w:val="clear" w:color="auto" w:fill="auto"/>
            <w:noWrap/>
            <w:vAlign w:val="bottom"/>
            <w:hideMark/>
          </w:tcPr>
          <w:p w14:paraId="577A29FC"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5.16</w:t>
            </w:r>
          </w:p>
        </w:tc>
        <w:tc>
          <w:tcPr>
            <w:tcW w:w="930" w:type="dxa"/>
            <w:shd w:val="clear" w:color="auto" w:fill="auto"/>
            <w:noWrap/>
            <w:vAlign w:val="bottom"/>
            <w:hideMark/>
          </w:tcPr>
          <w:p w14:paraId="04A987C9"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0.07</w:t>
            </w:r>
          </w:p>
        </w:tc>
      </w:tr>
      <w:tr w:rsidR="006F74C9" w:rsidRPr="00BF3E35" w14:paraId="3A9DE65C" w14:textId="77777777" w:rsidTr="009C22E1">
        <w:trPr>
          <w:trHeight w:val="300"/>
        </w:trPr>
        <w:tc>
          <w:tcPr>
            <w:tcW w:w="460" w:type="dxa"/>
            <w:shd w:val="clear" w:color="auto" w:fill="auto"/>
            <w:noWrap/>
            <w:vAlign w:val="bottom"/>
            <w:hideMark/>
          </w:tcPr>
          <w:p w14:paraId="5ED9CBBB"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23</w:t>
            </w:r>
          </w:p>
        </w:tc>
        <w:tc>
          <w:tcPr>
            <w:tcW w:w="1082" w:type="dxa"/>
            <w:shd w:val="clear" w:color="auto" w:fill="auto"/>
            <w:noWrap/>
            <w:vAlign w:val="bottom"/>
            <w:hideMark/>
          </w:tcPr>
          <w:p w14:paraId="6469AE35"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Wild boar</w:t>
            </w:r>
          </w:p>
        </w:tc>
        <w:tc>
          <w:tcPr>
            <w:tcW w:w="6113" w:type="dxa"/>
            <w:shd w:val="clear" w:color="auto" w:fill="auto"/>
            <w:noWrap/>
            <w:vAlign w:val="bottom"/>
            <w:hideMark/>
          </w:tcPr>
          <w:p w14:paraId="454D08F6"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psi(~fcover_area + disturbance)theta(~PRIME)p(~1)th0pi(~1)</w:t>
            </w:r>
          </w:p>
        </w:tc>
        <w:tc>
          <w:tcPr>
            <w:tcW w:w="946" w:type="dxa"/>
            <w:shd w:val="clear" w:color="auto" w:fill="auto"/>
            <w:noWrap/>
            <w:vAlign w:val="bottom"/>
            <w:hideMark/>
          </w:tcPr>
          <w:p w14:paraId="375D99D0"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5.70</w:t>
            </w:r>
          </w:p>
        </w:tc>
        <w:tc>
          <w:tcPr>
            <w:tcW w:w="930" w:type="dxa"/>
            <w:shd w:val="clear" w:color="auto" w:fill="auto"/>
            <w:noWrap/>
            <w:vAlign w:val="bottom"/>
            <w:hideMark/>
          </w:tcPr>
          <w:p w14:paraId="1CE28F3D"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0.05</w:t>
            </w:r>
          </w:p>
        </w:tc>
      </w:tr>
      <w:tr w:rsidR="006F74C9" w:rsidRPr="00BF3E35" w14:paraId="288CFB50" w14:textId="77777777" w:rsidTr="009C22E1">
        <w:trPr>
          <w:trHeight w:val="300"/>
        </w:trPr>
        <w:tc>
          <w:tcPr>
            <w:tcW w:w="460" w:type="dxa"/>
            <w:shd w:val="clear" w:color="auto" w:fill="auto"/>
            <w:noWrap/>
            <w:vAlign w:val="bottom"/>
            <w:hideMark/>
          </w:tcPr>
          <w:p w14:paraId="569B3109"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24</w:t>
            </w:r>
          </w:p>
        </w:tc>
        <w:tc>
          <w:tcPr>
            <w:tcW w:w="1082" w:type="dxa"/>
            <w:shd w:val="clear" w:color="auto" w:fill="auto"/>
            <w:noWrap/>
            <w:vAlign w:val="bottom"/>
            <w:hideMark/>
          </w:tcPr>
          <w:p w14:paraId="1AB50967"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Wild boar</w:t>
            </w:r>
          </w:p>
        </w:tc>
        <w:tc>
          <w:tcPr>
            <w:tcW w:w="6113" w:type="dxa"/>
            <w:shd w:val="clear" w:color="auto" w:fill="auto"/>
            <w:noWrap/>
            <w:vAlign w:val="bottom"/>
            <w:hideMark/>
          </w:tcPr>
          <w:p w14:paraId="2E3673CF"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psi(~elevation)theta(~PRIME)p(~1)th0pi(~1)</w:t>
            </w:r>
          </w:p>
        </w:tc>
        <w:tc>
          <w:tcPr>
            <w:tcW w:w="946" w:type="dxa"/>
            <w:shd w:val="clear" w:color="auto" w:fill="auto"/>
            <w:noWrap/>
            <w:vAlign w:val="bottom"/>
            <w:hideMark/>
          </w:tcPr>
          <w:p w14:paraId="7A05994C"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9.55</w:t>
            </w:r>
          </w:p>
        </w:tc>
        <w:tc>
          <w:tcPr>
            <w:tcW w:w="930" w:type="dxa"/>
            <w:shd w:val="clear" w:color="auto" w:fill="auto"/>
            <w:noWrap/>
            <w:vAlign w:val="bottom"/>
            <w:hideMark/>
          </w:tcPr>
          <w:p w14:paraId="43D6F54A"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0.01</w:t>
            </w:r>
          </w:p>
        </w:tc>
      </w:tr>
      <w:tr w:rsidR="006F74C9" w:rsidRPr="00BF3E35" w14:paraId="317A0715" w14:textId="77777777" w:rsidTr="009C22E1">
        <w:trPr>
          <w:trHeight w:val="300"/>
        </w:trPr>
        <w:tc>
          <w:tcPr>
            <w:tcW w:w="460" w:type="dxa"/>
            <w:shd w:val="clear" w:color="auto" w:fill="auto"/>
            <w:noWrap/>
            <w:vAlign w:val="bottom"/>
            <w:hideMark/>
          </w:tcPr>
          <w:p w14:paraId="43920753"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25</w:t>
            </w:r>
          </w:p>
        </w:tc>
        <w:tc>
          <w:tcPr>
            <w:tcW w:w="1082" w:type="dxa"/>
            <w:shd w:val="clear" w:color="auto" w:fill="auto"/>
            <w:noWrap/>
            <w:vAlign w:val="bottom"/>
            <w:hideMark/>
          </w:tcPr>
          <w:p w14:paraId="542FDE22"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Wild boar</w:t>
            </w:r>
          </w:p>
        </w:tc>
        <w:tc>
          <w:tcPr>
            <w:tcW w:w="6113" w:type="dxa"/>
            <w:shd w:val="clear" w:color="auto" w:fill="auto"/>
            <w:noWrap/>
            <w:vAlign w:val="bottom"/>
            <w:hideMark/>
          </w:tcPr>
          <w:p w14:paraId="4B69962B"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psi(~slope + fcover_patches)theta(~PRIME)p(~1)th0pi(~1)</w:t>
            </w:r>
          </w:p>
        </w:tc>
        <w:tc>
          <w:tcPr>
            <w:tcW w:w="946" w:type="dxa"/>
            <w:shd w:val="clear" w:color="auto" w:fill="auto"/>
            <w:noWrap/>
            <w:vAlign w:val="bottom"/>
            <w:hideMark/>
          </w:tcPr>
          <w:p w14:paraId="2CB2C4F7"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9.77</w:t>
            </w:r>
          </w:p>
        </w:tc>
        <w:tc>
          <w:tcPr>
            <w:tcW w:w="930" w:type="dxa"/>
            <w:shd w:val="clear" w:color="auto" w:fill="auto"/>
            <w:noWrap/>
            <w:vAlign w:val="bottom"/>
            <w:hideMark/>
          </w:tcPr>
          <w:p w14:paraId="613B0D4C"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0.01</w:t>
            </w:r>
          </w:p>
        </w:tc>
      </w:tr>
      <w:tr w:rsidR="006F74C9" w:rsidRPr="00BF3E35" w14:paraId="5F46DF6A" w14:textId="77777777" w:rsidTr="009C22E1">
        <w:trPr>
          <w:trHeight w:val="300"/>
        </w:trPr>
        <w:tc>
          <w:tcPr>
            <w:tcW w:w="460" w:type="dxa"/>
            <w:tcBorders>
              <w:bottom w:val="single" w:sz="12" w:space="0" w:color="auto"/>
            </w:tcBorders>
            <w:shd w:val="clear" w:color="auto" w:fill="auto"/>
            <w:noWrap/>
            <w:vAlign w:val="bottom"/>
            <w:hideMark/>
          </w:tcPr>
          <w:p w14:paraId="316E8EBD"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26</w:t>
            </w:r>
          </w:p>
        </w:tc>
        <w:tc>
          <w:tcPr>
            <w:tcW w:w="1082" w:type="dxa"/>
            <w:tcBorders>
              <w:bottom w:val="single" w:sz="12" w:space="0" w:color="auto"/>
            </w:tcBorders>
            <w:shd w:val="clear" w:color="auto" w:fill="auto"/>
            <w:noWrap/>
            <w:vAlign w:val="bottom"/>
            <w:hideMark/>
          </w:tcPr>
          <w:p w14:paraId="7966C7E4"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Wild boar</w:t>
            </w:r>
          </w:p>
        </w:tc>
        <w:tc>
          <w:tcPr>
            <w:tcW w:w="6113" w:type="dxa"/>
            <w:tcBorders>
              <w:bottom w:val="single" w:sz="12" w:space="0" w:color="auto"/>
            </w:tcBorders>
            <w:shd w:val="clear" w:color="auto" w:fill="auto"/>
            <w:noWrap/>
            <w:vAlign w:val="bottom"/>
            <w:hideMark/>
          </w:tcPr>
          <w:p w14:paraId="770F70DB"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psi(~slope + disturbance)theta(~PRIME)p(~1)th0pi(~1)</w:t>
            </w:r>
          </w:p>
        </w:tc>
        <w:tc>
          <w:tcPr>
            <w:tcW w:w="946" w:type="dxa"/>
            <w:tcBorders>
              <w:bottom w:val="single" w:sz="12" w:space="0" w:color="auto"/>
            </w:tcBorders>
            <w:shd w:val="clear" w:color="auto" w:fill="auto"/>
            <w:noWrap/>
            <w:vAlign w:val="bottom"/>
            <w:hideMark/>
          </w:tcPr>
          <w:p w14:paraId="26698BA7"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14.20</w:t>
            </w:r>
          </w:p>
        </w:tc>
        <w:tc>
          <w:tcPr>
            <w:tcW w:w="930" w:type="dxa"/>
            <w:tcBorders>
              <w:bottom w:val="single" w:sz="12" w:space="0" w:color="auto"/>
            </w:tcBorders>
            <w:shd w:val="clear" w:color="auto" w:fill="auto"/>
            <w:noWrap/>
            <w:vAlign w:val="bottom"/>
            <w:hideMark/>
          </w:tcPr>
          <w:p w14:paraId="3A1F5684"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0.00</w:t>
            </w:r>
          </w:p>
        </w:tc>
      </w:tr>
      <w:tr w:rsidR="006F74C9" w:rsidRPr="00BF3E35" w14:paraId="30A8D20A" w14:textId="77777777" w:rsidTr="009C22E1">
        <w:trPr>
          <w:trHeight w:val="300"/>
        </w:trPr>
        <w:tc>
          <w:tcPr>
            <w:tcW w:w="460" w:type="dxa"/>
            <w:tcBorders>
              <w:top w:val="single" w:sz="12" w:space="0" w:color="auto"/>
            </w:tcBorders>
            <w:shd w:val="clear" w:color="auto" w:fill="auto"/>
            <w:noWrap/>
            <w:vAlign w:val="bottom"/>
            <w:hideMark/>
          </w:tcPr>
          <w:p w14:paraId="3CF5E111"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27</w:t>
            </w:r>
          </w:p>
        </w:tc>
        <w:tc>
          <w:tcPr>
            <w:tcW w:w="1082" w:type="dxa"/>
            <w:tcBorders>
              <w:top w:val="single" w:sz="12" w:space="0" w:color="auto"/>
            </w:tcBorders>
            <w:shd w:val="clear" w:color="auto" w:fill="auto"/>
            <w:noWrap/>
            <w:vAlign w:val="bottom"/>
            <w:hideMark/>
          </w:tcPr>
          <w:p w14:paraId="3FC810CF"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Sambar</w:t>
            </w:r>
          </w:p>
        </w:tc>
        <w:tc>
          <w:tcPr>
            <w:tcW w:w="6113" w:type="dxa"/>
            <w:tcBorders>
              <w:top w:val="single" w:sz="12" w:space="0" w:color="auto"/>
            </w:tcBorders>
            <w:shd w:val="clear" w:color="auto" w:fill="auto"/>
            <w:noWrap/>
            <w:vAlign w:val="bottom"/>
            <w:hideMark/>
          </w:tcPr>
          <w:p w14:paraId="7939A18C"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psi(~slope + fcover_patches)theta(~PRIME)p(~forest_hab)th0pi(~1)</w:t>
            </w:r>
          </w:p>
        </w:tc>
        <w:tc>
          <w:tcPr>
            <w:tcW w:w="946" w:type="dxa"/>
            <w:tcBorders>
              <w:top w:val="single" w:sz="12" w:space="0" w:color="auto"/>
            </w:tcBorders>
            <w:shd w:val="clear" w:color="auto" w:fill="auto"/>
            <w:noWrap/>
            <w:vAlign w:val="bottom"/>
            <w:hideMark/>
          </w:tcPr>
          <w:p w14:paraId="32F77B96"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0.00</w:t>
            </w:r>
          </w:p>
        </w:tc>
        <w:tc>
          <w:tcPr>
            <w:tcW w:w="930" w:type="dxa"/>
            <w:tcBorders>
              <w:top w:val="single" w:sz="12" w:space="0" w:color="auto"/>
            </w:tcBorders>
            <w:shd w:val="clear" w:color="auto" w:fill="auto"/>
            <w:noWrap/>
            <w:vAlign w:val="bottom"/>
            <w:hideMark/>
          </w:tcPr>
          <w:p w14:paraId="5B4CE98E"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0.50</w:t>
            </w:r>
          </w:p>
        </w:tc>
      </w:tr>
      <w:tr w:rsidR="006F74C9" w:rsidRPr="00BF3E35" w14:paraId="05B850D6" w14:textId="77777777" w:rsidTr="009C22E1">
        <w:trPr>
          <w:trHeight w:val="300"/>
        </w:trPr>
        <w:tc>
          <w:tcPr>
            <w:tcW w:w="460" w:type="dxa"/>
            <w:shd w:val="clear" w:color="auto" w:fill="auto"/>
            <w:noWrap/>
            <w:vAlign w:val="bottom"/>
            <w:hideMark/>
          </w:tcPr>
          <w:p w14:paraId="578EA139"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28</w:t>
            </w:r>
          </w:p>
        </w:tc>
        <w:tc>
          <w:tcPr>
            <w:tcW w:w="1082" w:type="dxa"/>
            <w:shd w:val="clear" w:color="auto" w:fill="auto"/>
            <w:noWrap/>
            <w:vAlign w:val="bottom"/>
            <w:hideMark/>
          </w:tcPr>
          <w:p w14:paraId="15CBEE83"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Sambar</w:t>
            </w:r>
          </w:p>
        </w:tc>
        <w:tc>
          <w:tcPr>
            <w:tcW w:w="6113" w:type="dxa"/>
            <w:shd w:val="clear" w:color="auto" w:fill="auto"/>
            <w:noWrap/>
            <w:vAlign w:val="bottom"/>
            <w:hideMark/>
          </w:tcPr>
          <w:p w14:paraId="4B89D328"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psi(~slope)theta(~PRIME)p(~forest_hab)th0pi(~1)</w:t>
            </w:r>
          </w:p>
        </w:tc>
        <w:tc>
          <w:tcPr>
            <w:tcW w:w="946" w:type="dxa"/>
            <w:shd w:val="clear" w:color="auto" w:fill="auto"/>
            <w:noWrap/>
            <w:vAlign w:val="bottom"/>
            <w:hideMark/>
          </w:tcPr>
          <w:p w14:paraId="01768EE2"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1.01</w:t>
            </w:r>
          </w:p>
        </w:tc>
        <w:tc>
          <w:tcPr>
            <w:tcW w:w="930" w:type="dxa"/>
            <w:shd w:val="clear" w:color="auto" w:fill="auto"/>
            <w:noWrap/>
            <w:vAlign w:val="bottom"/>
            <w:hideMark/>
          </w:tcPr>
          <w:p w14:paraId="3C54366A"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0.30</w:t>
            </w:r>
          </w:p>
        </w:tc>
      </w:tr>
      <w:tr w:rsidR="006F74C9" w:rsidRPr="00BF3E35" w14:paraId="164BD402" w14:textId="77777777" w:rsidTr="009C22E1">
        <w:trPr>
          <w:trHeight w:val="300"/>
        </w:trPr>
        <w:tc>
          <w:tcPr>
            <w:tcW w:w="460" w:type="dxa"/>
            <w:shd w:val="clear" w:color="auto" w:fill="auto"/>
            <w:noWrap/>
            <w:vAlign w:val="bottom"/>
            <w:hideMark/>
          </w:tcPr>
          <w:p w14:paraId="0B01D5E5"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29</w:t>
            </w:r>
          </w:p>
        </w:tc>
        <w:tc>
          <w:tcPr>
            <w:tcW w:w="1082" w:type="dxa"/>
            <w:shd w:val="clear" w:color="auto" w:fill="auto"/>
            <w:noWrap/>
            <w:vAlign w:val="bottom"/>
            <w:hideMark/>
          </w:tcPr>
          <w:p w14:paraId="607775DA"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Sambar</w:t>
            </w:r>
          </w:p>
        </w:tc>
        <w:tc>
          <w:tcPr>
            <w:tcW w:w="6113" w:type="dxa"/>
            <w:shd w:val="clear" w:color="auto" w:fill="auto"/>
            <w:noWrap/>
            <w:vAlign w:val="bottom"/>
            <w:hideMark/>
          </w:tcPr>
          <w:p w14:paraId="61F106DB"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psi(~slope + disturbance)theta(~PRIME)p(~forest_hab)th0pi(~1)</w:t>
            </w:r>
          </w:p>
        </w:tc>
        <w:tc>
          <w:tcPr>
            <w:tcW w:w="946" w:type="dxa"/>
            <w:shd w:val="clear" w:color="auto" w:fill="auto"/>
            <w:noWrap/>
            <w:vAlign w:val="bottom"/>
            <w:hideMark/>
          </w:tcPr>
          <w:p w14:paraId="76A0F784"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3.03</w:t>
            </w:r>
          </w:p>
        </w:tc>
        <w:tc>
          <w:tcPr>
            <w:tcW w:w="930" w:type="dxa"/>
            <w:shd w:val="clear" w:color="auto" w:fill="auto"/>
            <w:noWrap/>
            <w:vAlign w:val="bottom"/>
            <w:hideMark/>
          </w:tcPr>
          <w:p w14:paraId="18447BBE"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0.11</w:t>
            </w:r>
          </w:p>
        </w:tc>
      </w:tr>
      <w:tr w:rsidR="006F74C9" w:rsidRPr="00BF3E35" w14:paraId="7444B893" w14:textId="77777777" w:rsidTr="009C22E1">
        <w:trPr>
          <w:trHeight w:val="300"/>
        </w:trPr>
        <w:tc>
          <w:tcPr>
            <w:tcW w:w="460" w:type="dxa"/>
            <w:shd w:val="clear" w:color="auto" w:fill="auto"/>
            <w:noWrap/>
            <w:vAlign w:val="bottom"/>
            <w:hideMark/>
          </w:tcPr>
          <w:p w14:paraId="76111C1A"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30</w:t>
            </w:r>
          </w:p>
        </w:tc>
        <w:tc>
          <w:tcPr>
            <w:tcW w:w="1082" w:type="dxa"/>
            <w:shd w:val="clear" w:color="auto" w:fill="auto"/>
            <w:noWrap/>
            <w:vAlign w:val="bottom"/>
            <w:hideMark/>
          </w:tcPr>
          <w:p w14:paraId="09700750"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Sambar</w:t>
            </w:r>
          </w:p>
        </w:tc>
        <w:tc>
          <w:tcPr>
            <w:tcW w:w="6113" w:type="dxa"/>
            <w:shd w:val="clear" w:color="auto" w:fill="auto"/>
            <w:noWrap/>
            <w:vAlign w:val="bottom"/>
            <w:hideMark/>
          </w:tcPr>
          <w:p w14:paraId="29D530E6"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psi(~elevation + disturbance)theta(~PRIME)p(~forest_hab)th0pi(~1)</w:t>
            </w:r>
          </w:p>
        </w:tc>
        <w:tc>
          <w:tcPr>
            <w:tcW w:w="946" w:type="dxa"/>
            <w:shd w:val="clear" w:color="auto" w:fill="auto"/>
            <w:noWrap/>
            <w:vAlign w:val="bottom"/>
            <w:hideMark/>
          </w:tcPr>
          <w:p w14:paraId="72C1C12B"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3.63</w:t>
            </w:r>
          </w:p>
        </w:tc>
        <w:tc>
          <w:tcPr>
            <w:tcW w:w="930" w:type="dxa"/>
            <w:shd w:val="clear" w:color="auto" w:fill="auto"/>
            <w:noWrap/>
            <w:vAlign w:val="bottom"/>
            <w:hideMark/>
          </w:tcPr>
          <w:p w14:paraId="0E1C71C1"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0.08</w:t>
            </w:r>
          </w:p>
        </w:tc>
      </w:tr>
      <w:tr w:rsidR="006F74C9" w:rsidRPr="00BF3E35" w14:paraId="27FC2E3A" w14:textId="77777777" w:rsidTr="009C22E1">
        <w:trPr>
          <w:trHeight w:val="300"/>
        </w:trPr>
        <w:tc>
          <w:tcPr>
            <w:tcW w:w="460" w:type="dxa"/>
            <w:shd w:val="clear" w:color="auto" w:fill="auto"/>
            <w:noWrap/>
            <w:vAlign w:val="bottom"/>
            <w:hideMark/>
          </w:tcPr>
          <w:p w14:paraId="0B69D9D7"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31</w:t>
            </w:r>
          </w:p>
        </w:tc>
        <w:tc>
          <w:tcPr>
            <w:tcW w:w="1082" w:type="dxa"/>
            <w:shd w:val="clear" w:color="auto" w:fill="auto"/>
            <w:noWrap/>
            <w:vAlign w:val="bottom"/>
            <w:hideMark/>
          </w:tcPr>
          <w:p w14:paraId="76D6B916"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Sambar</w:t>
            </w:r>
          </w:p>
        </w:tc>
        <w:tc>
          <w:tcPr>
            <w:tcW w:w="6113" w:type="dxa"/>
            <w:shd w:val="clear" w:color="auto" w:fill="auto"/>
            <w:noWrap/>
            <w:vAlign w:val="bottom"/>
            <w:hideMark/>
          </w:tcPr>
          <w:p w14:paraId="268772BC" w14:textId="77777777" w:rsidR="006F74C9" w:rsidRPr="00BF3E35" w:rsidRDefault="006F74C9" w:rsidP="006F74C9">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psi(~1)theta(~PRIME)p(~1)th0pi(~1)</w:t>
            </w:r>
          </w:p>
        </w:tc>
        <w:tc>
          <w:tcPr>
            <w:tcW w:w="946" w:type="dxa"/>
            <w:shd w:val="clear" w:color="auto" w:fill="auto"/>
            <w:noWrap/>
            <w:vAlign w:val="bottom"/>
            <w:hideMark/>
          </w:tcPr>
          <w:p w14:paraId="354965F2"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81.25</w:t>
            </w:r>
          </w:p>
        </w:tc>
        <w:tc>
          <w:tcPr>
            <w:tcW w:w="930" w:type="dxa"/>
            <w:shd w:val="clear" w:color="auto" w:fill="auto"/>
            <w:noWrap/>
            <w:vAlign w:val="bottom"/>
            <w:hideMark/>
          </w:tcPr>
          <w:p w14:paraId="5BD8D1F9" w14:textId="77777777" w:rsidR="006F74C9" w:rsidRPr="00BF3E35" w:rsidRDefault="006F74C9" w:rsidP="006F74C9">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0.00</w:t>
            </w:r>
          </w:p>
        </w:tc>
      </w:tr>
    </w:tbl>
    <w:p w14:paraId="43A52034" w14:textId="77777777" w:rsidR="006F74C9" w:rsidRDefault="006F74C9" w:rsidP="006F74C9"/>
    <w:p w14:paraId="1566CF1B" w14:textId="7688D1EB" w:rsidR="00E33BBD" w:rsidRPr="00BF3E35" w:rsidRDefault="00E33BBD" w:rsidP="00E33BBD">
      <w:pPr>
        <w:pStyle w:val="Caption"/>
        <w:keepNext/>
        <w:rPr>
          <w:rFonts w:ascii="Times New Roman" w:hAnsi="Times New Roman" w:cs="Times New Roman"/>
          <w:i w:val="0"/>
          <w:iCs w:val="0"/>
          <w:color w:val="auto"/>
          <w:sz w:val="22"/>
          <w:szCs w:val="22"/>
        </w:rPr>
      </w:pPr>
      <w:r w:rsidRPr="00BF3E35">
        <w:rPr>
          <w:rFonts w:ascii="Times New Roman" w:hAnsi="Times New Roman" w:cs="Times New Roman"/>
          <w:i w:val="0"/>
          <w:iCs w:val="0"/>
          <w:color w:val="auto"/>
          <w:sz w:val="22"/>
          <w:szCs w:val="22"/>
        </w:rPr>
        <w:t>Table S</w:t>
      </w:r>
      <w:r w:rsidRPr="00BF3E35">
        <w:rPr>
          <w:rFonts w:ascii="Times New Roman" w:hAnsi="Times New Roman" w:cs="Times New Roman"/>
          <w:i w:val="0"/>
          <w:iCs w:val="0"/>
          <w:color w:val="auto"/>
          <w:sz w:val="22"/>
          <w:szCs w:val="22"/>
        </w:rPr>
        <w:fldChar w:fldCharType="begin"/>
      </w:r>
      <w:r w:rsidRPr="00BF3E35">
        <w:rPr>
          <w:rFonts w:ascii="Times New Roman" w:hAnsi="Times New Roman" w:cs="Times New Roman"/>
          <w:i w:val="0"/>
          <w:iCs w:val="0"/>
          <w:color w:val="auto"/>
          <w:sz w:val="22"/>
          <w:szCs w:val="22"/>
        </w:rPr>
        <w:instrText xml:space="preserve"> SEQ Table_S- \* ARABIC </w:instrText>
      </w:r>
      <w:r w:rsidRPr="00BF3E35">
        <w:rPr>
          <w:rFonts w:ascii="Times New Roman" w:hAnsi="Times New Roman" w:cs="Times New Roman"/>
          <w:i w:val="0"/>
          <w:iCs w:val="0"/>
          <w:color w:val="auto"/>
          <w:sz w:val="22"/>
          <w:szCs w:val="22"/>
        </w:rPr>
        <w:fldChar w:fldCharType="separate"/>
      </w:r>
      <w:r w:rsidR="00BF3E35" w:rsidRPr="00BF3E35">
        <w:rPr>
          <w:rFonts w:ascii="Times New Roman" w:hAnsi="Times New Roman" w:cs="Times New Roman"/>
          <w:i w:val="0"/>
          <w:iCs w:val="0"/>
          <w:noProof/>
          <w:color w:val="auto"/>
          <w:sz w:val="22"/>
          <w:szCs w:val="22"/>
        </w:rPr>
        <w:t>4</w:t>
      </w:r>
      <w:r w:rsidRPr="00BF3E35">
        <w:rPr>
          <w:rFonts w:ascii="Times New Roman" w:hAnsi="Times New Roman" w:cs="Times New Roman"/>
          <w:i w:val="0"/>
          <w:iCs w:val="0"/>
          <w:color w:val="auto"/>
          <w:sz w:val="22"/>
          <w:szCs w:val="22"/>
        </w:rPr>
        <w:fldChar w:fldCharType="end"/>
      </w:r>
      <w:r w:rsidRPr="00BF3E35">
        <w:rPr>
          <w:rFonts w:ascii="Times New Roman" w:hAnsi="Times New Roman" w:cs="Times New Roman"/>
          <w:i w:val="0"/>
          <w:iCs w:val="0"/>
          <w:color w:val="auto"/>
          <w:sz w:val="22"/>
          <w:szCs w:val="22"/>
        </w:rPr>
        <w:t>. Model performance for each species using 2019 occupancy data</w:t>
      </w:r>
    </w:p>
    <w:tbl>
      <w:tblPr>
        <w:tblW w:w="9288" w:type="dxa"/>
        <w:tblBorders>
          <w:top w:val="single" w:sz="4" w:space="0" w:color="auto"/>
          <w:bottom w:val="single" w:sz="4" w:space="0" w:color="auto"/>
          <w:insideH w:val="single" w:sz="4" w:space="0" w:color="auto"/>
        </w:tblBorders>
        <w:tblLook w:val="04A0" w:firstRow="1" w:lastRow="0" w:firstColumn="1" w:lastColumn="0" w:noHBand="0" w:noVBand="1"/>
      </w:tblPr>
      <w:tblGrid>
        <w:gridCol w:w="461"/>
        <w:gridCol w:w="1099"/>
        <w:gridCol w:w="6194"/>
        <w:gridCol w:w="794"/>
        <w:gridCol w:w="740"/>
      </w:tblGrid>
      <w:tr w:rsidR="00E33BBD" w:rsidRPr="00BF3E35" w14:paraId="2D6AF617" w14:textId="77777777" w:rsidTr="007F770B">
        <w:trPr>
          <w:trHeight w:val="300"/>
        </w:trPr>
        <w:tc>
          <w:tcPr>
            <w:tcW w:w="461" w:type="dxa"/>
            <w:shd w:val="clear" w:color="auto" w:fill="auto"/>
            <w:noWrap/>
            <w:vAlign w:val="bottom"/>
            <w:hideMark/>
          </w:tcPr>
          <w:p w14:paraId="5FB6308C"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No</w:t>
            </w:r>
          </w:p>
        </w:tc>
        <w:tc>
          <w:tcPr>
            <w:tcW w:w="1099" w:type="dxa"/>
            <w:shd w:val="clear" w:color="auto" w:fill="auto"/>
            <w:noWrap/>
            <w:vAlign w:val="bottom"/>
            <w:hideMark/>
          </w:tcPr>
          <w:p w14:paraId="6B715C60"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Species</w:t>
            </w:r>
          </w:p>
        </w:tc>
        <w:tc>
          <w:tcPr>
            <w:tcW w:w="6194" w:type="dxa"/>
            <w:shd w:val="clear" w:color="auto" w:fill="auto"/>
            <w:noWrap/>
            <w:vAlign w:val="bottom"/>
            <w:hideMark/>
          </w:tcPr>
          <w:p w14:paraId="76F1AFD4"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Model</w:t>
            </w:r>
          </w:p>
        </w:tc>
        <w:tc>
          <w:tcPr>
            <w:tcW w:w="794" w:type="dxa"/>
            <w:shd w:val="clear" w:color="auto" w:fill="auto"/>
            <w:noWrap/>
            <w:vAlign w:val="bottom"/>
            <w:hideMark/>
          </w:tcPr>
          <w:p w14:paraId="30F35A04" w14:textId="2D7A91D9"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DAIC</w:t>
            </w:r>
            <w:r w:rsidR="00CB6651" w:rsidRPr="00BF3E35">
              <w:rPr>
                <w:rFonts w:ascii="Times New Roman" w:eastAsia="Times New Roman" w:hAnsi="Times New Roman" w:cs="Times New Roman"/>
                <w:color w:val="000000"/>
                <w:sz w:val="20"/>
                <w:szCs w:val="20"/>
                <w:lang w:val="en-SG" w:eastAsia="en-SG"/>
              </w:rPr>
              <w:t>c</w:t>
            </w:r>
          </w:p>
        </w:tc>
        <w:tc>
          <w:tcPr>
            <w:tcW w:w="740" w:type="dxa"/>
            <w:shd w:val="clear" w:color="auto" w:fill="auto"/>
            <w:noWrap/>
            <w:vAlign w:val="bottom"/>
            <w:hideMark/>
          </w:tcPr>
          <w:p w14:paraId="02D12AFE"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wgt</w:t>
            </w:r>
          </w:p>
        </w:tc>
      </w:tr>
      <w:tr w:rsidR="00E33BBD" w:rsidRPr="00BF3E35" w14:paraId="06F04E34" w14:textId="77777777" w:rsidTr="007F770B">
        <w:trPr>
          <w:trHeight w:val="300"/>
        </w:trPr>
        <w:tc>
          <w:tcPr>
            <w:tcW w:w="461" w:type="dxa"/>
            <w:shd w:val="clear" w:color="auto" w:fill="auto"/>
            <w:noWrap/>
            <w:vAlign w:val="bottom"/>
            <w:hideMark/>
          </w:tcPr>
          <w:p w14:paraId="7B6FA373"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w:t>
            </w:r>
          </w:p>
        </w:tc>
        <w:tc>
          <w:tcPr>
            <w:tcW w:w="1099" w:type="dxa"/>
            <w:shd w:val="clear" w:color="auto" w:fill="auto"/>
            <w:noWrap/>
            <w:vAlign w:val="bottom"/>
            <w:hideMark/>
          </w:tcPr>
          <w:p w14:paraId="04DE747B"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Elephant</w:t>
            </w:r>
          </w:p>
        </w:tc>
        <w:tc>
          <w:tcPr>
            <w:tcW w:w="6194" w:type="dxa"/>
            <w:shd w:val="clear" w:color="auto" w:fill="auto"/>
            <w:noWrap/>
            <w:vAlign w:val="bottom"/>
            <w:hideMark/>
          </w:tcPr>
          <w:p w14:paraId="65275658"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psi(~fcover_area + disturbance)theta(~PRIME)p(~forest_hab)th0pi(~1)</w:t>
            </w:r>
          </w:p>
        </w:tc>
        <w:tc>
          <w:tcPr>
            <w:tcW w:w="794" w:type="dxa"/>
            <w:shd w:val="clear" w:color="auto" w:fill="auto"/>
            <w:noWrap/>
            <w:vAlign w:val="bottom"/>
            <w:hideMark/>
          </w:tcPr>
          <w:p w14:paraId="312848A2"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0.00</w:t>
            </w:r>
          </w:p>
        </w:tc>
        <w:tc>
          <w:tcPr>
            <w:tcW w:w="740" w:type="dxa"/>
            <w:shd w:val="clear" w:color="auto" w:fill="auto"/>
            <w:noWrap/>
            <w:vAlign w:val="bottom"/>
            <w:hideMark/>
          </w:tcPr>
          <w:p w14:paraId="71774072"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0.26</w:t>
            </w:r>
          </w:p>
        </w:tc>
      </w:tr>
      <w:tr w:rsidR="00E33BBD" w:rsidRPr="00BF3E35" w14:paraId="68EB7562" w14:textId="77777777" w:rsidTr="007F770B">
        <w:trPr>
          <w:trHeight w:val="300"/>
        </w:trPr>
        <w:tc>
          <w:tcPr>
            <w:tcW w:w="461" w:type="dxa"/>
            <w:shd w:val="clear" w:color="auto" w:fill="auto"/>
            <w:noWrap/>
            <w:vAlign w:val="bottom"/>
            <w:hideMark/>
          </w:tcPr>
          <w:p w14:paraId="4BF4CCE0"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w:t>
            </w:r>
          </w:p>
        </w:tc>
        <w:tc>
          <w:tcPr>
            <w:tcW w:w="1099" w:type="dxa"/>
            <w:shd w:val="clear" w:color="auto" w:fill="auto"/>
            <w:noWrap/>
            <w:vAlign w:val="bottom"/>
            <w:hideMark/>
          </w:tcPr>
          <w:p w14:paraId="096478C2"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Elephant</w:t>
            </w:r>
          </w:p>
        </w:tc>
        <w:tc>
          <w:tcPr>
            <w:tcW w:w="6194" w:type="dxa"/>
            <w:shd w:val="clear" w:color="auto" w:fill="auto"/>
            <w:noWrap/>
            <w:vAlign w:val="bottom"/>
            <w:hideMark/>
          </w:tcPr>
          <w:p w14:paraId="6E79539C"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psi(~disturbance)theta(~PRIME)p(~forest_hab)th0pi(~1)</w:t>
            </w:r>
          </w:p>
        </w:tc>
        <w:tc>
          <w:tcPr>
            <w:tcW w:w="794" w:type="dxa"/>
            <w:shd w:val="clear" w:color="auto" w:fill="auto"/>
            <w:noWrap/>
            <w:vAlign w:val="bottom"/>
            <w:hideMark/>
          </w:tcPr>
          <w:p w14:paraId="3F897D29"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0.58</w:t>
            </w:r>
          </w:p>
        </w:tc>
        <w:tc>
          <w:tcPr>
            <w:tcW w:w="740" w:type="dxa"/>
            <w:shd w:val="clear" w:color="auto" w:fill="auto"/>
            <w:noWrap/>
            <w:vAlign w:val="bottom"/>
            <w:hideMark/>
          </w:tcPr>
          <w:p w14:paraId="1893608B"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0.19</w:t>
            </w:r>
          </w:p>
        </w:tc>
      </w:tr>
      <w:tr w:rsidR="00E33BBD" w:rsidRPr="00BF3E35" w14:paraId="2F2F9B07" w14:textId="77777777" w:rsidTr="007F770B">
        <w:trPr>
          <w:trHeight w:val="300"/>
        </w:trPr>
        <w:tc>
          <w:tcPr>
            <w:tcW w:w="461" w:type="dxa"/>
            <w:shd w:val="clear" w:color="auto" w:fill="auto"/>
            <w:noWrap/>
            <w:vAlign w:val="bottom"/>
            <w:hideMark/>
          </w:tcPr>
          <w:p w14:paraId="2C0315FB"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3</w:t>
            </w:r>
          </w:p>
        </w:tc>
        <w:tc>
          <w:tcPr>
            <w:tcW w:w="1099" w:type="dxa"/>
            <w:shd w:val="clear" w:color="auto" w:fill="auto"/>
            <w:noWrap/>
            <w:vAlign w:val="bottom"/>
            <w:hideMark/>
          </w:tcPr>
          <w:p w14:paraId="0D6F0ECF"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Elephant</w:t>
            </w:r>
          </w:p>
        </w:tc>
        <w:tc>
          <w:tcPr>
            <w:tcW w:w="6194" w:type="dxa"/>
            <w:shd w:val="clear" w:color="auto" w:fill="auto"/>
            <w:noWrap/>
            <w:vAlign w:val="bottom"/>
            <w:hideMark/>
          </w:tcPr>
          <w:p w14:paraId="7897DFC1"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psi(~slope + disturbance)theta(~PRIME)p(~forest_hab)th0pi(~1)</w:t>
            </w:r>
          </w:p>
        </w:tc>
        <w:tc>
          <w:tcPr>
            <w:tcW w:w="794" w:type="dxa"/>
            <w:shd w:val="clear" w:color="auto" w:fill="auto"/>
            <w:noWrap/>
            <w:vAlign w:val="bottom"/>
            <w:hideMark/>
          </w:tcPr>
          <w:p w14:paraId="756FF708"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0.64</w:t>
            </w:r>
          </w:p>
        </w:tc>
        <w:tc>
          <w:tcPr>
            <w:tcW w:w="740" w:type="dxa"/>
            <w:shd w:val="clear" w:color="auto" w:fill="auto"/>
            <w:noWrap/>
            <w:vAlign w:val="bottom"/>
            <w:hideMark/>
          </w:tcPr>
          <w:p w14:paraId="6364DAED"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0.19</w:t>
            </w:r>
          </w:p>
        </w:tc>
      </w:tr>
      <w:tr w:rsidR="00E33BBD" w:rsidRPr="00BF3E35" w14:paraId="1C1A2D8C" w14:textId="77777777" w:rsidTr="007F770B">
        <w:trPr>
          <w:trHeight w:val="300"/>
        </w:trPr>
        <w:tc>
          <w:tcPr>
            <w:tcW w:w="461" w:type="dxa"/>
            <w:shd w:val="clear" w:color="auto" w:fill="auto"/>
            <w:noWrap/>
            <w:vAlign w:val="bottom"/>
            <w:hideMark/>
          </w:tcPr>
          <w:p w14:paraId="505B28B8"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4</w:t>
            </w:r>
          </w:p>
        </w:tc>
        <w:tc>
          <w:tcPr>
            <w:tcW w:w="1099" w:type="dxa"/>
            <w:shd w:val="clear" w:color="auto" w:fill="auto"/>
            <w:noWrap/>
            <w:vAlign w:val="bottom"/>
            <w:hideMark/>
          </w:tcPr>
          <w:p w14:paraId="5435F821"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Elephant</w:t>
            </w:r>
          </w:p>
        </w:tc>
        <w:tc>
          <w:tcPr>
            <w:tcW w:w="6194" w:type="dxa"/>
            <w:shd w:val="clear" w:color="auto" w:fill="auto"/>
            <w:noWrap/>
            <w:vAlign w:val="bottom"/>
            <w:hideMark/>
          </w:tcPr>
          <w:p w14:paraId="357CE94C"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psi(~slope)theta(~PRIME)p(~forest_hab)th0pi(~1)</w:t>
            </w:r>
          </w:p>
        </w:tc>
        <w:tc>
          <w:tcPr>
            <w:tcW w:w="794" w:type="dxa"/>
            <w:shd w:val="clear" w:color="auto" w:fill="auto"/>
            <w:noWrap/>
            <w:vAlign w:val="bottom"/>
            <w:hideMark/>
          </w:tcPr>
          <w:p w14:paraId="140EE440"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1.70</w:t>
            </w:r>
          </w:p>
        </w:tc>
        <w:tc>
          <w:tcPr>
            <w:tcW w:w="740" w:type="dxa"/>
            <w:shd w:val="clear" w:color="auto" w:fill="auto"/>
            <w:noWrap/>
            <w:vAlign w:val="bottom"/>
            <w:hideMark/>
          </w:tcPr>
          <w:p w14:paraId="1A572459"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0.11</w:t>
            </w:r>
          </w:p>
        </w:tc>
      </w:tr>
      <w:tr w:rsidR="00E33BBD" w:rsidRPr="00BF3E35" w14:paraId="66B595AD" w14:textId="77777777" w:rsidTr="007F770B">
        <w:trPr>
          <w:trHeight w:val="300"/>
        </w:trPr>
        <w:tc>
          <w:tcPr>
            <w:tcW w:w="461" w:type="dxa"/>
            <w:shd w:val="clear" w:color="auto" w:fill="auto"/>
            <w:noWrap/>
            <w:vAlign w:val="bottom"/>
            <w:hideMark/>
          </w:tcPr>
          <w:p w14:paraId="335204B7"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5</w:t>
            </w:r>
          </w:p>
        </w:tc>
        <w:tc>
          <w:tcPr>
            <w:tcW w:w="1099" w:type="dxa"/>
            <w:shd w:val="clear" w:color="auto" w:fill="auto"/>
            <w:noWrap/>
            <w:vAlign w:val="bottom"/>
            <w:hideMark/>
          </w:tcPr>
          <w:p w14:paraId="6C8BA470"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Elephant</w:t>
            </w:r>
          </w:p>
        </w:tc>
        <w:tc>
          <w:tcPr>
            <w:tcW w:w="6194" w:type="dxa"/>
            <w:shd w:val="clear" w:color="auto" w:fill="auto"/>
            <w:noWrap/>
            <w:vAlign w:val="bottom"/>
            <w:hideMark/>
          </w:tcPr>
          <w:p w14:paraId="44305339"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psi(~fcover_area)theta(~PRIME)p(~forest_hab)th0pi(~1)</w:t>
            </w:r>
          </w:p>
        </w:tc>
        <w:tc>
          <w:tcPr>
            <w:tcW w:w="794" w:type="dxa"/>
            <w:shd w:val="clear" w:color="auto" w:fill="auto"/>
            <w:noWrap/>
            <w:vAlign w:val="bottom"/>
            <w:hideMark/>
          </w:tcPr>
          <w:p w14:paraId="0CF59956"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2.17</w:t>
            </w:r>
          </w:p>
        </w:tc>
        <w:tc>
          <w:tcPr>
            <w:tcW w:w="740" w:type="dxa"/>
            <w:shd w:val="clear" w:color="auto" w:fill="auto"/>
            <w:noWrap/>
            <w:vAlign w:val="bottom"/>
            <w:hideMark/>
          </w:tcPr>
          <w:p w14:paraId="450833BC"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0.09</w:t>
            </w:r>
          </w:p>
        </w:tc>
      </w:tr>
      <w:tr w:rsidR="00E33BBD" w:rsidRPr="00BF3E35" w14:paraId="3CA6D246" w14:textId="77777777" w:rsidTr="007F770B">
        <w:trPr>
          <w:trHeight w:val="300"/>
        </w:trPr>
        <w:tc>
          <w:tcPr>
            <w:tcW w:w="461" w:type="dxa"/>
            <w:shd w:val="clear" w:color="auto" w:fill="auto"/>
            <w:noWrap/>
            <w:vAlign w:val="bottom"/>
            <w:hideMark/>
          </w:tcPr>
          <w:p w14:paraId="5F3BFAA4"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6</w:t>
            </w:r>
          </w:p>
        </w:tc>
        <w:tc>
          <w:tcPr>
            <w:tcW w:w="1099" w:type="dxa"/>
            <w:shd w:val="clear" w:color="auto" w:fill="auto"/>
            <w:noWrap/>
            <w:vAlign w:val="bottom"/>
            <w:hideMark/>
          </w:tcPr>
          <w:p w14:paraId="1B0B5BE4"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Elephant</w:t>
            </w:r>
          </w:p>
        </w:tc>
        <w:tc>
          <w:tcPr>
            <w:tcW w:w="6194" w:type="dxa"/>
            <w:shd w:val="clear" w:color="auto" w:fill="auto"/>
            <w:noWrap/>
            <w:vAlign w:val="bottom"/>
            <w:hideMark/>
          </w:tcPr>
          <w:p w14:paraId="1DD10C67"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psi(~elevation + disturbance)theta(~PRIME)p(~forest_hab)th0pi(~1)</w:t>
            </w:r>
          </w:p>
        </w:tc>
        <w:tc>
          <w:tcPr>
            <w:tcW w:w="794" w:type="dxa"/>
            <w:shd w:val="clear" w:color="auto" w:fill="auto"/>
            <w:noWrap/>
            <w:vAlign w:val="bottom"/>
            <w:hideMark/>
          </w:tcPr>
          <w:p w14:paraId="77D58556"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2.39</w:t>
            </w:r>
          </w:p>
        </w:tc>
        <w:tc>
          <w:tcPr>
            <w:tcW w:w="740" w:type="dxa"/>
            <w:shd w:val="clear" w:color="auto" w:fill="auto"/>
            <w:noWrap/>
            <w:vAlign w:val="bottom"/>
            <w:hideMark/>
          </w:tcPr>
          <w:p w14:paraId="55691DBE"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0.08</w:t>
            </w:r>
          </w:p>
        </w:tc>
      </w:tr>
      <w:tr w:rsidR="00E33BBD" w:rsidRPr="00BF3E35" w14:paraId="7632FD0E" w14:textId="77777777" w:rsidTr="007F770B">
        <w:trPr>
          <w:trHeight w:val="300"/>
        </w:trPr>
        <w:tc>
          <w:tcPr>
            <w:tcW w:w="461" w:type="dxa"/>
            <w:shd w:val="clear" w:color="auto" w:fill="auto"/>
            <w:noWrap/>
            <w:vAlign w:val="bottom"/>
            <w:hideMark/>
          </w:tcPr>
          <w:p w14:paraId="66DD8F82"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7</w:t>
            </w:r>
          </w:p>
        </w:tc>
        <w:tc>
          <w:tcPr>
            <w:tcW w:w="1099" w:type="dxa"/>
            <w:shd w:val="clear" w:color="auto" w:fill="auto"/>
            <w:noWrap/>
            <w:vAlign w:val="bottom"/>
            <w:hideMark/>
          </w:tcPr>
          <w:p w14:paraId="5CD76463"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Elephant</w:t>
            </w:r>
          </w:p>
        </w:tc>
        <w:tc>
          <w:tcPr>
            <w:tcW w:w="6194" w:type="dxa"/>
            <w:shd w:val="clear" w:color="auto" w:fill="auto"/>
            <w:noWrap/>
            <w:vAlign w:val="bottom"/>
            <w:hideMark/>
          </w:tcPr>
          <w:p w14:paraId="4E3314F6"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psi(~elevation)theta(~PRIME)p(~forest_hab)th0pi(~1)</w:t>
            </w:r>
          </w:p>
        </w:tc>
        <w:tc>
          <w:tcPr>
            <w:tcW w:w="794" w:type="dxa"/>
            <w:shd w:val="clear" w:color="auto" w:fill="auto"/>
            <w:noWrap/>
            <w:vAlign w:val="bottom"/>
            <w:hideMark/>
          </w:tcPr>
          <w:p w14:paraId="18B809E5"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2.70</w:t>
            </w:r>
          </w:p>
        </w:tc>
        <w:tc>
          <w:tcPr>
            <w:tcW w:w="740" w:type="dxa"/>
            <w:shd w:val="clear" w:color="auto" w:fill="auto"/>
            <w:noWrap/>
            <w:vAlign w:val="bottom"/>
            <w:hideMark/>
          </w:tcPr>
          <w:p w14:paraId="67605893"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0.07</w:t>
            </w:r>
          </w:p>
        </w:tc>
      </w:tr>
      <w:tr w:rsidR="00E33BBD" w:rsidRPr="00BF3E35" w14:paraId="1D444901" w14:textId="77777777" w:rsidTr="00D230FE">
        <w:trPr>
          <w:trHeight w:val="300"/>
        </w:trPr>
        <w:tc>
          <w:tcPr>
            <w:tcW w:w="461" w:type="dxa"/>
            <w:tcBorders>
              <w:bottom w:val="single" w:sz="12" w:space="0" w:color="auto"/>
            </w:tcBorders>
            <w:shd w:val="clear" w:color="auto" w:fill="auto"/>
            <w:noWrap/>
            <w:vAlign w:val="bottom"/>
            <w:hideMark/>
          </w:tcPr>
          <w:p w14:paraId="1D22F361"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8</w:t>
            </w:r>
          </w:p>
        </w:tc>
        <w:tc>
          <w:tcPr>
            <w:tcW w:w="1099" w:type="dxa"/>
            <w:tcBorders>
              <w:bottom w:val="single" w:sz="12" w:space="0" w:color="auto"/>
            </w:tcBorders>
            <w:shd w:val="clear" w:color="auto" w:fill="auto"/>
            <w:noWrap/>
            <w:vAlign w:val="bottom"/>
            <w:hideMark/>
          </w:tcPr>
          <w:p w14:paraId="60DF9C4A"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Elephant</w:t>
            </w:r>
          </w:p>
        </w:tc>
        <w:tc>
          <w:tcPr>
            <w:tcW w:w="6194" w:type="dxa"/>
            <w:tcBorders>
              <w:bottom w:val="single" w:sz="12" w:space="0" w:color="auto"/>
            </w:tcBorders>
            <w:shd w:val="clear" w:color="auto" w:fill="auto"/>
            <w:noWrap/>
            <w:vAlign w:val="bottom"/>
            <w:hideMark/>
          </w:tcPr>
          <w:p w14:paraId="7D7BAABB"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psi(~fcover_patches)theta(~PRIME)p(~forest_hab)th0pi(~1)</w:t>
            </w:r>
          </w:p>
        </w:tc>
        <w:tc>
          <w:tcPr>
            <w:tcW w:w="794" w:type="dxa"/>
            <w:tcBorders>
              <w:bottom w:val="single" w:sz="12" w:space="0" w:color="auto"/>
            </w:tcBorders>
            <w:shd w:val="clear" w:color="auto" w:fill="auto"/>
            <w:noWrap/>
            <w:vAlign w:val="bottom"/>
            <w:hideMark/>
          </w:tcPr>
          <w:p w14:paraId="0C51BEB3"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4.40</w:t>
            </w:r>
          </w:p>
        </w:tc>
        <w:tc>
          <w:tcPr>
            <w:tcW w:w="740" w:type="dxa"/>
            <w:tcBorders>
              <w:bottom w:val="single" w:sz="12" w:space="0" w:color="auto"/>
            </w:tcBorders>
            <w:shd w:val="clear" w:color="auto" w:fill="auto"/>
            <w:noWrap/>
            <w:vAlign w:val="bottom"/>
            <w:hideMark/>
          </w:tcPr>
          <w:p w14:paraId="370D88C2"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0.03</w:t>
            </w:r>
          </w:p>
        </w:tc>
      </w:tr>
      <w:tr w:rsidR="00E33BBD" w:rsidRPr="00BF3E35" w14:paraId="4CD8BCD5" w14:textId="77777777" w:rsidTr="00D230FE">
        <w:trPr>
          <w:trHeight w:val="300"/>
        </w:trPr>
        <w:tc>
          <w:tcPr>
            <w:tcW w:w="461" w:type="dxa"/>
            <w:tcBorders>
              <w:top w:val="single" w:sz="12" w:space="0" w:color="auto"/>
            </w:tcBorders>
            <w:shd w:val="clear" w:color="auto" w:fill="auto"/>
            <w:noWrap/>
            <w:vAlign w:val="bottom"/>
            <w:hideMark/>
          </w:tcPr>
          <w:p w14:paraId="5FB16CA0"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9</w:t>
            </w:r>
          </w:p>
        </w:tc>
        <w:tc>
          <w:tcPr>
            <w:tcW w:w="1099" w:type="dxa"/>
            <w:tcBorders>
              <w:top w:val="single" w:sz="12" w:space="0" w:color="auto"/>
            </w:tcBorders>
            <w:shd w:val="clear" w:color="auto" w:fill="auto"/>
            <w:noWrap/>
            <w:vAlign w:val="bottom"/>
            <w:hideMark/>
          </w:tcPr>
          <w:p w14:paraId="34A117FB"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Tiger</w:t>
            </w:r>
          </w:p>
        </w:tc>
        <w:tc>
          <w:tcPr>
            <w:tcW w:w="6194" w:type="dxa"/>
            <w:tcBorders>
              <w:top w:val="single" w:sz="12" w:space="0" w:color="auto"/>
            </w:tcBorders>
            <w:shd w:val="clear" w:color="auto" w:fill="auto"/>
            <w:noWrap/>
            <w:vAlign w:val="bottom"/>
            <w:hideMark/>
          </w:tcPr>
          <w:p w14:paraId="2321DA91"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psi(~fcover_area + prey)theta(~PRIME)p(~forest_hab)th0pi(~1)</w:t>
            </w:r>
          </w:p>
        </w:tc>
        <w:tc>
          <w:tcPr>
            <w:tcW w:w="794" w:type="dxa"/>
            <w:tcBorders>
              <w:top w:val="single" w:sz="12" w:space="0" w:color="auto"/>
            </w:tcBorders>
            <w:shd w:val="clear" w:color="auto" w:fill="auto"/>
            <w:noWrap/>
            <w:vAlign w:val="bottom"/>
            <w:hideMark/>
          </w:tcPr>
          <w:p w14:paraId="64CAB31B"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0.00</w:t>
            </w:r>
          </w:p>
        </w:tc>
        <w:tc>
          <w:tcPr>
            <w:tcW w:w="740" w:type="dxa"/>
            <w:tcBorders>
              <w:top w:val="single" w:sz="12" w:space="0" w:color="auto"/>
            </w:tcBorders>
            <w:shd w:val="clear" w:color="auto" w:fill="auto"/>
            <w:noWrap/>
            <w:vAlign w:val="bottom"/>
            <w:hideMark/>
          </w:tcPr>
          <w:p w14:paraId="4F46091F"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0.37</w:t>
            </w:r>
          </w:p>
        </w:tc>
      </w:tr>
      <w:tr w:rsidR="00E33BBD" w:rsidRPr="00BF3E35" w14:paraId="42F87FCD" w14:textId="77777777" w:rsidTr="007F770B">
        <w:trPr>
          <w:trHeight w:val="300"/>
        </w:trPr>
        <w:tc>
          <w:tcPr>
            <w:tcW w:w="461" w:type="dxa"/>
            <w:shd w:val="clear" w:color="auto" w:fill="auto"/>
            <w:noWrap/>
            <w:vAlign w:val="bottom"/>
            <w:hideMark/>
          </w:tcPr>
          <w:p w14:paraId="31D117AA"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lastRenderedPageBreak/>
              <w:t>10</w:t>
            </w:r>
          </w:p>
        </w:tc>
        <w:tc>
          <w:tcPr>
            <w:tcW w:w="1099" w:type="dxa"/>
            <w:shd w:val="clear" w:color="auto" w:fill="auto"/>
            <w:noWrap/>
            <w:vAlign w:val="bottom"/>
            <w:hideMark/>
          </w:tcPr>
          <w:p w14:paraId="3D8597E5"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Tiger</w:t>
            </w:r>
          </w:p>
        </w:tc>
        <w:tc>
          <w:tcPr>
            <w:tcW w:w="6194" w:type="dxa"/>
            <w:shd w:val="clear" w:color="auto" w:fill="auto"/>
            <w:noWrap/>
            <w:vAlign w:val="bottom"/>
            <w:hideMark/>
          </w:tcPr>
          <w:p w14:paraId="4920FC70"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psi(~fcover_area)theta(~PRIME)p(~forest_hab)th0pi(~1)</w:t>
            </w:r>
          </w:p>
        </w:tc>
        <w:tc>
          <w:tcPr>
            <w:tcW w:w="794" w:type="dxa"/>
            <w:shd w:val="clear" w:color="auto" w:fill="auto"/>
            <w:noWrap/>
            <w:vAlign w:val="bottom"/>
            <w:hideMark/>
          </w:tcPr>
          <w:p w14:paraId="11814323"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1.05</w:t>
            </w:r>
          </w:p>
        </w:tc>
        <w:tc>
          <w:tcPr>
            <w:tcW w:w="740" w:type="dxa"/>
            <w:shd w:val="clear" w:color="auto" w:fill="auto"/>
            <w:noWrap/>
            <w:vAlign w:val="bottom"/>
            <w:hideMark/>
          </w:tcPr>
          <w:p w14:paraId="26F93F27"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0.22</w:t>
            </w:r>
          </w:p>
        </w:tc>
      </w:tr>
      <w:tr w:rsidR="00E33BBD" w:rsidRPr="00BF3E35" w14:paraId="2144C9BB" w14:textId="77777777" w:rsidTr="007F770B">
        <w:trPr>
          <w:trHeight w:val="300"/>
        </w:trPr>
        <w:tc>
          <w:tcPr>
            <w:tcW w:w="461" w:type="dxa"/>
            <w:shd w:val="clear" w:color="auto" w:fill="auto"/>
            <w:noWrap/>
            <w:vAlign w:val="bottom"/>
            <w:hideMark/>
          </w:tcPr>
          <w:p w14:paraId="524BC3FF"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11</w:t>
            </w:r>
          </w:p>
        </w:tc>
        <w:tc>
          <w:tcPr>
            <w:tcW w:w="1099" w:type="dxa"/>
            <w:shd w:val="clear" w:color="auto" w:fill="auto"/>
            <w:noWrap/>
            <w:vAlign w:val="bottom"/>
            <w:hideMark/>
          </w:tcPr>
          <w:p w14:paraId="3FAAF663"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Tiger</w:t>
            </w:r>
          </w:p>
        </w:tc>
        <w:tc>
          <w:tcPr>
            <w:tcW w:w="6194" w:type="dxa"/>
            <w:shd w:val="clear" w:color="auto" w:fill="auto"/>
            <w:noWrap/>
            <w:vAlign w:val="bottom"/>
            <w:hideMark/>
          </w:tcPr>
          <w:p w14:paraId="1CBB0B42"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psi(~slope + fcover_patches)theta(~PRIME)p(~forest_hab)th0pi(~1)</w:t>
            </w:r>
          </w:p>
        </w:tc>
        <w:tc>
          <w:tcPr>
            <w:tcW w:w="794" w:type="dxa"/>
            <w:shd w:val="clear" w:color="auto" w:fill="auto"/>
            <w:noWrap/>
            <w:vAlign w:val="bottom"/>
            <w:hideMark/>
          </w:tcPr>
          <w:p w14:paraId="4EABADE7"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1.53</w:t>
            </w:r>
          </w:p>
        </w:tc>
        <w:tc>
          <w:tcPr>
            <w:tcW w:w="740" w:type="dxa"/>
            <w:shd w:val="clear" w:color="auto" w:fill="auto"/>
            <w:noWrap/>
            <w:vAlign w:val="bottom"/>
            <w:hideMark/>
          </w:tcPr>
          <w:p w14:paraId="2B3B6956"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0.17</w:t>
            </w:r>
          </w:p>
        </w:tc>
      </w:tr>
      <w:tr w:rsidR="00E33BBD" w:rsidRPr="00BF3E35" w14:paraId="52D4F9D7" w14:textId="77777777" w:rsidTr="007F770B">
        <w:trPr>
          <w:trHeight w:val="300"/>
        </w:trPr>
        <w:tc>
          <w:tcPr>
            <w:tcW w:w="461" w:type="dxa"/>
            <w:shd w:val="clear" w:color="auto" w:fill="auto"/>
            <w:noWrap/>
            <w:vAlign w:val="bottom"/>
            <w:hideMark/>
          </w:tcPr>
          <w:p w14:paraId="66FBDB54"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12</w:t>
            </w:r>
          </w:p>
        </w:tc>
        <w:tc>
          <w:tcPr>
            <w:tcW w:w="1099" w:type="dxa"/>
            <w:shd w:val="clear" w:color="auto" w:fill="auto"/>
            <w:noWrap/>
            <w:vAlign w:val="bottom"/>
            <w:hideMark/>
          </w:tcPr>
          <w:p w14:paraId="671A21E5"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Tiger</w:t>
            </w:r>
          </w:p>
        </w:tc>
        <w:tc>
          <w:tcPr>
            <w:tcW w:w="6194" w:type="dxa"/>
            <w:shd w:val="clear" w:color="auto" w:fill="auto"/>
            <w:noWrap/>
            <w:vAlign w:val="bottom"/>
            <w:hideMark/>
          </w:tcPr>
          <w:p w14:paraId="70933C1C"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psi(~fcover_area + disturbance)theta(~PRIME)p(~forest_hab)th0pi(~1)</w:t>
            </w:r>
          </w:p>
        </w:tc>
        <w:tc>
          <w:tcPr>
            <w:tcW w:w="794" w:type="dxa"/>
            <w:shd w:val="clear" w:color="auto" w:fill="auto"/>
            <w:noWrap/>
            <w:vAlign w:val="bottom"/>
            <w:hideMark/>
          </w:tcPr>
          <w:p w14:paraId="5B75E9EB"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1.95</w:t>
            </w:r>
          </w:p>
        </w:tc>
        <w:tc>
          <w:tcPr>
            <w:tcW w:w="740" w:type="dxa"/>
            <w:shd w:val="clear" w:color="auto" w:fill="auto"/>
            <w:noWrap/>
            <w:vAlign w:val="bottom"/>
            <w:hideMark/>
          </w:tcPr>
          <w:p w14:paraId="559BBE00"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0.14</w:t>
            </w:r>
          </w:p>
        </w:tc>
      </w:tr>
      <w:tr w:rsidR="00E33BBD" w:rsidRPr="00BF3E35" w14:paraId="2C4F09EA" w14:textId="77777777" w:rsidTr="007F770B">
        <w:trPr>
          <w:trHeight w:val="300"/>
        </w:trPr>
        <w:tc>
          <w:tcPr>
            <w:tcW w:w="461" w:type="dxa"/>
            <w:shd w:val="clear" w:color="auto" w:fill="auto"/>
            <w:noWrap/>
            <w:vAlign w:val="bottom"/>
            <w:hideMark/>
          </w:tcPr>
          <w:p w14:paraId="4F817FE7"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13</w:t>
            </w:r>
          </w:p>
        </w:tc>
        <w:tc>
          <w:tcPr>
            <w:tcW w:w="1099" w:type="dxa"/>
            <w:shd w:val="clear" w:color="auto" w:fill="auto"/>
            <w:noWrap/>
            <w:vAlign w:val="bottom"/>
            <w:hideMark/>
          </w:tcPr>
          <w:p w14:paraId="36148FBE"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Tiger</w:t>
            </w:r>
          </w:p>
        </w:tc>
        <w:tc>
          <w:tcPr>
            <w:tcW w:w="6194" w:type="dxa"/>
            <w:shd w:val="clear" w:color="auto" w:fill="auto"/>
            <w:noWrap/>
            <w:vAlign w:val="bottom"/>
            <w:hideMark/>
          </w:tcPr>
          <w:p w14:paraId="4DDB4929"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psi(~disturbance)theta(~PRIME)p(~forest_hab)th0pi(~1)</w:t>
            </w:r>
          </w:p>
        </w:tc>
        <w:tc>
          <w:tcPr>
            <w:tcW w:w="794" w:type="dxa"/>
            <w:shd w:val="clear" w:color="auto" w:fill="auto"/>
            <w:noWrap/>
            <w:vAlign w:val="bottom"/>
            <w:hideMark/>
          </w:tcPr>
          <w:p w14:paraId="70927B44"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4.62</w:t>
            </w:r>
          </w:p>
        </w:tc>
        <w:tc>
          <w:tcPr>
            <w:tcW w:w="740" w:type="dxa"/>
            <w:shd w:val="clear" w:color="auto" w:fill="auto"/>
            <w:noWrap/>
            <w:vAlign w:val="bottom"/>
            <w:hideMark/>
          </w:tcPr>
          <w:p w14:paraId="3E8FC395"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0.04</w:t>
            </w:r>
          </w:p>
        </w:tc>
      </w:tr>
      <w:tr w:rsidR="00E33BBD" w:rsidRPr="00BF3E35" w14:paraId="15585FC2" w14:textId="77777777" w:rsidTr="007F770B">
        <w:trPr>
          <w:trHeight w:val="300"/>
        </w:trPr>
        <w:tc>
          <w:tcPr>
            <w:tcW w:w="461" w:type="dxa"/>
            <w:shd w:val="clear" w:color="auto" w:fill="auto"/>
            <w:noWrap/>
            <w:vAlign w:val="bottom"/>
            <w:hideMark/>
          </w:tcPr>
          <w:p w14:paraId="6F3C273A"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14</w:t>
            </w:r>
          </w:p>
        </w:tc>
        <w:tc>
          <w:tcPr>
            <w:tcW w:w="1099" w:type="dxa"/>
            <w:shd w:val="clear" w:color="auto" w:fill="auto"/>
            <w:noWrap/>
            <w:vAlign w:val="bottom"/>
            <w:hideMark/>
          </w:tcPr>
          <w:p w14:paraId="71B9D860"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Tiger</w:t>
            </w:r>
          </w:p>
        </w:tc>
        <w:tc>
          <w:tcPr>
            <w:tcW w:w="6194" w:type="dxa"/>
            <w:shd w:val="clear" w:color="auto" w:fill="auto"/>
            <w:noWrap/>
            <w:vAlign w:val="bottom"/>
            <w:hideMark/>
          </w:tcPr>
          <w:p w14:paraId="01AEC1E8"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psi(~prey)theta(~PRIME)p(~forest_hab)th0pi(~1)</w:t>
            </w:r>
          </w:p>
        </w:tc>
        <w:tc>
          <w:tcPr>
            <w:tcW w:w="794" w:type="dxa"/>
            <w:shd w:val="clear" w:color="auto" w:fill="auto"/>
            <w:noWrap/>
            <w:vAlign w:val="bottom"/>
            <w:hideMark/>
          </w:tcPr>
          <w:p w14:paraId="28518B78"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5.73</w:t>
            </w:r>
          </w:p>
        </w:tc>
        <w:tc>
          <w:tcPr>
            <w:tcW w:w="740" w:type="dxa"/>
            <w:shd w:val="clear" w:color="auto" w:fill="auto"/>
            <w:noWrap/>
            <w:vAlign w:val="bottom"/>
            <w:hideMark/>
          </w:tcPr>
          <w:p w14:paraId="5B603830"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0.02</w:t>
            </w:r>
          </w:p>
        </w:tc>
      </w:tr>
      <w:tr w:rsidR="00E33BBD" w:rsidRPr="00BF3E35" w14:paraId="27CAC354" w14:textId="77777777" w:rsidTr="007F770B">
        <w:trPr>
          <w:trHeight w:val="300"/>
        </w:trPr>
        <w:tc>
          <w:tcPr>
            <w:tcW w:w="461" w:type="dxa"/>
            <w:shd w:val="clear" w:color="auto" w:fill="auto"/>
            <w:noWrap/>
            <w:vAlign w:val="bottom"/>
            <w:hideMark/>
          </w:tcPr>
          <w:p w14:paraId="7A5E528A"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15</w:t>
            </w:r>
          </w:p>
        </w:tc>
        <w:tc>
          <w:tcPr>
            <w:tcW w:w="1099" w:type="dxa"/>
            <w:shd w:val="clear" w:color="auto" w:fill="auto"/>
            <w:noWrap/>
            <w:vAlign w:val="bottom"/>
            <w:hideMark/>
          </w:tcPr>
          <w:p w14:paraId="0F9179C3"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Tiger</w:t>
            </w:r>
          </w:p>
        </w:tc>
        <w:tc>
          <w:tcPr>
            <w:tcW w:w="6194" w:type="dxa"/>
            <w:shd w:val="clear" w:color="auto" w:fill="auto"/>
            <w:noWrap/>
            <w:vAlign w:val="bottom"/>
            <w:hideMark/>
          </w:tcPr>
          <w:p w14:paraId="5AF8EA9B"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psi(~elevation)theta(~PRIME)p(~forest_hab)th0pi(~1)</w:t>
            </w:r>
          </w:p>
        </w:tc>
        <w:tc>
          <w:tcPr>
            <w:tcW w:w="794" w:type="dxa"/>
            <w:shd w:val="clear" w:color="auto" w:fill="auto"/>
            <w:noWrap/>
            <w:vAlign w:val="bottom"/>
            <w:hideMark/>
          </w:tcPr>
          <w:p w14:paraId="1A4D2210"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6.15</w:t>
            </w:r>
          </w:p>
        </w:tc>
        <w:tc>
          <w:tcPr>
            <w:tcW w:w="740" w:type="dxa"/>
            <w:shd w:val="clear" w:color="auto" w:fill="auto"/>
            <w:noWrap/>
            <w:vAlign w:val="bottom"/>
            <w:hideMark/>
          </w:tcPr>
          <w:p w14:paraId="1C208CEB"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0.02</w:t>
            </w:r>
          </w:p>
        </w:tc>
      </w:tr>
      <w:tr w:rsidR="00E33BBD" w:rsidRPr="00BF3E35" w14:paraId="721E7C2D" w14:textId="77777777" w:rsidTr="007F770B">
        <w:trPr>
          <w:trHeight w:val="300"/>
        </w:trPr>
        <w:tc>
          <w:tcPr>
            <w:tcW w:w="461" w:type="dxa"/>
            <w:shd w:val="clear" w:color="auto" w:fill="auto"/>
            <w:noWrap/>
            <w:vAlign w:val="bottom"/>
            <w:hideMark/>
          </w:tcPr>
          <w:p w14:paraId="28B42A95"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16</w:t>
            </w:r>
          </w:p>
        </w:tc>
        <w:tc>
          <w:tcPr>
            <w:tcW w:w="1099" w:type="dxa"/>
            <w:shd w:val="clear" w:color="auto" w:fill="auto"/>
            <w:noWrap/>
            <w:vAlign w:val="bottom"/>
            <w:hideMark/>
          </w:tcPr>
          <w:p w14:paraId="22D27165"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Tiger</w:t>
            </w:r>
          </w:p>
        </w:tc>
        <w:tc>
          <w:tcPr>
            <w:tcW w:w="6194" w:type="dxa"/>
            <w:shd w:val="clear" w:color="auto" w:fill="auto"/>
            <w:noWrap/>
            <w:vAlign w:val="bottom"/>
            <w:hideMark/>
          </w:tcPr>
          <w:p w14:paraId="7E54EC4E"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psi(~fcover_patches)theta(~PRIME)p(~forest_hab)th0pi(~1)</w:t>
            </w:r>
          </w:p>
        </w:tc>
        <w:tc>
          <w:tcPr>
            <w:tcW w:w="794" w:type="dxa"/>
            <w:shd w:val="clear" w:color="auto" w:fill="auto"/>
            <w:noWrap/>
            <w:vAlign w:val="bottom"/>
            <w:hideMark/>
          </w:tcPr>
          <w:p w14:paraId="1AFA6A85"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6.15</w:t>
            </w:r>
          </w:p>
        </w:tc>
        <w:tc>
          <w:tcPr>
            <w:tcW w:w="740" w:type="dxa"/>
            <w:shd w:val="clear" w:color="auto" w:fill="auto"/>
            <w:noWrap/>
            <w:vAlign w:val="bottom"/>
            <w:hideMark/>
          </w:tcPr>
          <w:p w14:paraId="13D51F4D"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0.02</w:t>
            </w:r>
          </w:p>
        </w:tc>
      </w:tr>
      <w:tr w:rsidR="00E33BBD" w:rsidRPr="00BF3E35" w14:paraId="17EEF1EA" w14:textId="77777777" w:rsidTr="00C42617">
        <w:trPr>
          <w:trHeight w:val="300"/>
        </w:trPr>
        <w:tc>
          <w:tcPr>
            <w:tcW w:w="461" w:type="dxa"/>
            <w:tcBorders>
              <w:bottom w:val="single" w:sz="12" w:space="0" w:color="auto"/>
            </w:tcBorders>
            <w:shd w:val="clear" w:color="auto" w:fill="auto"/>
            <w:noWrap/>
            <w:vAlign w:val="bottom"/>
            <w:hideMark/>
          </w:tcPr>
          <w:p w14:paraId="168EB4D3"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17</w:t>
            </w:r>
          </w:p>
        </w:tc>
        <w:tc>
          <w:tcPr>
            <w:tcW w:w="1099" w:type="dxa"/>
            <w:tcBorders>
              <w:bottom w:val="single" w:sz="12" w:space="0" w:color="auto"/>
            </w:tcBorders>
            <w:shd w:val="clear" w:color="auto" w:fill="auto"/>
            <w:noWrap/>
            <w:vAlign w:val="bottom"/>
            <w:hideMark/>
          </w:tcPr>
          <w:p w14:paraId="7BBBBA78"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Tiger</w:t>
            </w:r>
          </w:p>
        </w:tc>
        <w:tc>
          <w:tcPr>
            <w:tcW w:w="6194" w:type="dxa"/>
            <w:tcBorders>
              <w:bottom w:val="single" w:sz="12" w:space="0" w:color="auto"/>
            </w:tcBorders>
            <w:shd w:val="clear" w:color="auto" w:fill="auto"/>
            <w:noWrap/>
            <w:vAlign w:val="bottom"/>
            <w:hideMark/>
          </w:tcPr>
          <w:p w14:paraId="6BED9A28"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psi(~1)theta(~PRIME)p(~1)th0pi(~1)</w:t>
            </w:r>
          </w:p>
        </w:tc>
        <w:tc>
          <w:tcPr>
            <w:tcW w:w="794" w:type="dxa"/>
            <w:tcBorders>
              <w:bottom w:val="single" w:sz="12" w:space="0" w:color="auto"/>
            </w:tcBorders>
            <w:shd w:val="clear" w:color="auto" w:fill="auto"/>
            <w:noWrap/>
            <w:vAlign w:val="bottom"/>
            <w:hideMark/>
          </w:tcPr>
          <w:p w14:paraId="153FE772"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7.79</w:t>
            </w:r>
          </w:p>
        </w:tc>
        <w:tc>
          <w:tcPr>
            <w:tcW w:w="740" w:type="dxa"/>
            <w:tcBorders>
              <w:bottom w:val="single" w:sz="12" w:space="0" w:color="auto"/>
            </w:tcBorders>
            <w:shd w:val="clear" w:color="auto" w:fill="auto"/>
            <w:noWrap/>
            <w:vAlign w:val="bottom"/>
            <w:hideMark/>
          </w:tcPr>
          <w:p w14:paraId="4F9EBE14"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0.01</w:t>
            </w:r>
          </w:p>
        </w:tc>
      </w:tr>
      <w:tr w:rsidR="00E33BBD" w:rsidRPr="00BF3E35" w14:paraId="31CC28A7" w14:textId="77777777" w:rsidTr="00C42617">
        <w:trPr>
          <w:trHeight w:val="300"/>
        </w:trPr>
        <w:tc>
          <w:tcPr>
            <w:tcW w:w="461" w:type="dxa"/>
            <w:tcBorders>
              <w:top w:val="single" w:sz="12" w:space="0" w:color="auto"/>
            </w:tcBorders>
            <w:shd w:val="clear" w:color="auto" w:fill="auto"/>
            <w:noWrap/>
            <w:vAlign w:val="bottom"/>
            <w:hideMark/>
          </w:tcPr>
          <w:p w14:paraId="44C36005"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18</w:t>
            </w:r>
          </w:p>
        </w:tc>
        <w:tc>
          <w:tcPr>
            <w:tcW w:w="1099" w:type="dxa"/>
            <w:tcBorders>
              <w:top w:val="single" w:sz="12" w:space="0" w:color="auto"/>
            </w:tcBorders>
            <w:shd w:val="clear" w:color="auto" w:fill="auto"/>
            <w:noWrap/>
            <w:vAlign w:val="bottom"/>
            <w:hideMark/>
          </w:tcPr>
          <w:p w14:paraId="16477AA2"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Wild boar</w:t>
            </w:r>
          </w:p>
        </w:tc>
        <w:tc>
          <w:tcPr>
            <w:tcW w:w="6194" w:type="dxa"/>
            <w:tcBorders>
              <w:top w:val="single" w:sz="12" w:space="0" w:color="auto"/>
            </w:tcBorders>
            <w:shd w:val="clear" w:color="auto" w:fill="auto"/>
            <w:noWrap/>
            <w:vAlign w:val="bottom"/>
            <w:hideMark/>
          </w:tcPr>
          <w:p w14:paraId="4F385205"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psi(~slope + fcover_patches)theta(~PRIME)p(~1)th0pi(~1)</w:t>
            </w:r>
          </w:p>
        </w:tc>
        <w:tc>
          <w:tcPr>
            <w:tcW w:w="794" w:type="dxa"/>
            <w:tcBorders>
              <w:top w:val="single" w:sz="12" w:space="0" w:color="auto"/>
            </w:tcBorders>
            <w:shd w:val="clear" w:color="auto" w:fill="auto"/>
            <w:noWrap/>
            <w:vAlign w:val="bottom"/>
            <w:hideMark/>
          </w:tcPr>
          <w:p w14:paraId="3EAF7A5C"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0.00</w:t>
            </w:r>
          </w:p>
        </w:tc>
        <w:tc>
          <w:tcPr>
            <w:tcW w:w="740" w:type="dxa"/>
            <w:tcBorders>
              <w:top w:val="single" w:sz="12" w:space="0" w:color="auto"/>
            </w:tcBorders>
            <w:shd w:val="clear" w:color="auto" w:fill="auto"/>
            <w:noWrap/>
            <w:vAlign w:val="bottom"/>
            <w:hideMark/>
          </w:tcPr>
          <w:p w14:paraId="6CF5EE84"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0.60</w:t>
            </w:r>
          </w:p>
        </w:tc>
      </w:tr>
      <w:tr w:rsidR="00E33BBD" w:rsidRPr="00BF3E35" w14:paraId="5E9998D4" w14:textId="77777777" w:rsidTr="007F770B">
        <w:trPr>
          <w:trHeight w:val="300"/>
        </w:trPr>
        <w:tc>
          <w:tcPr>
            <w:tcW w:w="461" w:type="dxa"/>
            <w:shd w:val="clear" w:color="auto" w:fill="auto"/>
            <w:noWrap/>
            <w:vAlign w:val="bottom"/>
            <w:hideMark/>
          </w:tcPr>
          <w:p w14:paraId="00405B53"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19</w:t>
            </w:r>
          </w:p>
        </w:tc>
        <w:tc>
          <w:tcPr>
            <w:tcW w:w="1099" w:type="dxa"/>
            <w:shd w:val="clear" w:color="auto" w:fill="auto"/>
            <w:noWrap/>
            <w:vAlign w:val="bottom"/>
            <w:hideMark/>
          </w:tcPr>
          <w:p w14:paraId="3FFC2BA9"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Wild boar</w:t>
            </w:r>
          </w:p>
        </w:tc>
        <w:tc>
          <w:tcPr>
            <w:tcW w:w="6194" w:type="dxa"/>
            <w:shd w:val="clear" w:color="auto" w:fill="auto"/>
            <w:noWrap/>
            <w:vAlign w:val="bottom"/>
            <w:hideMark/>
          </w:tcPr>
          <w:p w14:paraId="4823C830"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psi(~fcover_patches)theta(~PRIME)p(~1)th0pi(~1)</w:t>
            </w:r>
          </w:p>
        </w:tc>
        <w:tc>
          <w:tcPr>
            <w:tcW w:w="794" w:type="dxa"/>
            <w:shd w:val="clear" w:color="auto" w:fill="auto"/>
            <w:noWrap/>
            <w:vAlign w:val="bottom"/>
            <w:hideMark/>
          </w:tcPr>
          <w:p w14:paraId="1FC3C0D7"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1.04</w:t>
            </w:r>
          </w:p>
        </w:tc>
        <w:tc>
          <w:tcPr>
            <w:tcW w:w="740" w:type="dxa"/>
            <w:shd w:val="clear" w:color="auto" w:fill="auto"/>
            <w:noWrap/>
            <w:vAlign w:val="bottom"/>
            <w:hideMark/>
          </w:tcPr>
          <w:p w14:paraId="33C9C50F"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0.36</w:t>
            </w:r>
          </w:p>
        </w:tc>
      </w:tr>
      <w:tr w:rsidR="00E33BBD" w:rsidRPr="00BF3E35" w14:paraId="2DBFE57C" w14:textId="77777777" w:rsidTr="007F770B">
        <w:trPr>
          <w:trHeight w:val="300"/>
        </w:trPr>
        <w:tc>
          <w:tcPr>
            <w:tcW w:w="461" w:type="dxa"/>
            <w:shd w:val="clear" w:color="auto" w:fill="auto"/>
            <w:noWrap/>
            <w:vAlign w:val="bottom"/>
            <w:hideMark/>
          </w:tcPr>
          <w:p w14:paraId="4588E8B0"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20</w:t>
            </w:r>
          </w:p>
        </w:tc>
        <w:tc>
          <w:tcPr>
            <w:tcW w:w="1099" w:type="dxa"/>
            <w:shd w:val="clear" w:color="auto" w:fill="auto"/>
            <w:noWrap/>
            <w:vAlign w:val="bottom"/>
            <w:hideMark/>
          </w:tcPr>
          <w:p w14:paraId="30538274"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Wild boar</w:t>
            </w:r>
          </w:p>
        </w:tc>
        <w:tc>
          <w:tcPr>
            <w:tcW w:w="6194" w:type="dxa"/>
            <w:shd w:val="clear" w:color="auto" w:fill="auto"/>
            <w:noWrap/>
            <w:vAlign w:val="bottom"/>
            <w:hideMark/>
          </w:tcPr>
          <w:p w14:paraId="0EC05FCE"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psi(~1)theta(~PRIME)p(~1)th0pi(~1)</w:t>
            </w:r>
          </w:p>
        </w:tc>
        <w:tc>
          <w:tcPr>
            <w:tcW w:w="794" w:type="dxa"/>
            <w:shd w:val="clear" w:color="auto" w:fill="auto"/>
            <w:noWrap/>
            <w:vAlign w:val="bottom"/>
            <w:hideMark/>
          </w:tcPr>
          <w:p w14:paraId="05281624"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6.64</w:t>
            </w:r>
          </w:p>
        </w:tc>
        <w:tc>
          <w:tcPr>
            <w:tcW w:w="740" w:type="dxa"/>
            <w:shd w:val="clear" w:color="auto" w:fill="auto"/>
            <w:noWrap/>
            <w:vAlign w:val="bottom"/>
            <w:hideMark/>
          </w:tcPr>
          <w:p w14:paraId="6DE60E4F"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0.02</w:t>
            </w:r>
          </w:p>
        </w:tc>
      </w:tr>
      <w:tr w:rsidR="00E33BBD" w:rsidRPr="00BF3E35" w14:paraId="23098B84" w14:textId="77777777" w:rsidTr="00C42617">
        <w:trPr>
          <w:trHeight w:val="300"/>
        </w:trPr>
        <w:tc>
          <w:tcPr>
            <w:tcW w:w="461" w:type="dxa"/>
            <w:tcBorders>
              <w:bottom w:val="single" w:sz="12" w:space="0" w:color="auto"/>
            </w:tcBorders>
            <w:shd w:val="clear" w:color="auto" w:fill="auto"/>
            <w:noWrap/>
            <w:vAlign w:val="bottom"/>
            <w:hideMark/>
          </w:tcPr>
          <w:p w14:paraId="35D39865"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21</w:t>
            </w:r>
          </w:p>
        </w:tc>
        <w:tc>
          <w:tcPr>
            <w:tcW w:w="1099" w:type="dxa"/>
            <w:tcBorders>
              <w:bottom w:val="single" w:sz="12" w:space="0" w:color="auto"/>
            </w:tcBorders>
            <w:shd w:val="clear" w:color="auto" w:fill="auto"/>
            <w:noWrap/>
            <w:vAlign w:val="bottom"/>
            <w:hideMark/>
          </w:tcPr>
          <w:p w14:paraId="118A2613"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Wild boar</w:t>
            </w:r>
          </w:p>
        </w:tc>
        <w:tc>
          <w:tcPr>
            <w:tcW w:w="6194" w:type="dxa"/>
            <w:tcBorders>
              <w:bottom w:val="single" w:sz="12" w:space="0" w:color="auto"/>
            </w:tcBorders>
            <w:shd w:val="clear" w:color="auto" w:fill="auto"/>
            <w:noWrap/>
            <w:vAlign w:val="bottom"/>
            <w:hideMark/>
          </w:tcPr>
          <w:p w14:paraId="7BE35009"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psi(~fcover_area)theta(~PRIME)p(~1)th0pi(~1)</w:t>
            </w:r>
          </w:p>
        </w:tc>
        <w:tc>
          <w:tcPr>
            <w:tcW w:w="794" w:type="dxa"/>
            <w:tcBorders>
              <w:bottom w:val="single" w:sz="12" w:space="0" w:color="auto"/>
            </w:tcBorders>
            <w:shd w:val="clear" w:color="auto" w:fill="auto"/>
            <w:noWrap/>
            <w:vAlign w:val="bottom"/>
            <w:hideMark/>
          </w:tcPr>
          <w:p w14:paraId="5A825EC1"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6.83</w:t>
            </w:r>
          </w:p>
        </w:tc>
        <w:tc>
          <w:tcPr>
            <w:tcW w:w="740" w:type="dxa"/>
            <w:tcBorders>
              <w:bottom w:val="single" w:sz="12" w:space="0" w:color="auto"/>
            </w:tcBorders>
            <w:shd w:val="clear" w:color="auto" w:fill="auto"/>
            <w:noWrap/>
            <w:vAlign w:val="bottom"/>
            <w:hideMark/>
          </w:tcPr>
          <w:p w14:paraId="567A0B1F"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0.02</w:t>
            </w:r>
          </w:p>
        </w:tc>
      </w:tr>
      <w:tr w:rsidR="00E33BBD" w:rsidRPr="00BF3E35" w14:paraId="1939D483" w14:textId="77777777" w:rsidTr="00C42617">
        <w:trPr>
          <w:trHeight w:val="300"/>
        </w:trPr>
        <w:tc>
          <w:tcPr>
            <w:tcW w:w="461" w:type="dxa"/>
            <w:tcBorders>
              <w:top w:val="single" w:sz="12" w:space="0" w:color="auto"/>
            </w:tcBorders>
            <w:shd w:val="clear" w:color="auto" w:fill="auto"/>
            <w:noWrap/>
            <w:vAlign w:val="bottom"/>
            <w:hideMark/>
          </w:tcPr>
          <w:p w14:paraId="403A05F8"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22</w:t>
            </w:r>
          </w:p>
        </w:tc>
        <w:tc>
          <w:tcPr>
            <w:tcW w:w="1099" w:type="dxa"/>
            <w:tcBorders>
              <w:top w:val="single" w:sz="12" w:space="0" w:color="auto"/>
            </w:tcBorders>
            <w:shd w:val="clear" w:color="auto" w:fill="auto"/>
            <w:noWrap/>
            <w:vAlign w:val="bottom"/>
            <w:hideMark/>
          </w:tcPr>
          <w:p w14:paraId="0D03CBB8"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Sambar</w:t>
            </w:r>
          </w:p>
        </w:tc>
        <w:tc>
          <w:tcPr>
            <w:tcW w:w="6194" w:type="dxa"/>
            <w:tcBorders>
              <w:top w:val="single" w:sz="12" w:space="0" w:color="auto"/>
            </w:tcBorders>
            <w:shd w:val="clear" w:color="auto" w:fill="auto"/>
            <w:noWrap/>
            <w:vAlign w:val="bottom"/>
            <w:hideMark/>
          </w:tcPr>
          <w:p w14:paraId="65AB1667"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psi(~fcover_area)theta(~PRIME)p(~forest_hab)th0pi(~1)</w:t>
            </w:r>
          </w:p>
        </w:tc>
        <w:tc>
          <w:tcPr>
            <w:tcW w:w="794" w:type="dxa"/>
            <w:tcBorders>
              <w:top w:val="single" w:sz="12" w:space="0" w:color="auto"/>
            </w:tcBorders>
            <w:shd w:val="clear" w:color="auto" w:fill="auto"/>
            <w:noWrap/>
            <w:vAlign w:val="bottom"/>
            <w:hideMark/>
          </w:tcPr>
          <w:p w14:paraId="6F874EF9"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0.00</w:t>
            </w:r>
          </w:p>
        </w:tc>
        <w:tc>
          <w:tcPr>
            <w:tcW w:w="740" w:type="dxa"/>
            <w:tcBorders>
              <w:top w:val="single" w:sz="12" w:space="0" w:color="auto"/>
            </w:tcBorders>
            <w:shd w:val="clear" w:color="auto" w:fill="auto"/>
            <w:noWrap/>
            <w:vAlign w:val="bottom"/>
            <w:hideMark/>
          </w:tcPr>
          <w:p w14:paraId="34ED9354"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0.92</w:t>
            </w:r>
          </w:p>
        </w:tc>
      </w:tr>
      <w:tr w:rsidR="00E33BBD" w:rsidRPr="00BF3E35" w14:paraId="1F324E0C" w14:textId="77777777" w:rsidTr="007F770B">
        <w:trPr>
          <w:trHeight w:val="300"/>
        </w:trPr>
        <w:tc>
          <w:tcPr>
            <w:tcW w:w="461" w:type="dxa"/>
            <w:shd w:val="clear" w:color="auto" w:fill="auto"/>
            <w:noWrap/>
            <w:vAlign w:val="bottom"/>
            <w:hideMark/>
          </w:tcPr>
          <w:p w14:paraId="5A9A54A5"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23</w:t>
            </w:r>
          </w:p>
        </w:tc>
        <w:tc>
          <w:tcPr>
            <w:tcW w:w="1099" w:type="dxa"/>
            <w:shd w:val="clear" w:color="auto" w:fill="auto"/>
            <w:noWrap/>
            <w:vAlign w:val="bottom"/>
            <w:hideMark/>
          </w:tcPr>
          <w:p w14:paraId="6DAE1A7A"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Sambar</w:t>
            </w:r>
          </w:p>
        </w:tc>
        <w:tc>
          <w:tcPr>
            <w:tcW w:w="6194" w:type="dxa"/>
            <w:shd w:val="clear" w:color="auto" w:fill="auto"/>
            <w:noWrap/>
            <w:vAlign w:val="bottom"/>
            <w:hideMark/>
          </w:tcPr>
          <w:p w14:paraId="4B3AA0AC"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psi(~elevation + fcover_patches)theta(~PRIME)p(~forest_hab)th0pi(~1)</w:t>
            </w:r>
          </w:p>
        </w:tc>
        <w:tc>
          <w:tcPr>
            <w:tcW w:w="794" w:type="dxa"/>
            <w:shd w:val="clear" w:color="auto" w:fill="auto"/>
            <w:noWrap/>
            <w:vAlign w:val="bottom"/>
            <w:hideMark/>
          </w:tcPr>
          <w:p w14:paraId="2332C51F"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6.58</w:t>
            </w:r>
          </w:p>
        </w:tc>
        <w:tc>
          <w:tcPr>
            <w:tcW w:w="740" w:type="dxa"/>
            <w:shd w:val="clear" w:color="auto" w:fill="auto"/>
            <w:noWrap/>
            <w:vAlign w:val="bottom"/>
            <w:hideMark/>
          </w:tcPr>
          <w:p w14:paraId="6DC0F98B"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0.03</w:t>
            </w:r>
          </w:p>
        </w:tc>
      </w:tr>
      <w:tr w:rsidR="00E33BBD" w:rsidRPr="00BF3E35" w14:paraId="1AFCE07C" w14:textId="77777777" w:rsidTr="007F770B">
        <w:trPr>
          <w:trHeight w:val="300"/>
        </w:trPr>
        <w:tc>
          <w:tcPr>
            <w:tcW w:w="461" w:type="dxa"/>
            <w:shd w:val="clear" w:color="auto" w:fill="auto"/>
            <w:noWrap/>
            <w:vAlign w:val="bottom"/>
            <w:hideMark/>
          </w:tcPr>
          <w:p w14:paraId="67E8E245"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24</w:t>
            </w:r>
          </w:p>
        </w:tc>
        <w:tc>
          <w:tcPr>
            <w:tcW w:w="1099" w:type="dxa"/>
            <w:shd w:val="clear" w:color="auto" w:fill="auto"/>
            <w:noWrap/>
            <w:vAlign w:val="bottom"/>
            <w:hideMark/>
          </w:tcPr>
          <w:p w14:paraId="6C3D6EF2"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Sambar</w:t>
            </w:r>
          </w:p>
        </w:tc>
        <w:tc>
          <w:tcPr>
            <w:tcW w:w="6194" w:type="dxa"/>
            <w:shd w:val="clear" w:color="auto" w:fill="auto"/>
            <w:noWrap/>
            <w:vAlign w:val="bottom"/>
            <w:hideMark/>
          </w:tcPr>
          <w:p w14:paraId="0BD619C0"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psi(~disturbance)theta(~PRIME)p(~forest_hab)th0pi(~1)</w:t>
            </w:r>
          </w:p>
        </w:tc>
        <w:tc>
          <w:tcPr>
            <w:tcW w:w="794" w:type="dxa"/>
            <w:shd w:val="clear" w:color="auto" w:fill="auto"/>
            <w:noWrap/>
            <w:vAlign w:val="bottom"/>
            <w:hideMark/>
          </w:tcPr>
          <w:p w14:paraId="2FA69A84"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7.21</w:t>
            </w:r>
          </w:p>
        </w:tc>
        <w:tc>
          <w:tcPr>
            <w:tcW w:w="740" w:type="dxa"/>
            <w:shd w:val="clear" w:color="auto" w:fill="auto"/>
            <w:noWrap/>
            <w:vAlign w:val="bottom"/>
            <w:hideMark/>
          </w:tcPr>
          <w:p w14:paraId="25828389"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0.03</w:t>
            </w:r>
          </w:p>
        </w:tc>
      </w:tr>
      <w:tr w:rsidR="00E33BBD" w:rsidRPr="00BF3E35" w14:paraId="04C4ADF4" w14:textId="77777777" w:rsidTr="007F770B">
        <w:trPr>
          <w:trHeight w:val="300"/>
        </w:trPr>
        <w:tc>
          <w:tcPr>
            <w:tcW w:w="461" w:type="dxa"/>
            <w:shd w:val="clear" w:color="auto" w:fill="auto"/>
            <w:noWrap/>
            <w:vAlign w:val="bottom"/>
            <w:hideMark/>
          </w:tcPr>
          <w:p w14:paraId="723CB3FC"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25</w:t>
            </w:r>
          </w:p>
        </w:tc>
        <w:tc>
          <w:tcPr>
            <w:tcW w:w="1099" w:type="dxa"/>
            <w:shd w:val="clear" w:color="auto" w:fill="auto"/>
            <w:noWrap/>
            <w:vAlign w:val="bottom"/>
            <w:hideMark/>
          </w:tcPr>
          <w:p w14:paraId="1DD1BA91"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Sambar</w:t>
            </w:r>
          </w:p>
        </w:tc>
        <w:tc>
          <w:tcPr>
            <w:tcW w:w="6194" w:type="dxa"/>
            <w:shd w:val="clear" w:color="auto" w:fill="auto"/>
            <w:noWrap/>
            <w:vAlign w:val="bottom"/>
            <w:hideMark/>
          </w:tcPr>
          <w:p w14:paraId="11EF156F"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psi(~fcover_patches)theta(~PRIME)p(~forest_hab)th0pi(~1)</w:t>
            </w:r>
          </w:p>
        </w:tc>
        <w:tc>
          <w:tcPr>
            <w:tcW w:w="794" w:type="dxa"/>
            <w:shd w:val="clear" w:color="auto" w:fill="auto"/>
            <w:noWrap/>
            <w:vAlign w:val="bottom"/>
            <w:hideMark/>
          </w:tcPr>
          <w:p w14:paraId="1C16051D"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7.66</w:t>
            </w:r>
          </w:p>
        </w:tc>
        <w:tc>
          <w:tcPr>
            <w:tcW w:w="740" w:type="dxa"/>
            <w:shd w:val="clear" w:color="auto" w:fill="auto"/>
            <w:noWrap/>
            <w:vAlign w:val="bottom"/>
            <w:hideMark/>
          </w:tcPr>
          <w:p w14:paraId="13CEEF72"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0.02</w:t>
            </w:r>
          </w:p>
        </w:tc>
      </w:tr>
      <w:tr w:rsidR="00E33BBD" w:rsidRPr="00BF3E35" w14:paraId="6DAC66BC" w14:textId="77777777" w:rsidTr="007F770B">
        <w:trPr>
          <w:trHeight w:val="300"/>
        </w:trPr>
        <w:tc>
          <w:tcPr>
            <w:tcW w:w="461" w:type="dxa"/>
            <w:shd w:val="clear" w:color="auto" w:fill="auto"/>
            <w:noWrap/>
            <w:vAlign w:val="bottom"/>
            <w:hideMark/>
          </w:tcPr>
          <w:p w14:paraId="08520C56"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26</w:t>
            </w:r>
          </w:p>
        </w:tc>
        <w:tc>
          <w:tcPr>
            <w:tcW w:w="1099" w:type="dxa"/>
            <w:shd w:val="clear" w:color="auto" w:fill="auto"/>
            <w:noWrap/>
            <w:vAlign w:val="bottom"/>
            <w:hideMark/>
          </w:tcPr>
          <w:p w14:paraId="4EAFF68A"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Sambar</w:t>
            </w:r>
          </w:p>
        </w:tc>
        <w:tc>
          <w:tcPr>
            <w:tcW w:w="6194" w:type="dxa"/>
            <w:shd w:val="clear" w:color="auto" w:fill="auto"/>
            <w:noWrap/>
            <w:vAlign w:val="bottom"/>
            <w:hideMark/>
          </w:tcPr>
          <w:p w14:paraId="4F91E7EB" w14:textId="77777777" w:rsidR="00E33BBD" w:rsidRPr="00BF3E35" w:rsidRDefault="00E33BBD" w:rsidP="00E33BB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psi(~1)theta(~PRIME)p(~1)th0pi(~1)</w:t>
            </w:r>
          </w:p>
        </w:tc>
        <w:tc>
          <w:tcPr>
            <w:tcW w:w="794" w:type="dxa"/>
            <w:shd w:val="clear" w:color="auto" w:fill="auto"/>
            <w:noWrap/>
            <w:vAlign w:val="bottom"/>
            <w:hideMark/>
          </w:tcPr>
          <w:p w14:paraId="2B7B0FC5"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39.18</w:t>
            </w:r>
          </w:p>
        </w:tc>
        <w:tc>
          <w:tcPr>
            <w:tcW w:w="740" w:type="dxa"/>
            <w:shd w:val="clear" w:color="auto" w:fill="auto"/>
            <w:noWrap/>
            <w:vAlign w:val="bottom"/>
            <w:hideMark/>
          </w:tcPr>
          <w:p w14:paraId="2B18B389" w14:textId="77777777" w:rsidR="00E33BBD" w:rsidRPr="00BF3E35" w:rsidRDefault="00E33BBD" w:rsidP="00E33BBD">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0.00</w:t>
            </w:r>
          </w:p>
        </w:tc>
      </w:tr>
    </w:tbl>
    <w:p w14:paraId="44261C32" w14:textId="529DB6F9" w:rsidR="006F74C9" w:rsidRDefault="006F74C9" w:rsidP="006F74C9"/>
    <w:p w14:paraId="5F59EB72" w14:textId="27F41CDB" w:rsidR="00CA791D" w:rsidRPr="00BF3E35" w:rsidRDefault="00CA791D" w:rsidP="00CA791D">
      <w:pPr>
        <w:pStyle w:val="Caption"/>
        <w:keepNext/>
        <w:rPr>
          <w:rFonts w:ascii="Times New Roman" w:hAnsi="Times New Roman" w:cs="Times New Roman"/>
          <w:i w:val="0"/>
          <w:iCs w:val="0"/>
          <w:color w:val="auto"/>
          <w:sz w:val="22"/>
          <w:szCs w:val="22"/>
        </w:rPr>
      </w:pPr>
      <w:r w:rsidRPr="00BF3E35">
        <w:rPr>
          <w:rFonts w:ascii="Times New Roman" w:hAnsi="Times New Roman" w:cs="Times New Roman"/>
          <w:i w:val="0"/>
          <w:iCs w:val="0"/>
          <w:color w:val="auto"/>
          <w:sz w:val="22"/>
          <w:szCs w:val="22"/>
        </w:rPr>
        <w:t>Table S</w:t>
      </w:r>
      <w:r w:rsidRPr="00BF3E35">
        <w:rPr>
          <w:rFonts w:ascii="Times New Roman" w:hAnsi="Times New Roman" w:cs="Times New Roman"/>
          <w:i w:val="0"/>
          <w:iCs w:val="0"/>
          <w:color w:val="auto"/>
          <w:sz w:val="22"/>
          <w:szCs w:val="22"/>
        </w:rPr>
        <w:fldChar w:fldCharType="begin"/>
      </w:r>
      <w:r w:rsidRPr="00BF3E35">
        <w:rPr>
          <w:rFonts w:ascii="Times New Roman" w:hAnsi="Times New Roman" w:cs="Times New Roman"/>
          <w:i w:val="0"/>
          <w:iCs w:val="0"/>
          <w:color w:val="auto"/>
          <w:sz w:val="22"/>
          <w:szCs w:val="22"/>
        </w:rPr>
        <w:instrText xml:space="preserve"> SEQ Table_S- \* ARABIC </w:instrText>
      </w:r>
      <w:r w:rsidRPr="00BF3E35">
        <w:rPr>
          <w:rFonts w:ascii="Times New Roman" w:hAnsi="Times New Roman" w:cs="Times New Roman"/>
          <w:i w:val="0"/>
          <w:iCs w:val="0"/>
          <w:color w:val="auto"/>
          <w:sz w:val="22"/>
          <w:szCs w:val="22"/>
        </w:rPr>
        <w:fldChar w:fldCharType="separate"/>
      </w:r>
      <w:r w:rsidR="00BF3E35" w:rsidRPr="00BF3E35">
        <w:rPr>
          <w:rFonts w:ascii="Times New Roman" w:hAnsi="Times New Roman" w:cs="Times New Roman"/>
          <w:i w:val="0"/>
          <w:iCs w:val="0"/>
          <w:noProof/>
          <w:color w:val="auto"/>
          <w:sz w:val="22"/>
          <w:szCs w:val="22"/>
        </w:rPr>
        <w:t>5</w:t>
      </w:r>
      <w:r w:rsidRPr="00BF3E35">
        <w:rPr>
          <w:rFonts w:ascii="Times New Roman" w:hAnsi="Times New Roman" w:cs="Times New Roman"/>
          <w:i w:val="0"/>
          <w:iCs w:val="0"/>
          <w:color w:val="auto"/>
          <w:sz w:val="22"/>
          <w:szCs w:val="22"/>
        </w:rPr>
        <w:fldChar w:fldCharType="end"/>
      </w:r>
      <w:r w:rsidRPr="00BF3E35">
        <w:rPr>
          <w:rFonts w:ascii="Times New Roman" w:hAnsi="Times New Roman" w:cs="Times New Roman"/>
          <w:i w:val="0"/>
          <w:iCs w:val="0"/>
          <w:color w:val="auto"/>
          <w:sz w:val="22"/>
          <w:szCs w:val="22"/>
        </w:rPr>
        <w:t>. Covariates effect on psi estimate (±SE) from the top-ranked models for each species in each survey periods</w:t>
      </w:r>
    </w:p>
    <w:tbl>
      <w:tblPr>
        <w:tblW w:w="9765" w:type="dxa"/>
        <w:tblBorders>
          <w:top w:val="single" w:sz="4" w:space="0" w:color="auto"/>
          <w:bottom w:val="single" w:sz="4" w:space="0" w:color="auto"/>
          <w:insideH w:val="single" w:sz="4" w:space="0" w:color="auto"/>
        </w:tblBorders>
        <w:tblLook w:val="04A0" w:firstRow="1" w:lastRow="0" w:firstColumn="1" w:lastColumn="0" w:noHBand="0" w:noVBand="1"/>
      </w:tblPr>
      <w:tblGrid>
        <w:gridCol w:w="1134"/>
        <w:gridCol w:w="1167"/>
        <w:gridCol w:w="1227"/>
        <w:gridCol w:w="1228"/>
        <w:gridCol w:w="1230"/>
        <w:gridCol w:w="1189"/>
        <w:gridCol w:w="1540"/>
        <w:gridCol w:w="1050"/>
      </w:tblGrid>
      <w:tr w:rsidR="00CA791D" w:rsidRPr="00BF3E35" w14:paraId="134B7341" w14:textId="77777777" w:rsidTr="00CA791D">
        <w:trPr>
          <w:trHeight w:val="300"/>
        </w:trPr>
        <w:tc>
          <w:tcPr>
            <w:tcW w:w="1134" w:type="dxa"/>
            <w:shd w:val="clear" w:color="auto" w:fill="auto"/>
            <w:noWrap/>
            <w:vAlign w:val="bottom"/>
            <w:hideMark/>
          </w:tcPr>
          <w:p w14:paraId="6110418C" w14:textId="4DBA29D2" w:rsidR="00CA791D" w:rsidRPr="00BF3E35" w:rsidRDefault="00CA791D" w:rsidP="00CA791D">
            <w:pPr>
              <w:spacing w:after="0" w:line="240" w:lineRule="auto"/>
              <w:rPr>
                <w:rFonts w:ascii="Times New Roman" w:eastAsia="Times New Roman" w:hAnsi="Times New Roman" w:cs="Times New Roman"/>
                <w:b/>
                <w:bCs/>
                <w:color w:val="000000"/>
                <w:sz w:val="20"/>
                <w:szCs w:val="20"/>
                <w:lang w:val="en-SG" w:eastAsia="en-SG"/>
              </w:rPr>
            </w:pPr>
            <w:r w:rsidRPr="00BF3E35">
              <w:rPr>
                <w:rFonts w:ascii="Times New Roman" w:eastAsia="Times New Roman" w:hAnsi="Times New Roman" w:cs="Times New Roman"/>
                <w:b/>
                <w:bCs/>
                <w:color w:val="000000"/>
                <w:sz w:val="20"/>
                <w:szCs w:val="20"/>
                <w:lang w:val="en-SG" w:eastAsia="en-SG"/>
              </w:rPr>
              <w:t>Species</w:t>
            </w:r>
          </w:p>
        </w:tc>
        <w:tc>
          <w:tcPr>
            <w:tcW w:w="1167" w:type="dxa"/>
            <w:shd w:val="clear" w:color="auto" w:fill="auto"/>
            <w:noWrap/>
            <w:vAlign w:val="bottom"/>
            <w:hideMark/>
          </w:tcPr>
          <w:p w14:paraId="35C596DB" w14:textId="77777777" w:rsidR="00CA791D" w:rsidRPr="00BF3E35" w:rsidRDefault="00CA791D" w:rsidP="00CA791D">
            <w:pPr>
              <w:spacing w:after="0" w:line="240" w:lineRule="auto"/>
              <w:rPr>
                <w:rFonts w:ascii="Times New Roman" w:eastAsia="Times New Roman" w:hAnsi="Times New Roman" w:cs="Times New Roman"/>
                <w:b/>
                <w:bCs/>
                <w:color w:val="000000"/>
                <w:sz w:val="20"/>
                <w:szCs w:val="20"/>
                <w:lang w:val="en-SG" w:eastAsia="en-SG"/>
              </w:rPr>
            </w:pPr>
            <w:r w:rsidRPr="00BF3E35">
              <w:rPr>
                <w:rFonts w:ascii="Times New Roman" w:eastAsia="Times New Roman" w:hAnsi="Times New Roman" w:cs="Times New Roman"/>
                <w:b/>
                <w:bCs/>
                <w:color w:val="000000"/>
                <w:sz w:val="20"/>
                <w:szCs w:val="20"/>
                <w:lang w:val="en-SG" w:eastAsia="en-SG"/>
              </w:rPr>
              <w:t>Int</w:t>
            </w:r>
          </w:p>
        </w:tc>
        <w:tc>
          <w:tcPr>
            <w:tcW w:w="1227" w:type="dxa"/>
            <w:shd w:val="clear" w:color="auto" w:fill="auto"/>
            <w:noWrap/>
            <w:vAlign w:val="bottom"/>
            <w:hideMark/>
          </w:tcPr>
          <w:p w14:paraId="78392DAA" w14:textId="77777777" w:rsidR="00CA791D" w:rsidRPr="00BF3E35" w:rsidRDefault="00CA791D" w:rsidP="00CA791D">
            <w:pPr>
              <w:spacing w:after="0" w:line="240" w:lineRule="auto"/>
              <w:rPr>
                <w:rFonts w:ascii="Times New Roman" w:eastAsia="Times New Roman" w:hAnsi="Times New Roman" w:cs="Times New Roman"/>
                <w:b/>
                <w:bCs/>
                <w:color w:val="000000"/>
                <w:sz w:val="20"/>
                <w:szCs w:val="20"/>
                <w:lang w:val="en-SG" w:eastAsia="en-SG"/>
              </w:rPr>
            </w:pPr>
            <w:r w:rsidRPr="00BF3E35">
              <w:rPr>
                <w:rFonts w:ascii="Times New Roman" w:eastAsia="Times New Roman" w:hAnsi="Times New Roman" w:cs="Times New Roman"/>
                <w:b/>
                <w:bCs/>
                <w:color w:val="000000"/>
                <w:sz w:val="20"/>
                <w:szCs w:val="20"/>
                <w:lang w:val="en-SG" w:eastAsia="en-SG"/>
              </w:rPr>
              <w:t>fcover_area</w:t>
            </w:r>
          </w:p>
        </w:tc>
        <w:tc>
          <w:tcPr>
            <w:tcW w:w="1228" w:type="dxa"/>
            <w:shd w:val="clear" w:color="auto" w:fill="auto"/>
            <w:noWrap/>
            <w:vAlign w:val="bottom"/>
            <w:hideMark/>
          </w:tcPr>
          <w:p w14:paraId="4499D85B" w14:textId="77777777" w:rsidR="00CA791D" w:rsidRPr="00BF3E35" w:rsidRDefault="00CA791D" w:rsidP="00CA791D">
            <w:pPr>
              <w:spacing w:after="0" w:line="240" w:lineRule="auto"/>
              <w:rPr>
                <w:rFonts w:ascii="Times New Roman" w:eastAsia="Times New Roman" w:hAnsi="Times New Roman" w:cs="Times New Roman"/>
                <w:b/>
                <w:bCs/>
                <w:color w:val="000000"/>
                <w:sz w:val="20"/>
                <w:szCs w:val="20"/>
                <w:lang w:val="en-SG" w:eastAsia="en-SG"/>
              </w:rPr>
            </w:pPr>
            <w:r w:rsidRPr="00BF3E35">
              <w:rPr>
                <w:rFonts w:ascii="Times New Roman" w:eastAsia="Times New Roman" w:hAnsi="Times New Roman" w:cs="Times New Roman"/>
                <w:b/>
                <w:bCs/>
                <w:color w:val="000000"/>
                <w:sz w:val="20"/>
                <w:szCs w:val="20"/>
                <w:lang w:val="en-SG" w:eastAsia="en-SG"/>
              </w:rPr>
              <w:t>disturbance</w:t>
            </w:r>
          </w:p>
        </w:tc>
        <w:tc>
          <w:tcPr>
            <w:tcW w:w="1230" w:type="dxa"/>
            <w:shd w:val="clear" w:color="auto" w:fill="auto"/>
            <w:noWrap/>
            <w:vAlign w:val="bottom"/>
            <w:hideMark/>
          </w:tcPr>
          <w:p w14:paraId="5D0DEFCD" w14:textId="77777777" w:rsidR="00CA791D" w:rsidRPr="00BF3E35" w:rsidRDefault="00CA791D" w:rsidP="00CA791D">
            <w:pPr>
              <w:spacing w:after="0" w:line="240" w:lineRule="auto"/>
              <w:rPr>
                <w:rFonts w:ascii="Times New Roman" w:eastAsia="Times New Roman" w:hAnsi="Times New Roman" w:cs="Times New Roman"/>
                <w:b/>
                <w:bCs/>
                <w:color w:val="000000"/>
                <w:sz w:val="20"/>
                <w:szCs w:val="20"/>
                <w:lang w:val="en-SG" w:eastAsia="en-SG"/>
              </w:rPr>
            </w:pPr>
            <w:r w:rsidRPr="00BF3E35">
              <w:rPr>
                <w:rFonts w:ascii="Times New Roman" w:eastAsia="Times New Roman" w:hAnsi="Times New Roman" w:cs="Times New Roman"/>
                <w:b/>
                <w:bCs/>
                <w:color w:val="000000"/>
                <w:sz w:val="20"/>
                <w:szCs w:val="20"/>
                <w:lang w:val="en-SG" w:eastAsia="en-SG"/>
              </w:rPr>
              <w:t>elevation</w:t>
            </w:r>
          </w:p>
        </w:tc>
        <w:tc>
          <w:tcPr>
            <w:tcW w:w="1189" w:type="dxa"/>
            <w:shd w:val="clear" w:color="auto" w:fill="auto"/>
            <w:noWrap/>
            <w:vAlign w:val="bottom"/>
            <w:hideMark/>
          </w:tcPr>
          <w:p w14:paraId="7AB57604" w14:textId="77777777" w:rsidR="00CA791D" w:rsidRPr="00BF3E35" w:rsidRDefault="00CA791D" w:rsidP="00CA791D">
            <w:pPr>
              <w:spacing w:after="0" w:line="240" w:lineRule="auto"/>
              <w:rPr>
                <w:rFonts w:ascii="Times New Roman" w:eastAsia="Times New Roman" w:hAnsi="Times New Roman" w:cs="Times New Roman"/>
                <w:b/>
                <w:bCs/>
                <w:color w:val="000000"/>
                <w:sz w:val="20"/>
                <w:szCs w:val="20"/>
                <w:lang w:val="en-SG" w:eastAsia="en-SG"/>
              </w:rPr>
            </w:pPr>
            <w:r w:rsidRPr="00BF3E35">
              <w:rPr>
                <w:rFonts w:ascii="Times New Roman" w:eastAsia="Times New Roman" w:hAnsi="Times New Roman" w:cs="Times New Roman"/>
                <w:b/>
                <w:bCs/>
                <w:color w:val="000000"/>
                <w:sz w:val="20"/>
                <w:szCs w:val="20"/>
                <w:lang w:val="en-SG" w:eastAsia="en-SG"/>
              </w:rPr>
              <w:t>slope</w:t>
            </w:r>
          </w:p>
        </w:tc>
        <w:tc>
          <w:tcPr>
            <w:tcW w:w="1540" w:type="dxa"/>
            <w:shd w:val="clear" w:color="auto" w:fill="auto"/>
            <w:noWrap/>
            <w:vAlign w:val="bottom"/>
            <w:hideMark/>
          </w:tcPr>
          <w:p w14:paraId="1E7D82E6" w14:textId="77777777" w:rsidR="00CA791D" w:rsidRPr="00BF3E35" w:rsidRDefault="00CA791D" w:rsidP="00CA791D">
            <w:pPr>
              <w:spacing w:after="0" w:line="240" w:lineRule="auto"/>
              <w:rPr>
                <w:rFonts w:ascii="Times New Roman" w:eastAsia="Times New Roman" w:hAnsi="Times New Roman" w:cs="Times New Roman"/>
                <w:b/>
                <w:bCs/>
                <w:color w:val="000000"/>
                <w:sz w:val="20"/>
                <w:szCs w:val="20"/>
                <w:lang w:val="en-SG" w:eastAsia="en-SG"/>
              </w:rPr>
            </w:pPr>
            <w:r w:rsidRPr="00BF3E35">
              <w:rPr>
                <w:rFonts w:ascii="Times New Roman" w:eastAsia="Times New Roman" w:hAnsi="Times New Roman" w:cs="Times New Roman"/>
                <w:b/>
                <w:bCs/>
                <w:color w:val="000000"/>
                <w:sz w:val="20"/>
                <w:szCs w:val="20"/>
                <w:lang w:val="en-SG" w:eastAsia="en-SG"/>
              </w:rPr>
              <w:t>fcover_patches</w:t>
            </w:r>
          </w:p>
        </w:tc>
        <w:tc>
          <w:tcPr>
            <w:tcW w:w="1050" w:type="dxa"/>
            <w:shd w:val="clear" w:color="auto" w:fill="auto"/>
            <w:noWrap/>
            <w:vAlign w:val="bottom"/>
            <w:hideMark/>
          </w:tcPr>
          <w:p w14:paraId="50136661" w14:textId="77777777" w:rsidR="00CA791D" w:rsidRPr="00BF3E35" w:rsidRDefault="00CA791D" w:rsidP="00CA791D">
            <w:pPr>
              <w:spacing w:after="0" w:line="240" w:lineRule="auto"/>
              <w:rPr>
                <w:rFonts w:ascii="Times New Roman" w:eastAsia="Times New Roman" w:hAnsi="Times New Roman" w:cs="Times New Roman"/>
                <w:b/>
                <w:bCs/>
                <w:color w:val="000000"/>
                <w:sz w:val="20"/>
                <w:szCs w:val="20"/>
                <w:lang w:val="en-SG" w:eastAsia="en-SG"/>
              </w:rPr>
            </w:pPr>
            <w:r w:rsidRPr="00BF3E35">
              <w:rPr>
                <w:rFonts w:ascii="Times New Roman" w:eastAsia="Times New Roman" w:hAnsi="Times New Roman" w:cs="Times New Roman"/>
                <w:b/>
                <w:bCs/>
                <w:color w:val="000000"/>
                <w:sz w:val="20"/>
                <w:szCs w:val="20"/>
                <w:lang w:val="en-SG" w:eastAsia="en-SG"/>
              </w:rPr>
              <w:t>prey</w:t>
            </w:r>
          </w:p>
        </w:tc>
      </w:tr>
      <w:tr w:rsidR="00CA791D" w:rsidRPr="00BF3E35" w14:paraId="511C4555" w14:textId="77777777" w:rsidTr="00CA791D">
        <w:trPr>
          <w:trHeight w:val="300"/>
        </w:trPr>
        <w:tc>
          <w:tcPr>
            <w:tcW w:w="9765" w:type="dxa"/>
            <w:gridSpan w:val="8"/>
            <w:shd w:val="clear" w:color="auto" w:fill="auto"/>
            <w:noWrap/>
            <w:vAlign w:val="bottom"/>
          </w:tcPr>
          <w:p w14:paraId="26882C67" w14:textId="1E3A2BD9"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b/>
                <w:bCs/>
                <w:color w:val="000000"/>
                <w:sz w:val="20"/>
                <w:szCs w:val="20"/>
                <w:lang w:val="en-SG" w:eastAsia="en-SG"/>
              </w:rPr>
              <w:t>SWTS 2009 data</w:t>
            </w:r>
          </w:p>
        </w:tc>
      </w:tr>
      <w:tr w:rsidR="00CA791D" w:rsidRPr="00BF3E35" w14:paraId="3EB35D3E" w14:textId="77777777" w:rsidTr="00CA791D">
        <w:trPr>
          <w:trHeight w:val="300"/>
        </w:trPr>
        <w:tc>
          <w:tcPr>
            <w:tcW w:w="1134" w:type="dxa"/>
            <w:shd w:val="clear" w:color="auto" w:fill="auto"/>
            <w:noWrap/>
            <w:vAlign w:val="bottom"/>
            <w:hideMark/>
          </w:tcPr>
          <w:p w14:paraId="50913A30" w14:textId="7777777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Elephant</w:t>
            </w:r>
          </w:p>
        </w:tc>
        <w:tc>
          <w:tcPr>
            <w:tcW w:w="1167" w:type="dxa"/>
            <w:shd w:val="clear" w:color="auto" w:fill="auto"/>
            <w:noWrap/>
            <w:vAlign w:val="bottom"/>
            <w:hideMark/>
          </w:tcPr>
          <w:p w14:paraId="2A1F26DF" w14:textId="7777777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-1.06(0.3)</w:t>
            </w:r>
          </w:p>
        </w:tc>
        <w:tc>
          <w:tcPr>
            <w:tcW w:w="1227" w:type="dxa"/>
            <w:shd w:val="clear" w:color="auto" w:fill="auto"/>
            <w:noWrap/>
            <w:vAlign w:val="bottom"/>
            <w:hideMark/>
          </w:tcPr>
          <w:p w14:paraId="082311CE" w14:textId="7777777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1.01(0.32)</w:t>
            </w:r>
          </w:p>
        </w:tc>
        <w:tc>
          <w:tcPr>
            <w:tcW w:w="1228" w:type="dxa"/>
            <w:shd w:val="clear" w:color="auto" w:fill="auto"/>
            <w:noWrap/>
            <w:vAlign w:val="bottom"/>
            <w:hideMark/>
          </w:tcPr>
          <w:p w14:paraId="446EC8AE" w14:textId="7777777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0.52(0.24)</w:t>
            </w:r>
          </w:p>
        </w:tc>
        <w:tc>
          <w:tcPr>
            <w:tcW w:w="1230" w:type="dxa"/>
            <w:shd w:val="clear" w:color="auto" w:fill="auto"/>
            <w:noWrap/>
            <w:vAlign w:val="bottom"/>
            <w:hideMark/>
          </w:tcPr>
          <w:p w14:paraId="69158191" w14:textId="33EF4C3F"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c>
          <w:tcPr>
            <w:tcW w:w="1189" w:type="dxa"/>
            <w:shd w:val="clear" w:color="auto" w:fill="auto"/>
            <w:noWrap/>
            <w:vAlign w:val="bottom"/>
            <w:hideMark/>
          </w:tcPr>
          <w:p w14:paraId="79188704" w14:textId="6431424A"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c>
          <w:tcPr>
            <w:tcW w:w="1540" w:type="dxa"/>
            <w:shd w:val="clear" w:color="auto" w:fill="auto"/>
            <w:noWrap/>
            <w:vAlign w:val="bottom"/>
            <w:hideMark/>
          </w:tcPr>
          <w:p w14:paraId="3D00A182" w14:textId="4777062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c>
          <w:tcPr>
            <w:tcW w:w="1050" w:type="dxa"/>
            <w:shd w:val="clear" w:color="auto" w:fill="auto"/>
            <w:noWrap/>
            <w:vAlign w:val="bottom"/>
            <w:hideMark/>
          </w:tcPr>
          <w:p w14:paraId="5C40D835" w14:textId="2F75A3C2"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r>
      <w:tr w:rsidR="00CA791D" w:rsidRPr="00BF3E35" w14:paraId="3791F836" w14:textId="77777777" w:rsidTr="00CA791D">
        <w:trPr>
          <w:trHeight w:val="300"/>
        </w:trPr>
        <w:tc>
          <w:tcPr>
            <w:tcW w:w="1134" w:type="dxa"/>
            <w:shd w:val="clear" w:color="auto" w:fill="auto"/>
            <w:noWrap/>
            <w:vAlign w:val="bottom"/>
            <w:hideMark/>
          </w:tcPr>
          <w:p w14:paraId="020CF443" w14:textId="7777777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Tiger</w:t>
            </w:r>
          </w:p>
        </w:tc>
        <w:tc>
          <w:tcPr>
            <w:tcW w:w="1167" w:type="dxa"/>
            <w:shd w:val="clear" w:color="auto" w:fill="auto"/>
            <w:noWrap/>
            <w:vAlign w:val="bottom"/>
            <w:hideMark/>
          </w:tcPr>
          <w:p w14:paraId="07E9A1D7" w14:textId="7777777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2.25(1.06)</w:t>
            </w:r>
          </w:p>
        </w:tc>
        <w:tc>
          <w:tcPr>
            <w:tcW w:w="1227" w:type="dxa"/>
            <w:shd w:val="clear" w:color="auto" w:fill="auto"/>
            <w:noWrap/>
            <w:vAlign w:val="bottom"/>
            <w:hideMark/>
          </w:tcPr>
          <w:p w14:paraId="28F27013" w14:textId="7777777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1.63(0.63)</w:t>
            </w:r>
          </w:p>
        </w:tc>
        <w:tc>
          <w:tcPr>
            <w:tcW w:w="1228" w:type="dxa"/>
            <w:shd w:val="clear" w:color="auto" w:fill="auto"/>
            <w:noWrap/>
            <w:vAlign w:val="bottom"/>
            <w:hideMark/>
          </w:tcPr>
          <w:p w14:paraId="77C260DD" w14:textId="7777777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3.85(1.66)</w:t>
            </w:r>
          </w:p>
        </w:tc>
        <w:tc>
          <w:tcPr>
            <w:tcW w:w="1230" w:type="dxa"/>
            <w:shd w:val="clear" w:color="auto" w:fill="auto"/>
            <w:noWrap/>
            <w:vAlign w:val="bottom"/>
            <w:hideMark/>
          </w:tcPr>
          <w:p w14:paraId="770B07ED" w14:textId="6B40B568"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c>
          <w:tcPr>
            <w:tcW w:w="1189" w:type="dxa"/>
            <w:shd w:val="clear" w:color="auto" w:fill="auto"/>
            <w:noWrap/>
            <w:vAlign w:val="bottom"/>
            <w:hideMark/>
          </w:tcPr>
          <w:p w14:paraId="7D3C02DC" w14:textId="3789A5A9"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c>
          <w:tcPr>
            <w:tcW w:w="1540" w:type="dxa"/>
            <w:shd w:val="clear" w:color="auto" w:fill="auto"/>
            <w:noWrap/>
            <w:vAlign w:val="bottom"/>
            <w:hideMark/>
          </w:tcPr>
          <w:p w14:paraId="0246A431" w14:textId="7435BB9E"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c>
          <w:tcPr>
            <w:tcW w:w="1050" w:type="dxa"/>
            <w:shd w:val="clear" w:color="auto" w:fill="auto"/>
            <w:noWrap/>
            <w:vAlign w:val="bottom"/>
            <w:hideMark/>
          </w:tcPr>
          <w:p w14:paraId="6B159F6D" w14:textId="5589471B"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r>
      <w:tr w:rsidR="00CA791D" w:rsidRPr="00BF3E35" w14:paraId="3337ECAD" w14:textId="77777777" w:rsidTr="00CA791D">
        <w:trPr>
          <w:trHeight w:val="300"/>
        </w:trPr>
        <w:tc>
          <w:tcPr>
            <w:tcW w:w="1134" w:type="dxa"/>
            <w:shd w:val="clear" w:color="auto" w:fill="auto"/>
            <w:noWrap/>
            <w:vAlign w:val="bottom"/>
            <w:hideMark/>
          </w:tcPr>
          <w:p w14:paraId="75EBF17A" w14:textId="7777777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Wild boar</w:t>
            </w:r>
          </w:p>
        </w:tc>
        <w:tc>
          <w:tcPr>
            <w:tcW w:w="1167" w:type="dxa"/>
            <w:shd w:val="clear" w:color="auto" w:fill="auto"/>
            <w:noWrap/>
            <w:vAlign w:val="bottom"/>
            <w:hideMark/>
          </w:tcPr>
          <w:p w14:paraId="2E69FDE0" w14:textId="7777777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2.08(0.75)</w:t>
            </w:r>
          </w:p>
        </w:tc>
        <w:tc>
          <w:tcPr>
            <w:tcW w:w="1227" w:type="dxa"/>
            <w:shd w:val="clear" w:color="auto" w:fill="auto"/>
            <w:noWrap/>
            <w:vAlign w:val="bottom"/>
            <w:hideMark/>
          </w:tcPr>
          <w:p w14:paraId="333D51D1" w14:textId="6DEABCEE"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c>
          <w:tcPr>
            <w:tcW w:w="1228" w:type="dxa"/>
            <w:shd w:val="clear" w:color="auto" w:fill="auto"/>
            <w:noWrap/>
            <w:vAlign w:val="bottom"/>
            <w:hideMark/>
          </w:tcPr>
          <w:p w14:paraId="527897CA" w14:textId="7777777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2.01(1.5)</w:t>
            </w:r>
          </w:p>
        </w:tc>
        <w:tc>
          <w:tcPr>
            <w:tcW w:w="1230" w:type="dxa"/>
            <w:shd w:val="clear" w:color="auto" w:fill="auto"/>
            <w:noWrap/>
            <w:vAlign w:val="bottom"/>
            <w:hideMark/>
          </w:tcPr>
          <w:p w14:paraId="77640A8E" w14:textId="7777777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-1.16(0.32)</w:t>
            </w:r>
          </w:p>
        </w:tc>
        <w:tc>
          <w:tcPr>
            <w:tcW w:w="1189" w:type="dxa"/>
            <w:shd w:val="clear" w:color="auto" w:fill="auto"/>
            <w:noWrap/>
            <w:vAlign w:val="bottom"/>
            <w:hideMark/>
          </w:tcPr>
          <w:p w14:paraId="53F5D22F" w14:textId="120196C1"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c>
          <w:tcPr>
            <w:tcW w:w="1540" w:type="dxa"/>
            <w:shd w:val="clear" w:color="auto" w:fill="auto"/>
            <w:noWrap/>
            <w:vAlign w:val="bottom"/>
            <w:hideMark/>
          </w:tcPr>
          <w:p w14:paraId="188D44CC" w14:textId="60269809"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c>
          <w:tcPr>
            <w:tcW w:w="1050" w:type="dxa"/>
            <w:shd w:val="clear" w:color="auto" w:fill="auto"/>
            <w:noWrap/>
            <w:vAlign w:val="bottom"/>
            <w:hideMark/>
          </w:tcPr>
          <w:p w14:paraId="7E94F2EA" w14:textId="6FD23D05"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r>
      <w:tr w:rsidR="00CA791D" w:rsidRPr="00BF3E35" w14:paraId="7180EBB3" w14:textId="77777777" w:rsidTr="00CA791D">
        <w:trPr>
          <w:trHeight w:val="300"/>
        </w:trPr>
        <w:tc>
          <w:tcPr>
            <w:tcW w:w="1134" w:type="dxa"/>
            <w:shd w:val="clear" w:color="auto" w:fill="auto"/>
            <w:noWrap/>
            <w:vAlign w:val="bottom"/>
            <w:hideMark/>
          </w:tcPr>
          <w:p w14:paraId="037F7175" w14:textId="7777777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Sambar</w:t>
            </w:r>
          </w:p>
        </w:tc>
        <w:tc>
          <w:tcPr>
            <w:tcW w:w="1167" w:type="dxa"/>
            <w:shd w:val="clear" w:color="auto" w:fill="auto"/>
            <w:noWrap/>
            <w:vAlign w:val="bottom"/>
            <w:hideMark/>
          </w:tcPr>
          <w:p w14:paraId="167AF636" w14:textId="7777777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7.02(3.92)</w:t>
            </w:r>
          </w:p>
        </w:tc>
        <w:tc>
          <w:tcPr>
            <w:tcW w:w="1227" w:type="dxa"/>
            <w:shd w:val="clear" w:color="auto" w:fill="auto"/>
            <w:noWrap/>
            <w:vAlign w:val="bottom"/>
            <w:hideMark/>
          </w:tcPr>
          <w:p w14:paraId="06443A68" w14:textId="008A4C6D"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c>
          <w:tcPr>
            <w:tcW w:w="1228" w:type="dxa"/>
            <w:shd w:val="clear" w:color="auto" w:fill="auto"/>
            <w:noWrap/>
            <w:vAlign w:val="bottom"/>
            <w:hideMark/>
          </w:tcPr>
          <w:p w14:paraId="02815185" w14:textId="7DE0245E"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c>
          <w:tcPr>
            <w:tcW w:w="1230" w:type="dxa"/>
            <w:shd w:val="clear" w:color="auto" w:fill="auto"/>
            <w:noWrap/>
            <w:vAlign w:val="bottom"/>
            <w:hideMark/>
          </w:tcPr>
          <w:p w14:paraId="36211576" w14:textId="226CCB8C"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c>
          <w:tcPr>
            <w:tcW w:w="1189" w:type="dxa"/>
            <w:shd w:val="clear" w:color="auto" w:fill="auto"/>
            <w:noWrap/>
            <w:vAlign w:val="bottom"/>
            <w:hideMark/>
          </w:tcPr>
          <w:p w14:paraId="2E4127E9" w14:textId="7777777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-2.05(0.93)</w:t>
            </w:r>
          </w:p>
        </w:tc>
        <w:tc>
          <w:tcPr>
            <w:tcW w:w="1540" w:type="dxa"/>
            <w:shd w:val="clear" w:color="auto" w:fill="auto"/>
            <w:noWrap/>
            <w:vAlign w:val="bottom"/>
            <w:hideMark/>
          </w:tcPr>
          <w:p w14:paraId="14A4F089" w14:textId="7777777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8.28(9.39)</w:t>
            </w:r>
          </w:p>
        </w:tc>
        <w:tc>
          <w:tcPr>
            <w:tcW w:w="1050" w:type="dxa"/>
            <w:shd w:val="clear" w:color="auto" w:fill="auto"/>
            <w:noWrap/>
            <w:vAlign w:val="bottom"/>
            <w:hideMark/>
          </w:tcPr>
          <w:p w14:paraId="16AC77E9" w14:textId="4911B8C3"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r>
      <w:tr w:rsidR="00CA791D" w:rsidRPr="00BF3E35" w14:paraId="3933787D" w14:textId="77777777" w:rsidTr="00CA791D">
        <w:trPr>
          <w:trHeight w:val="300"/>
        </w:trPr>
        <w:tc>
          <w:tcPr>
            <w:tcW w:w="9765" w:type="dxa"/>
            <w:gridSpan w:val="8"/>
            <w:shd w:val="clear" w:color="auto" w:fill="auto"/>
            <w:noWrap/>
            <w:vAlign w:val="bottom"/>
          </w:tcPr>
          <w:p w14:paraId="37866091" w14:textId="5E99EE53"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b/>
                <w:bCs/>
                <w:color w:val="000000"/>
                <w:sz w:val="20"/>
                <w:szCs w:val="20"/>
                <w:lang w:val="en-SG" w:eastAsia="en-SG"/>
              </w:rPr>
              <w:t>SWTS 2019 data</w:t>
            </w:r>
          </w:p>
        </w:tc>
      </w:tr>
      <w:tr w:rsidR="00CA791D" w:rsidRPr="00BF3E35" w14:paraId="4ED774C5" w14:textId="77777777" w:rsidTr="00CA791D">
        <w:trPr>
          <w:trHeight w:val="300"/>
        </w:trPr>
        <w:tc>
          <w:tcPr>
            <w:tcW w:w="1134" w:type="dxa"/>
            <w:shd w:val="clear" w:color="auto" w:fill="auto"/>
            <w:noWrap/>
            <w:vAlign w:val="bottom"/>
            <w:hideMark/>
          </w:tcPr>
          <w:p w14:paraId="2153AEF9" w14:textId="7777777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Elephant</w:t>
            </w:r>
          </w:p>
        </w:tc>
        <w:tc>
          <w:tcPr>
            <w:tcW w:w="1167" w:type="dxa"/>
            <w:shd w:val="clear" w:color="auto" w:fill="auto"/>
            <w:noWrap/>
            <w:vAlign w:val="bottom"/>
            <w:hideMark/>
          </w:tcPr>
          <w:p w14:paraId="2DA6AF9C" w14:textId="7777777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-1.5(0.5)</w:t>
            </w:r>
          </w:p>
        </w:tc>
        <w:tc>
          <w:tcPr>
            <w:tcW w:w="1227" w:type="dxa"/>
            <w:shd w:val="clear" w:color="auto" w:fill="auto"/>
            <w:noWrap/>
            <w:vAlign w:val="bottom"/>
            <w:hideMark/>
          </w:tcPr>
          <w:p w14:paraId="6EABB7DB" w14:textId="7777777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0.8(0.5)</w:t>
            </w:r>
          </w:p>
        </w:tc>
        <w:tc>
          <w:tcPr>
            <w:tcW w:w="1228" w:type="dxa"/>
            <w:shd w:val="clear" w:color="auto" w:fill="auto"/>
            <w:noWrap/>
            <w:vAlign w:val="bottom"/>
            <w:hideMark/>
          </w:tcPr>
          <w:p w14:paraId="4CB931A3" w14:textId="7777777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0.87(0.61)</w:t>
            </w:r>
          </w:p>
        </w:tc>
        <w:tc>
          <w:tcPr>
            <w:tcW w:w="1230" w:type="dxa"/>
            <w:shd w:val="clear" w:color="auto" w:fill="auto"/>
            <w:noWrap/>
            <w:vAlign w:val="bottom"/>
            <w:hideMark/>
          </w:tcPr>
          <w:p w14:paraId="77B21566" w14:textId="53295F82"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c>
          <w:tcPr>
            <w:tcW w:w="1189" w:type="dxa"/>
            <w:shd w:val="clear" w:color="auto" w:fill="auto"/>
            <w:noWrap/>
            <w:vAlign w:val="bottom"/>
            <w:hideMark/>
          </w:tcPr>
          <w:p w14:paraId="05EBEC6F" w14:textId="7D077372"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c>
          <w:tcPr>
            <w:tcW w:w="1540" w:type="dxa"/>
            <w:shd w:val="clear" w:color="auto" w:fill="auto"/>
            <w:noWrap/>
            <w:vAlign w:val="bottom"/>
            <w:hideMark/>
          </w:tcPr>
          <w:p w14:paraId="46DA13E6" w14:textId="609211F1"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c>
          <w:tcPr>
            <w:tcW w:w="1050" w:type="dxa"/>
            <w:shd w:val="clear" w:color="auto" w:fill="auto"/>
            <w:noWrap/>
            <w:vAlign w:val="bottom"/>
            <w:hideMark/>
          </w:tcPr>
          <w:p w14:paraId="373A3386" w14:textId="1B1367C0"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r>
      <w:tr w:rsidR="00CA791D" w:rsidRPr="00BF3E35" w14:paraId="09892333" w14:textId="77777777" w:rsidTr="00CA791D">
        <w:trPr>
          <w:trHeight w:val="300"/>
        </w:trPr>
        <w:tc>
          <w:tcPr>
            <w:tcW w:w="1134" w:type="dxa"/>
            <w:shd w:val="clear" w:color="auto" w:fill="auto"/>
            <w:noWrap/>
            <w:vAlign w:val="bottom"/>
            <w:hideMark/>
          </w:tcPr>
          <w:p w14:paraId="3AA78248" w14:textId="7777777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Tiger</w:t>
            </w:r>
          </w:p>
        </w:tc>
        <w:tc>
          <w:tcPr>
            <w:tcW w:w="1167" w:type="dxa"/>
            <w:shd w:val="clear" w:color="auto" w:fill="auto"/>
            <w:noWrap/>
            <w:vAlign w:val="bottom"/>
            <w:hideMark/>
          </w:tcPr>
          <w:p w14:paraId="2BD64D2C" w14:textId="7777777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2.71(2.05)</w:t>
            </w:r>
          </w:p>
        </w:tc>
        <w:tc>
          <w:tcPr>
            <w:tcW w:w="1227" w:type="dxa"/>
            <w:shd w:val="clear" w:color="auto" w:fill="auto"/>
            <w:noWrap/>
            <w:vAlign w:val="bottom"/>
            <w:hideMark/>
          </w:tcPr>
          <w:p w14:paraId="575B5997" w14:textId="7777777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1.74(0.86)</w:t>
            </w:r>
          </w:p>
        </w:tc>
        <w:tc>
          <w:tcPr>
            <w:tcW w:w="1228" w:type="dxa"/>
            <w:shd w:val="clear" w:color="auto" w:fill="auto"/>
            <w:noWrap/>
            <w:vAlign w:val="bottom"/>
            <w:hideMark/>
          </w:tcPr>
          <w:p w14:paraId="6688D011" w14:textId="106EAAB8"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c>
          <w:tcPr>
            <w:tcW w:w="1230" w:type="dxa"/>
            <w:shd w:val="clear" w:color="auto" w:fill="auto"/>
            <w:noWrap/>
            <w:vAlign w:val="bottom"/>
            <w:hideMark/>
          </w:tcPr>
          <w:p w14:paraId="29A310B1" w14:textId="6381239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c>
          <w:tcPr>
            <w:tcW w:w="1189" w:type="dxa"/>
            <w:shd w:val="clear" w:color="auto" w:fill="auto"/>
            <w:noWrap/>
            <w:vAlign w:val="bottom"/>
            <w:hideMark/>
          </w:tcPr>
          <w:p w14:paraId="6FC41B15" w14:textId="4FEF3076"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c>
          <w:tcPr>
            <w:tcW w:w="1540" w:type="dxa"/>
            <w:shd w:val="clear" w:color="auto" w:fill="auto"/>
            <w:noWrap/>
            <w:vAlign w:val="bottom"/>
            <w:hideMark/>
          </w:tcPr>
          <w:p w14:paraId="514FEB17" w14:textId="29A2E749"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c>
          <w:tcPr>
            <w:tcW w:w="1050" w:type="dxa"/>
            <w:shd w:val="clear" w:color="auto" w:fill="auto"/>
            <w:noWrap/>
            <w:vAlign w:val="bottom"/>
            <w:hideMark/>
          </w:tcPr>
          <w:p w14:paraId="01FAB1F1" w14:textId="7777777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7.05(4.77)</w:t>
            </w:r>
          </w:p>
        </w:tc>
      </w:tr>
      <w:tr w:rsidR="00CA791D" w:rsidRPr="00BF3E35" w14:paraId="524AF55A" w14:textId="77777777" w:rsidTr="00CA791D">
        <w:trPr>
          <w:trHeight w:val="300"/>
        </w:trPr>
        <w:tc>
          <w:tcPr>
            <w:tcW w:w="1134" w:type="dxa"/>
            <w:shd w:val="clear" w:color="auto" w:fill="auto"/>
            <w:noWrap/>
            <w:vAlign w:val="bottom"/>
            <w:hideMark/>
          </w:tcPr>
          <w:p w14:paraId="6D181B4B" w14:textId="7777777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Wild boar</w:t>
            </w:r>
          </w:p>
        </w:tc>
        <w:tc>
          <w:tcPr>
            <w:tcW w:w="1167" w:type="dxa"/>
            <w:shd w:val="clear" w:color="auto" w:fill="auto"/>
            <w:noWrap/>
            <w:vAlign w:val="bottom"/>
            <w:hideMark/>
          </w:tcPr>
          <w:p w14:paraId="20190417" w14:textId="7777777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-0.62(0.48)</w:t>
            </w:r>
          </w:p>
        </w:tc>
        <w:tc>
          <w:tcPr>
            <w:tcW w:w="1227" w:type="dxa"/>
            <w:shd w:val="clear" w:color="auto" w:fill="auto"/>
            <w:noWrap/>
            <w:vAlign w:val="bottom"/>
            <w:hideMark/>
          </w:tcPr>
          <w:p w14:paraId="7ABEAAFD" w14:textId="470B34AA"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c>
          <w:tcPr>
            <w:tcW w:w="1228" w:type="dxa"/>
            <w:shd w:val="clear" w:color="auto" w:fill="auto"/>
            <w:noWrap/>
            <w:vAlign w:val="bottom"/>
            <w:hideMark/>
          </w:tcPr>
          <w:p w14:paraId="7FB2946E" w14:textId="03DC1FE0"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c>
          <w:tcPr>
            <w:tcW w:w="1230" w:type="dxa"/>
            <w:shd w:val="clear" w:color="auto" w:fill="auto"/>
            <w:noWrap/>
            <w:vAlign w:val="bottom"/>
            <w:hideMark/>
          </w:tcPr>
          <w:p w14:paraId="00F54F27" w14:textId="0538C2F5"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c>
          <w:tcPr>
            <w:tcW w:w="1189" w:type="dxa"/>
            <w:shd w:val="clear" w:color="auto" w:fill="auto"/>
            <w:noWrap/>
            <w:vAlign w:val="bottom"/>
            <w:hideMark/>
          </w:tcPr>
          <w:p w14:paraId="5DEA4323" w14:textId="7777777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-0.61(0.25)</w:t>
            </w:r>
          </w:p>
        </w:tc>
        <w:tc>
          <w:tcPr>
            <w:tcW w:w="1540" w:type="dxa"/>
            <w:shd w:val="clear" w:color="auto" w:fill="auto"/>
            <w:noWrap/>
            <w:vAlign w:val="bottom"/>
            <w:hideMark/>
          </w:tcPr>
          <w:p w14:paraId="7F1E89DA" w14:textId="7777777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0.43(0.55)</w:t>
            </w:r>
          </w:p>
        </w:tc>
        <w:tc>
          <w:tcPr>
            <w:tcW w:w="1050" w:type="dxa"/>
            <w:shd w:val="clear" w:color="auto" w:fill="auto"/>
            <w:noWrap/>
            <w:vAlign w:val="bottom"/>
            <w:hideMark/>
          </w:tcPr>
          <w:p w14:paraId="519B6A54" w14:textId="100F1A91"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r>
      <w:tr w:rsidR="00CA791D" w:rsidRPr="00BF3E35" w14:paraId="4D16EA6E" w14:textId="77777777" w:rsidTr="00CA791D">
        <w:trPr>
          <w:trHeight w:val="300"/>
        </w:trPr>
        <w:tc>
          <w:tcPr>
            <w:tcW w:w="1134" w:type="dxa"/>
            <w:shd w:val="clear" w:color="auto" w:fill="auto"/>
            <w:noWrap/>
            <w:vAlign w:val="bottom"/>
            <w:hideMark/>
          </w:tcPr>
          <w:p w14:paraId="20B3598F" w14:textId="7777777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Sambar</w:t>
            </w:r>
          </w:p>
        </w:tc>
        <w:tc>
          <w:tcPr>
            <w:tcW w:w="1167" w:type="dxa"/>
            <w:shd w:val="clear" w:color="auto" w:fill="auto"/>
            <w:noWrap/>
            <w:vAlign w:val="bottom"/>
            <w:hideMark/>
          </w:tcPr>
          <w:p w14:paraId="07E8977E" w14:textId="7777777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3.64(3.38)</w:t>
            </w:r>
          </w:p>
        </w:tc>
        <w:tc>
          <w:tcPr>
            <w:tcW w:w="1227" w:type="dxa"/>
            <w:shd w:val="clear" w:color="auto" w:fill="auto"/>
            <w:noWrap/>
            <w:vAlign w:val="bottom"/>
            <w:hideMark/>
          </w:tcPr>
          <w:p w14:paraId="01086EC1" w14:textId="77777777"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5.18(3.8)</w:t>
            </w:r>
          </w:p>
        </w:tc>
        <w:tc>
          <w:tcPr>
            <w:tcW w:w="1228" w:type="dxa"/>
            <w:shd w:val="clear" w:color="auto" w:fill="auto"/>
            <w:noWrap/>
            <w:vAlign w:val="bottom"/>
            <w:hideMark/>
          </w:tcPr>
          <w:p w14:paraId="3B8D9B82" w14:textId="3BD08003"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c>
          <w:tcPr>
            <w:tcW w:w="1230" w:type="dxa"/>
            <w:shd w:val="clear" w:color="auto" w:fill="auto"/>
            <w:noWrap/>
            <w:vAlign w:val="bottom"/>
            <w:hideMark/>
          </w:tcPr>
          <w:p w14:paraId="4293A950" w14:textId="4C7EE3C6"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c>
          <w:tcPr>
            <w:tcW w:w="1189" w:type="dxa"/>
            <w:shd w:val="clear" w:color="auto" w:fill="auto"/>
            <w:noWrap/>
            <w:vAlign w:val="bottom"/>
            <w:hideMark/>
          </w:tcPr>
          <w:p w14:paraId="35D33443" w14:textId="6197F9FF"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c>
          <w:tcPr>
            <w:tcW w:w="1540" w:type="dxa"/>
            <w:shd w:val="clear" w:color="auto" w:fill="auto"/>
            <w:noWrap/>
            <w:vAlign w:val="bottom"/>
            <w:hideMark/>
          </w:tcPr>
          <w:p w14:paraId="0288ABC9" w14:textId="3057EFC3"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c>
          <w:tcPr>
            <w:tcW w:w="1050" w:type="dxa"/>
            <w:shd w:val="clear" w:color="auto" w:fill="auto"/>
            <w:noWrap/>
            <w:vAlign w:val="bottom"/>
            <w:hideMark/>
          </w:tcPr>
          <w:p w14:paraId="5032EF66" w14:textId="6862A3D9" w:rsidR="00CA791D" w:rsidRPr="00BF3E35" w:rsidRDefault="00CA791D" w:rsidP="00CA791D">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t>
            </w:r>
          </w:p>
        </w:tc>
      </w:tr>
    </w:tbl>
    <w:p w14:paraId="07814D2C" w14:textId="77777777" w:rsidR="00CA791D" w:rsidRDefault="00CA791D" w:rsidP="006F74C9"/>
    <w:p w14:paraId="0534198D" w14:textId="3B548DC8" w:rsidR="00CB6651" w:rsidRPr="00BF3E35" w:rsidRDefault="00CB6651" w:rsidP="00CB6651">
      <w:pPr>
        <w:pStyle w:val="Caption"/>
        <w:keepNext/>
        <w:rPr>
          <w:rFonts w:ascii="Times New Roman" w:hAnsi="Times New Roman" w:cs="Times New Roman"/>
          <w:i w:val="0"/>
          <w:iCs w:val="0"/>
          <w:color w:val="auto"/>
          <w:sz w:val="22"/>
          <w:szCs w:val="22"/>
        </w:rPr>
      </w:pPr>
      <w:r w:rsidRPr="00BF3E35">
        <w:rPr>
          <w:rFonts w:ascii="Times New Roman" w:hAnsi="Times New Roman" w:cs="Times New Roman"/>
          <w:i w:val="0"/>
          <w:iCs w:val="0"/>
          <w:color w:val="auto"/>
          <w:sz w:val="22"/>
          <w:szCs w:val="22"/>
        </w:rPr>
        <w:t>Table S</w:t>
      </w:r>
      <w:r w:rsidRPr="00BF3E35">
        <w:rPr>
          <w:rFonts w:ascii="Times New Roman" w:hAnsi="Times New Roman" w:cs="Times New Roman"/>
          <w:i w:val="0"/>
          <w:iCs w:val="0"/>
          <w:color w:val="auto"/>
          <w:sz w:val="22"/>
          <w:szCs w:val="22"/>
        </w:rPr>
        <w:fldChar w:fldCharType="begin"/>
      </w:r>
      <w:r w:rsidRPr="00BF3E35">
        <w:rPr>
          <w:rFonts w:ascii="Times New Roman" w:hAnsi="Times New Roman" w:cs="Times New Roman"/>
          <w:i w:val="0"/>
          <w:iCs w:val="0"/>
          <w:color w:val="auto"/>
          <w:sz w:val="22"/>
          <w:szCs w:val="22"/>
        </w:rPr>
        <w:instrText xml:space="preserve"> SEQ Table_S- \* ARABIC </w:instrText>
      </w:r>
      <w:r w:rsidRPr="00BF3E35">
        <w:rPr>
          <w:rFonts w:ascii="Times New Roman" w:hAnsi="Times New Roman" w:cs="Times New Roman"/>
          <w:i w:val="0"/>
          <w:iCs w:val="0"/>
          <w:color w:val="auto"/>
          <w:sz w:val="22"/>
          <w:szCs w:val="22"/>
        </w:rPr>
        <w:fldChar w:fldCharType="separate"/>
      </w:r>
      <w:r w:rsidR="00BF3E35" w:rsidRPr="00BF3E35">
        <w:rPr>
          <w:rFonts w:ascii="Times New Roman" w:hAnsi="Times New Roman" w:cs="Times New Roman"/>
          <w:i w:val="0"/>
          <w:iCs w:val="0"/>
          <w:noProof/>
          <w:color w:val="auto"/>
          <w:sz w:val="22"/>
          <w:szCs w:val="22"/>
        </w:rPr>
        <w:t>6</w:t>
      </w:r>
      <w:r w:rsidRPr="00BF3E35">
        <w:rPr>
          <w:rFonts w:ascii="Times New Roman" w:hAnsi="Times New Roman" w:cs="Times New Roman"/>
          <w:i w:val="0"/>
          <w:iCs w:val="0"/>
          <w:color w:val="auto"/>
          <w:sz w:val="22"/>
          <w:szCs w:val="22"/>
        </w:rPr>
        <w:fldChar w:fldCharType="end"/>
      </w:r>
      <w:r w:rsidRPr="00BF3E35">
        <w:rPr>
          <w:rFonts w:ascii="Times New Roman" w:hAnsi="Times New Roman" w:cs="Times New Roman"/>
          <w:i w:val="0"/>
          <w:iCs w:val="0"/>
          <w:color w:val="auto"/>
          <w:sz w:val="22"/>
          <w:szCs w:val="22"/>
        </w:rPr>
        <w:t>. Model summary from deforestation modelling in Leuser Ecosystem.</w:t>
      </w:r>
    </w:p>
    <w:tbl>
      <w:tblPr>
        <w:tblW w:w="7760" w:type="dxa"/>
        <w:tblBorders>
          <w:top w:val="single" w:sz="4" w:space="0" w:color="auto"/>
          <w:bottom w:val="single" w:sz="4" w:space="0" w:color="auto"/>
          <w:insideH w:val="single" w:sz="4" w:space="0" w:color="auto"/>
        </w:tblBorders>
        <w:tblLook w:val="04A0" w:firstRow="1" w:lastRow="0" w:firstColumn="1" w:lastColumn="0" w:noHBand="0" w:noVBand="1"/>
      </w:tblPr>
      <w:tblGrid>
        <w:gridCol w:w="4536"/>
        <w:gridCol w:w="814"/>
        <w:gridCol w:w="794"/>
        <w:gridCol w:w="894"/>
        <w:gridCol w:w="722"/>
      </w:tblGrid>
      <w:tr w:rsidR="00CB6651" w:rsidRPr="00BF3E35" w14:paraId="542ED3D5" w14:textId="77777777" w:rsidTr="00CB6651">
        <w:trPr>
          <w:trHeight w:val="300"/>
        </w:trPr>
        <w:tc>
          <w:tcPr>
            <w:tcW w:w="4536" w:type="dxa"/>
            <w:shd w:val="clear" w:color="auto" w:fill="auto"/>
            <w:noWrap/>
            <w:vAlign w:val="center"/>
            <w:hideMark/>
          </w:tcPr>
          <w:p w14:paraId="4304686B" w14:textId="289F92B9" w:rsidR="00CB6651" w:rsidRPr="00BF3E35" w:rsidRDefault="00C90AF7" w:rsidP="00C46C72">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Models</w:t>
            </w:r>
          </w:p>
        </w:tc>
        <w:tc>
          <w:tcPr>
            <w:tcW w:w="814" w:type="dxa"/>
            <w:shd w:val="clear" w:color="auto" w:fill="auto"/>
            <w:noWrap/>
            <w:vAlign w:val="center"/>
            <w:hideMark/>
          </w:tcPr>
          <w:p w14:paraId="1B26BB46"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AICc</w:t>
            </w:r>
          </w:p>
        </w:tc>
        <w:tc>
          <w:tcPr>
            <w:tcW w:w="794" w:type="dxa"/>
            <w:shd w:val="clear" w:color="auto" w:fill="auto"/>
            <w:noWrap/>
            <w:vAlign w:val="center"/>
            <w:hideMark/>
          </w:tcPr>
          <w:p w14:paraId="37EB1D35"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DAICc</w:t>
            </w:r>
          </w:p>
        </w:tc>
        <w:tc>
          <w:tcPr>
            <w:tcW w:w="894" w:type="dxa"/>
            <w:shd w:val="clear" w:color="auto" w:fill="auto"/>
            <w:noWrap/>
            <w:vAlign w:val="center"/>
            <w:hideMark/>
          </w:tcPr>
          <w:p w14:paraId="51CC5D9C" w14:textId="0D8555AB"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wgt</w:t>
            </w:r>
          </w:p>
        </w:tc>
        <w:tc>
          <w:tcPr>
            <w:tcW w:w="722" w:type="dxa"/>
            <w:shd w:val="clear" w:color="auto" w:fill="auto"/>
            <w:noWrap/>
            <w:vAlign w:val="center"/>
            <w:hideMark/>
          </w:tcPr>
          <w:p w14:paraId="282FFDF8"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AUC</w:t>
            </w:r>
          </w:p>
        </w:tc>
      </w:tr>
      <w:tr w:rsidR="00CB6651" w:rsidRPr="00BF3E35" w14:paraId="00EDE7D9" w14:textId="77777777" w:rsidTr="00CB6651">
        <w:trPr>
          <w:trHeight w:val="300"/>
        </w:trPr>
        <w:tc>
          <w:tcPr>
            <w:tcW w:w="4536" w:type="dxa"/>
            <w:shd w:val="clear" w:color="auto" w:fill="auto"/>
            <w:noWrap/>
            <w:vAlign w:val="center"/>
            <w:hideMark/>
          </w:tcPr>
          <w:p w14:paraId="238169D3" w14:textId="722A5553" w:rsidR="00CB6651" w:rsidRPr="00BF3E35" w:rsidRDefault="00CB6651" w:rsidP="00C46C72">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tri + dist</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to</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forest</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edge</w:t>
            </w:r>
          </w:p>
        </w:tc>
        <w:tc>
          <w:tcPr>
            <w:tcW w:w="814" w:type="dxa"/>
            <w:shd w:val="clear" w:color="auto" w:fill="auto"/>
            <w:noWrap/>
            <w:vAlign w:val="center"/>
            <w:hideMark/>
          </w:tcPr>
          <w:p w14:paraId="36C57628"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72.7</w:t>
            </w:r>
          </w:p>
        </w:tc>
        <w:tc>
          <w:tcPr>
            <w:tcW w:w="794" w:type="dxa"/>
            <w:shd w:val="clear" w:color="auto" w:fill="auto"/>
            <w:noWrap/>
            <w:vAlign w:val="center"/>
            <w:hideMark/>
          </w:tcPr>
          <w:p w14:paraId="5052A057"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w:t>
            </w:r>
          </w:p>
        </w:tc>
        <w:tc>
          <w:tcPr>
            <w:tcW w:w="894" w:type="dxa"/>
            <w:shd w:val="clear" w:color="auto" w:fill="auto"/>
            <w:noWrap/>
            <w:vAlign w:val="center"/>
            <w:hideMark/>
          </w:tcPr>
          <w:p w14:paraId="0CDE1235"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0.5</w:t>
            </w:r>
          </w:p>
        </w:tc>
        <w:tc>
          <w:tcPr>
            <w:tcW w:w="722" w:type="dxa"/>
            <w:shd w:val="clear" w:color="auto" w:fill="auto"/>
            <w:noWrap/>
            <w:vAlign w:val="center"/>
            <w:hideMark/>
          </w:tcPr>
          <w:p w14:paraId="3E6D449C"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0.94</w:t>
            </w:r>
          </w:p>
        </w:tc>
      </w:tr>
      <w:tr w:rsidR="00CB6651" w:rsidRPr="00BF3E35" w14:paraId="114DE451" w14:textId="77777777" w:rsidTr="00CB6651">
        <w:trPr>
          <w:trHeight w:val="300"/>
        </w:trPr>
        <w:tc>
          <w:tcPr>
            <w:tcW w:w="4536" w:type="dxa"/>
            <w:shd w:val="clear" w:color="auto" w:fill="auto"/>
            <w:noWrap/>
            <w:vAlign w:val="center"/>
            <w:hideMark/>
          </w:tcPr>
          <w:p w14:paraId="41E414C6" w14:textId="0B2C9161" w:rsidR="00CB6651" w:rsidRPr="00BF3E35" w:rsidRDefault="00CB6651" w:rsidP="00C46C72">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dist</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to</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road</w:t>
            </w:r>
          </w:p>
        </w:tc>
        <w:tc>
          <w:tcPr>
            <w:tcW w:w="814" w:type="dxa"/>
            <w:shd w:val="clear" w:color="auto" w:fill="auto"/>
            <w:noWrap/>
            <w:vAlign w:val="center"/>
            <w:hideMark/>
          </w:tcPr>
          <w:p w14:paraId="65FDB876"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73.9</w:t>
            </w:r>
          </w:p>
        </w:tc>
        <w:tc>
          <w:tcPr>
            <w:tcW w:w="794" w:type="dxa"/>
            <w:shd w:val="clear" w:color="auto" w:fill="auto"/>
            <w:noWrap/>
            <w:vAlign w:val="center"/>
            <w:hideMark/>
          </w:tcPr>
          <w:p w14:paraId="519A6593"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1.2</w:t>
            </w:r>
          </w:p>
        </w:tc>
        <w:tc>
          <w:tcPr>
            <w:tcW w:w="894" w:type="dxa"/>
            <w:shd w:val="clear" w:color="auto" w:fill="auto"/>
            <w:noWrap/>
            <w:vAlign w:val="center"/>
            <w:hideMark/>
          </w:tcPr>
          <w:p w14:paraId="2B37A905"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0.3</w:t>
            </w:r>
          </w:p>
        </w:tc>
        <w:tc>
          <w:tcPr>
            <w:tcW w:w="722" w:type="dxa"/>
            <w:shd w:val="clear" w:color="auto" w:fill="auto"/>
            <w:noWrap/>
            <w:vAlign w:val="center"/>
            <w:hideMark/>
          </w:tcPr>
          <w:p w14:paraId="115BFEE2"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0.93</w:t>
            </w:r>
          </w:p>
        </w:tc>
      </w:tr>
      <w:tr w:rsidR="00CB6651" w:rsidRPr="00BF3E35" w14:paraId="4A8D4029" w14:textId="77777777" w:rsidTr="00CB6651">
        <w:trPr>
          <w:trHeight w:val="300"/>
        </w:trPr>
        <w:tc>
          <w:tcPr>
            <w:tcW w:w="4536" w:type="dxa"/>
            <w:shd w:val="clear" w:color="auto" w:fill="auto"/>
            <w:noWrap/>
            <w:vAlign w:val="center"/>
            <w:hideMark/>
          </w:tcPr>
          <w:p w14:paraId="743CC473" w14:textId="02247DA0" w:rsidR="00CB6651" w:rsidRPr="00BF3E35" w:rsidRDefault="00CB6651" w:rsidP="00C46C72">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dist</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to</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road + dist</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to</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river</w:t>
            </w:r>
          </w:p>
        </w:tc>
        <w:tc>
          <w:tcPr>
            <w:tcW w:w="814" w:type="dxa"/>
            <w:shd w:val="clear" w:color="auto" w:fill="auto"/>
            <w:noWrap/>
            <w:vAlign w:val="center"/>
            <w:hideMark/>
          </w:tcPr>
          <w:p w14:paraId="5A49657D"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75.4</w:t>
            </w:r>
          </w:p>
        </w:tc>
        <w:tc>
          <w:tcPr>
            <w:tcW w:w="794" w:type="dxa"/>
            <w:shd w:val="clear" w:color="auto" w:fill="auto"/>
            <w:noWrap/>
            <w:vAlign w:val="center"/>
            <w:hideMark/>
          </w:tcPr>
          <w:p w14:paraId="4CC75409"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2.7</w:t>
            </w:r>
          </w:p>
        </w:tc>
        <w:tc>
          <w:tcPr>
            <w:tcW w:w="894" w:type="dxa"/>
            <w:shd w:val="clear" w:color="auto" w:fill="auto"/>
            <w:noWrap/>
            <w:vAlign w:val="center"/>
            <w:hideMark/>
          </w:tcPr>
          <w:p w14:paraId="15EFBF21"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0.1</w:t>
            </w:r>
          </w:p>
        </w:tc>
        <w:tc>
          <w:tcPr>
            <w:tcW w:w="722" w:type="dxa"/>
            <w:shd w:val="clear" w:color="auto" w:fill="auto"/>
            <w:noWrap/>
            <w:vAlign w:val="center"/>
            <w:hideMark/>
          </w:tcPr>
          <w:p w14:paraId="29841102"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0.93</w:t>
            </w:r>
          </w:p>
        </w:tc>
      </w:tr>
      <w:tr w:rsidR="00CB6651" w:rsidRPr="00BF3E35" w14:paraId="37DC997A" w14:textId="77777777" w:rsidTr="00CB6651">
        <w:trPr>
          <w:trHeight w:val="300"/>
        </w:trPr>
        <w:tc>
          <w:tcPr>
            <w:tcW w:w="4536" w:type="dxa"/>
            <w:shd w:val="clear" w:color="auto" w:fill="auto"/>
            <w:noWrap/>
            <w:vAlign w:val="center"/>
            <w:hideMark/>
          </w:tcPr>
          <w:p w14:paraId="27E334D8" w14:textId="77777777" w:rsidR="00CB6651" w:rsidRPr="00BF3E35" w:rsidRDefault="00CB6651" w:rsidP="00C46C72">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tri</w:t>
            </w:r>
          </w:p>
        </w:tc>
        <w:tc>
          <w:tcPr>
            <w:tcW w:w="814" w:type="dxa"/>
            <w:shd w:val="clear" w:color="auto" w:fill="auto"/>
            <w:noWrap/>
            <w:vAlign w:val="center"/>
            <w:hideMark/>
          </w:tcPr>
          <w:p w14:paraId="526F150A"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79.9</w:t>
            </w:r>
          </w:p>
        </w:tc>
        <w:tc>
          <w:tcPr>
            <w:tcW w:w="794" w:type="dxa"/>
            <w:shd w:val="clear" w:color="auto" w:fill="auto"/>
            <w:noWrap/>
            <w:vAlign w:val="center"/>
            <w:hideMark/>
          </w:tcPr>
          <w:p w14:paraId="0A8700EB"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7.2</w:t>
            </w:r>
          </w:p>
        </w:tc>
        <w:tc>
          <w:tcPr>
            <w:tcW w:w="894" w:type="dxa"/>
            <w:shd w:val="clear" w:color="auto" w:fill="auto"/>
            <w:noWrap/>
            <w:vAlign w:val="center"/>
            <w:hideMark/>
          </w:tcPr>
          <w:p w14:paraId="783AFA81"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w:t>
            </w:r>
          </w:p>
        </w:tc>
        <w:tc>
          <w:tcPr>
            <w:tcW w:w="722" w:type="dxa"/>
            <w:shd w:val="clear" w:color="auto" w:fill="auto"/>
            <w:noWrap/>
            <w:vAlign w:val="center"/>
            <w:hideMark/>
          </w:tcPr>
          <w:p w14:paraId="09A91D7A"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0.9</w:t>
            </w:r>
          </w:p>
        </w:tc>
      </w:tr>
      <w:tr w:rsidR="00CB6651" w:rsidRPr="00BF3E35" w14:paraId="0C9CEACD" w14:textId="77777777" w:rsidTr="00CB6651">
        <w:trPr>
          <w:trHeight w:val="300"/>
        </w:trPr>
        <w:tc>
          <w:tcPr>
            <w:tcW w:w="4536" w:type="dxa"/>
            <w:shd w:val="clear" w:color="auto" w:fill="auto"/>
            <w:noWrap/>
            <w:vAlign w:val="center"/>
            <w:hideMark/>
          </w:tcPr>
          <w:p w14:paraId="24F8B417" w14:textId="4B7EA0AA" w:rsidR="00CB6651" w:rsidRPr="00BF3E35" w:rsidRDefault="00CB6651" w:rsidP="00C46C72">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tri + dist</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to</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river</w:t>
            </w:r>
          </w:p>
        </w:tc>
        <w:tc>
          <w:tcPr>
            <w:tcW w:w="814" w:type="dxa"/>
            <w:shd w:val="clear" w:color="auto" w:fill="auto"/>
            <w:noWrap/>
            <w:vAlign w:val="center"/>
            <w:hideMark/>
          </w:tcPr>
          <w:p w14:paraId="742196DE"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80.4</w:t>
            </w:r>
          </w:p>
        </w:tc>
        <w:tc>
          <w:tcPr>
            <w:tcW w:w="794" w:type="dxa"/>
            <w:shd w:val="clear" w:color="auto" w:fill="auto"/>
            <w:noWrap/>
            <w:vAlign w:val="center"/>
            <w:hideMark/>
          </w:tcPr>
          <w:p w14:paraId="47A5AB8C"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7.7</w:t>
            </w:r>
          </w:p>
        </w:tc>
        <w:tc>
          <w:tcPr>
            <w:tcW w:w="894" w:type="dxa"/>
            <w:shd w:val="clear" w:color="auto" w:fill="auto"/>
            <w:noWrap/>
            <w:vAlign w:val="center"/>
            <w:hideMark/>
          </w:tcPr>
          <w:p w14:paraId="39B2FF17"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w:t>
            </w:r>
          </w:p>
        </w:tc>
        <w:tc>
          <w:tcPr>
            <w:tcW w:w="722" w:type="dxa"/>
            <w:shd w:val="clear" w:color="auto" w:fill="auto"/>
            <w:noWrap/>
            <w:vAlign w:val="center"/>
            <w:hideMark/>
          </w:tcPr>
          <w:p w14:paraId="22F0D80B"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0.91</w:t>
            </w:r>
          </w:p>
        </w:tc>
      </w:tr>
      <w:tr w:rsidR="00CB6651" w:rsidRPr="00BF3E35" w14:paraId="15E4D179" w14:textId="77777777" w:rsidTr="00CB6651">
        <w:trPr>
          <w:trHeight w:val="300"/>
        </w:trPr>
        <w:tc>
          <w:tcPr>
            <w:tcW w:w="4536" w:type="dxa"/>
            <w:shd w:val="clear" w:color="auto" w:fill="auto"/>
            <w:noWrap/>
            <w:vAlign w:val="center"/>
            <w:hideMark/>
          </w:tcPr>
          <w:p w14:paraId="7AE874EA" w14:textId="13ABA298" w:rsidR="00CB6651" w:rsidRPr="00BF3E35" w:rsidRDefault="00CB6651" w:rsidP="00C46C72">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lastRenderedPageBreak/>
              <w:t>dist</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to</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oilpalm + dist</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to</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forest</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edge</w:t>
            </w:r>
          </w:p>
        </w:tc>
        <w:tc>
          <w:tcPr>
            <w:tcW w:w="814" w:type="dxa"/>
            <w:shd w:val="clear" w:color="auto" w:fill="auto"/>
            <w:noWrap/>
            <w:vAlign w:val="center"/>
            <w:hideMark/>
          </w:tcPr>
          <w:p w14:paraId="42DA28EC"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80.6</w:t>
            </w:r>
          </w:p>
        </w:tc>
        <w:tc>
          <w:tcPr>
            <w:tcW w:w="794" w:type="dxa"/>
            <w:shd w:val="clear" w:color="auto" w:fill="auto"/>
            <w:noWrap/>
            <w:vAlign w:val="center"/>
            <w:hideMark/>
          </w:tcPr>
          <w:p w14:paraId="4660BF93"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7.9</w:t>
            </w:r>
          </w:p>
        </w:tc>
        <w:tc>
          <w:tcPr>
            <w:tcW w:w="894" w:type="dxa"/>
            <w:shd w:val="clear" w:color="auto" w:fill="auto"/>
            <w:noWrap/>
            <w:vAlign w:val="center"/>
            <w:hideMark/>
          </w:tcPr>
          <w:p w14:paraId="08A23C14"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w:t>
            </w:r>
          </w:p>
        </w:tc>
        <w:tc>
          <w:tcPr>
            <w:tcW w:w="722" w:type="dxa"/>
            <w:shd w:val="clear" w:color="auto" w:fill="auto"/>
            <w:noWrap/>
            <w:vAlign w:val="center"/>
            <w:hideMark/>
          </w:tcPr>
          <w:p w14:paraId="52E77E4A"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0.91</w:t>
            </w:r>
          </w:p>
        </w:tc>
      </w:tr>
      <w:tr w:rsidR="00CB6651" w:rsidRPr="00BF3E35" w14:paraId="21AC2775" w14:textId="77777777" w:rsidTr="00CB6651">
        <w:trPr>
          <w:trHeight w:val="300"/>
        </w:trPr>
        <w:tc>
          <w:tcPr>
            <w:tcW w:w="4536" w:type="dxa"/>
            <w:shd w:val="clear" w:color="auto" w:fill="auto"/>
            <w:noWrap/>
            <w:vAlign w:val="center"/>
            <w:hideMark/>
          </w:tcPr>
          <w:p w14:paraId="0644DAB7" w14:textId="333D3848" w:rsidR="00CB6651" w:rsidRPr="00BF3E35" w:rsidRDefault="00CB6651" w:rsidP="00C46C72">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dist</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to</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river + dist</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to</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forest</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edge + dist</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to</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oilpalm</w:t>
            </w:r>
          </w:p>
        </w:tc>
        <w:tc>
          <w:tcPr>
            <w:tcW w:w="814" w:type="dxa"/>
            <w:shd w:val="clear" w:color="auto" w:fill="auto"/>
            <w:noWrap/>
            <w:vAlign w:val="center"/>
            <w:hideMark/>
          </w:tcPr>
          <w:p w14:paraId="1A874419"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81.2</w:t>
            </w:r>
          </w:p>
        </w:tc>
        <w:tc>
          <w:tcPr>
            <w:tcW w:w="794" w:type="dxa"/>
            <w:shd w:val="clear" w:color="auto" w:fill="auto"/>
            <w:noWrap/>
            <w:vAlign w:val="center"/>
            <w:hideMark/>
          </w:tcPr>
          <w:p w14:paraId="524C2D9A"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8.5</w:t>
            </w:r>
          </w:p>
        </w:tc>
        <w:tc>
          <w:tcPr>
            <w:tcW w:w="894" w:type="dxa"/>
            <w:shd w:val="clear" w:color="auto" w:fill="auto"/>
            <w:noWrap/>
            <w:vAlign w:val="center"/>
            <w:hideMark/>
          </w:tcPr>
          <w:p w14:paraId="4F7E4177"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w:t>
            </w:r>
          </w:p>
        </w:tc>
        <w:tc>
          <w:tcPr>
            <w:tcW w:w="722" w:type="dxa"/>
            <w:shd w:val="clear" w:color="auto" w:fill="auto"/>
            <w:noWrap/>
            <w:vAlign w:val="center"/>
            <w:hideMark/>
          </w:tcPr>
          <w:p w14:paraId="39A247E0"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0.92</w:t>
            </w:r>
          </w:p>
        </w:tc>
      </w:tr>
      <w:tr w:rsidR="00CB6651" w:rsidRPr="00BF3E35" w14:paraId="294C2531" w14:textId="77777777" w:rsidTr="00CB6651">
        <w:trPr>
          <w:trHeight w:val="300"/>
        </w:trPr>
        <w:tc>
          <w:tcPr>
            <w:tcW w:w="4536" w:type="dxa"/>
            <w:shd w:val="clear" w:color="auto" w:fill="auto"/>
            <w:noWrap/>
            <w:vAlign w:val="center"/>
            <w:hideMark/>
          </w:tcPr>
          <w:p w14:paraId="64726721" w14:textId="6AAEF6E6" w:rsidR="00CB6651" w:rsidRPr="00BF3E35" w:rsidRDefault="00CB6651" w:rsidP="00C46C72">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dist</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to</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village</w:t>
            </w:r>
          </w:p>
        </w:tc>
        <w:tc>
          <w:tcPr>
            <w:tcW w:w="814" w:type="dxa"/>
            <w:shd w:val="clear" w:color="auto" w:fill="auto"/>
            <w:noWrap/>
            <w:vAlign w:val="center"/>
            <w:hideMark/>
          </w:tcPr>
          <w:p w14:paraId="13EB3C9A"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94.5</w:t>
            </w:r>
          </w:p>
        </w:tc>
        <w:tc>
          <w:tcPr>
            <w:tcW w:w="794" w:type="dxa"/>
            <w:shd w:val="clear" w:color="auto" w:fill="auto"/>
            <w:noWrap/>
            <w:vAlign w:val="center"/>
            <w:hideMark/>
          </w:tcPr>
          <w:p w14:paraId="42808ABB"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21.7</w:t>
            </w:r>
          </w:p>
        </w:tc>
        <w:tc>
          <w:tcPr>
            <w:tcW w:w="894" w:type="dxa"/>
            <w:shd w:val="clear" w:color="auto" w:fill="auto"/>
            <w:noWrap/>
            <w:vAlign w:val="center"/>
            <w:hideMark/>
          </w:tcPr>
          <w:p w14:paraId="5856F6E8"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w:t>
            </w:r>
          </w:p>
        </w:tc>
        <w:tc>
          <w:tcPr>
            <w:tcW w:w="722" w:type="dxa"/>
            <w:shd w:val="clear" w:color="auto" w:fill="auto"/>
            <w:noWrap/>
            <w:vAlign w:val="center"/>
            <w:hideMark/>
          </w:tcPr>
          <w:p w14:paraId="1B4B0D5B"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0.81</w:t>
            </w:r>
          </w:p>
        </w:tc>
      </w:tr>
      <w:tr w:rsidR="00CB6651" w:rsidRPr="00BF3E35" w14:paraId="3179C957" w14:textId="77777777" w:rsidTr="00CB6651">
        <w:trPr>
          <w:trHeight w:val="300"/>
        </w:trPr>
        <w:tc>
          <w:tcPr>
            <w:tcW w:w="4536" w:type="dxa"/>
            <w:shd w:val="clear" w:color="auto" w:fill="auto"/>
            <w:noWrap/>
            <w:vAlign w:val="center"/>
            <w:hideMark/>
          </w:tcPr>
          <w:p w14:paraId="693B8710" w14:textId="2E21DF4B" w:rsidR="00CB6651" w:rsidRPr="00BF3E35" w:rsidRDefault="00CB6651" w:rsidP="00C46C72">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dist</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to</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village + dist</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to</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river</w:t>
            </w:r>
          </w:p>
        </w:tc>
        <w:tc>
          <w:tcPr>
            <w:tcW w:w="814" w:type="dxa"/>
            <w:shd w:val="clear" w:color="auto" w:fill="auto"/>
            <w:noWrap/>
            <w:vAlign w:val="center"/>
            <w:hideMark/>
          </w:tcPr>
          <w:p w14:paraId="2BB96ED8"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95.7</w:t>
            </w:r>
          </w:p>
        </w:tc>
        <w:tc>
          <w:tcPr>
            <w:tcW w:w="794" w:type="dxa"/>
            <w:shd w:val="clear" w:color="auto" w:fill="auto"/>
            <w:noWrap/>
            <w:vAlign w:val="center"/>
            <w:hideMark/>
          </w:tcPr>
          <w:p w14:paraId="03DE1BE1"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23</w:t>
            </w:r>
          </w:p>
        </w:tc>
        <w:tc>
          <w:tcPr>
            <w:tcW w:w="894" w:type="dxa"/>
            <w:shd w:val="clear" w:color="auto" w:fill="auto"/>
            <w:noWrap/>
            <w:vAlign w:val="center"/>
            <w:hideMark/>
          </w:tcPr>
          <w:p w14:paraId="7AE03E2F"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w:t>
            </w:r>
          </w:p>
        </w:tc>
        <w:tc>
          <w:tcPr>
            <w:tcW w:w="722" w:type="dxa"/>
            <w:shd w:val="clear" w:color="auto" w:fill="auto"/>
            <w:noWrap/>
            <w:vAlign w:val="center"/>
            <w:hideMark/>
          </w:tcPr>
          <w:p w14:paraId="07BE7ACD"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0.83</w:t>
            </w:r>
          </w:p>
        </w:tc>
      </w:tr>
      <w:tr w:rsidR="00CB6651" w:rsidRPr="00BF3E35" w14:paraId="5454E8BE" w14:textId="77777777" w:rsidTr="00CB6651">
        <w:trPr>
          <w:trHeight w:val="300"/>
        </w:trPr>
        <w:tc>
          <w:tcPr>
            <w:tcW w:w="4536" w:type="dxa"/>
            <w:shd w:val="clear" w:color="auto" w:fill="auto"/>
            <w:noWrap/>
            <w:vAlign w:val="center"/>
            <w:hideMark/>
          </w:tcPr>
          <w:p w14:paraId="282DD14B" w14:textId="4498D07C" w:rsidR="00CB6651" w:rsidRPr="00BF3E35" w:rsidRDefault="00CB6651" w:rsidP="00C46C72">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dist</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to</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oilpalm</w:t>
            </w:r>
          </w:p>
        </w:tc>
        <w:tc>
          <w:tcPr>
            <w:tcW w:w="814" w:type="dxa"/>
            <w:shd w:val="clear" w:color="auto" w:fill="auto"/>
            <w:noWrap/>
            <w:vAlign w:val="center"/>
            <w:hideMark/>
          </w:tcPr>
          <w:p w14:paraId="00C2F70D"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96.1</w:t>
            </w:r>
          </w:p>
        </w:tc>
        <w:tc>
          <w:tcPr>
            <w:tcW w:w="794" w:type="dxa"/>
            <w:shd w:val="clear" w:color="auto" w:fill="auto"/>
            <w:noWrap/>
            <w:vAlign w:val="center"/>
            <w:hideMark/>
          </w:tcPr>
          <w:p w14:paraId="528C682A"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23.4</w:t>
            </w:r>
          </w:p>
        </w:tc>
        <w:tc>
          <w:tcPr>
            <w:tcW w:w="894" w:type="dxa"/>
            <w:shd w:val="clear" w:color="auto" w:fill="auto"/>
            <w:noWrap/>
            <w:vAlign w:val="center"/>
            <w:hideMark/>
          </w:tcPr>
          <w:p w14:paraId="6F85072C"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w:t>
            </w:r>
          </w:p>
        </w:tc>
        <w:tc>
          <w:tcPr>
            <w:tcW w:w="722" w:type="dxa"/>
            <w:shd w:val="clear" w:color="auto" w:fill="auto"/>
            <w:noWrap/>
            <w:vAlign w:val="center"/>
            <w:hideMark/>
          </w:tcPr>
          <w:p w14:paraId="5D710836"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0.88</w:t>
            </w:r>
          </w:p>
        </w:tc>
      </w:tr>
      <w:tr w:rsidR="00CB6651" w:rsidRPr="00BF3E35" w14:paraId="231D742F" w14:textId="77777777" w:rsidTr="00CB6651">
        <w:trPr>
          <w:trHeight w:val="300"/>
        </w:trPr>
        <w:tc>
          <w:tcPr>
            <w:tcW w:w="4536" w:type="dxa"/>
            <w:shd w:val="clear" w:color="auto" w:fill="auto"/>
            <w:noWrap/>
            <w:vAlign w:val="center"/>
            <w:hideMark/>
          </w:tcPr>
          <w:p w14:paraId="587194CB" w14:textId="7E82FEEF" w:rsidR="00CB6651" w:rsidRPr="00BF3E35" w:rsidRDefault="00CB6651" w:rsidP="00C46C72">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dist</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to</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river + dist</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to</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oilpalm</w:t>
            </w:r>
          </w:p>
        </w:tc>
        <w:tc>
          <w:tcPr>
            <w:tcW w:w="814" w:type="dxa"/>
            <w:shd w:val="clear" w:color="auto" w:fill="auto"/>
            <w:noWrap/>
            <w:vAlign w:val="center"/>
            <w:hideMark/>
          </w:tcPr>
          <w:p w14:paraId="18660C6F"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96.3</w:t>
            </w:r>
          </w:p>
        </w:tc>
        <w:tc>
          <w:tcPr>
            <w:tcW w:w="794" w:type="dxa"/>
            <w:shd w:val="clear" w:color="auto" w:fill="auto"/>
            <w:noWrap/>
            <w:vAlign w:val="center"/>
            <w:hideMark/>
          </w:tcPr>
          <w:p w14:paraId="1DF7CC41"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23.6</w:t>
            </w:r>
          </w:p>
        </w:tc>
        <w:tc>
          <w:tcPr>
            <w:tcW w:w="894" w:type="dxa"/>
            <w:shd w:val="clear" w:color="auto" w:fill="auto"/>
            <w:noWrap/>
            <w:vAlign w:val="center"/>
            <w:hideMark/>
          </w:tcPr>
          <w:p w14:paraId="4663897E"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w:t>
            </w:r>
          </w:p>
        </w:tc>
        <w:tc>
          <w:tcPr>
            <w:tcW w:w="722" w:type="dxa"/>
            <w:shd w:val="clear" w:color="auto" w:fill="auto"/>
            <w:noWrap/>
            <w:vAlign w:val="center"/>
            <w:hideMark/>
          </w:tcPr>
          <w:p w14:paraId="739E833B"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0.89</w:t>
            </w:r>
          </w:p>
        </w:tc>
      </w:tr>
      <w:tr w:rsidR="00CB6651" w:rsidRPr="00BF3E35" w14:paraId="3EAC1493" w14:textId="77777777" w:rsidTr="00CB6651">
        <w:trPr>
          <w:trHeight w:val="300"/>
        </w:trPr>
        <w:tc>
          <w:tcPr>
            <w:tcW w:w="4536" w:type="dxa"/>
            <w:shd w:val="clear" w:color="auto" w:fill="auto"/>
            <w:noWrap/>
            <w:vAlign w:val="center"/>
            <w:hideMark/>
          </w:tcPr>
          <w:p w14:paraId="3BFEEB64" w14:textId="45F7DDA0" w:rsidR="00CB6651" w:rsidRPr="00BF3E35" w:rsidRDefault="00CB6651" w:rsidP="00C46C72">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dist</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to</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forest</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edge</w:t>
            </w:r>
          </w:p>
        </w:tc>
        <w:tc>
          <w:tcPr>
            <w:tcW w:w="814" w:type="dxa"/>
            <w:shd w:val="clear" w:color="auto" w:fill="auto"/>
            <w:noWrap/>
            <w:vAlign w:val="center"/>
            <w:hideMark/>
          </w:tcPr>
          <w:p w14:paraId="3D993DA2"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103.2</w:t>
            </w:r>
          </w:p>
        </w:tc>
        <w:tc>
          <w:tcPr>
            <w:tcW w:w="794" w:type="dxa"/>
            <w:shd w:val="clear" w:color="auto" w:fill="auto"/>
            <w:noWrap/>
            <w:vAlign w:val="center"/>
            <w:hideMark/>
          </w:tcPr>
          <w:p w14:paraId="3ADE55AE"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30.5</w:t>
            </w:r>
          </w:p>
        </w:tc>
        <w:tc>
          <w:tcPr>
            <w:tcW w:w="894" w:type="dxa"/>
            <w:shd w:val="clear" w:color="auto" w:fill="auto"/>
            <w:noWrap/>
            <w:vAlign w:val="center"/>
            <w:hideMark/>
          </w:tcPr>
          <w:p w14:paraId="7E89C847"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w:t>
            </w:r>
          </w:p>
        </w:tc>
        <w:tc>
          <w:tcPr>
            <w:tcW w:w="722" w:type="dxa"/>
            <w:shd w:val="clear" w:color="auto" w:fill="auto"/>
            <w:noWrap/>
            <w:vAlign w:val="center"/>
            <w:hideMark/>
          </w:tcPr>
          <w:p w14:paraId="06D5445B"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0.82</w:t>
            </w:r>
          </w:p>
        </w:tc>
      </w:tr>
      <w:tr w:rsidR="00CB6651" w:rsidRPr="00BF3E35" w14:paraId="2538F453" w14:textId="77777777" w:rsidTr="00CB6651">
        <w:trPr>
          <w:trHeight w:val="300"/>
        </w:trPr>
        <w:tc>
          <w:tcPr>
            <w:tcW w:w="4536" w:type="dxa"/>
            <w:shd w:val="clear" w:color="auto" w:fill="auto"/>
            <w:noWrap/>
            <w:vAlign w:val="center"/>
            <w:hideMark/>
          </w:tcPr>
          <w:p w14:paraId="6A9E2A1C" w14:textId="237DFB6F" w:rsidR="00CB6651" w:rsidRPr="00BF3E35" w:rsidRDefault="00CB6651" w:rsidP="00C46C72">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dist</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to</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river + dist</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to</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forest</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edge</w:t>
            </w:r>
          </w:p>
        </w:tc>
        <w:tc>
          <w:tcPr>
            <w:tcW w:w="814" w:type="dxa"/>
            <w:shd w:val="clear" w:color="auto" w:fill="auto"/>
            <w:noWrap/>
            <w:vAlign w:val="center"/>
            <w:hideMark/>
          </w:tcPr>
          <w:p w14:paraId="50C264CA"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105</w:t>
            </w:r>
          </w:p>
        </w:tc>
        <w:tc>
          <w:tcPr>
            <w:tcW w:w="794" w:type="dxa"/>
            <w:shd w:val="clear" w:color="auto" w:fill="auto"/>
            <w:noWrap/>
            <w:vAlign w:val="center"/>
            <w:hideMark/>
          </w:tcPr>
          <w:p w14:paraId="4CA17372"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32.3</w:t>
            </w:r>
          </w:p>
        </w:tc>
        <w:tc>
          <w:tcPr>
            <w:tcW w:w="894" w:type="dxa"/>
            <w:shd w:val="clear" w:color="auto" w:fill="auto"/>
            <w:noWrap/>
            <w:vAlign w:val="center"/>
            <w:hideMark/>
          </w:tcPr>
          <w:p w14:paraId="68D6C2FD"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w:t>
            </w:r>
          </w:p>
        </w:tc>
        <w:tc>
          <w:tcPr>
            <w:tcW w:w="722" w:type="dxa"/>
            <w:shd w:val="clear" w:color="auto" w:fill="auto"/>
            <w:noWrap/>
            <w:vAlign w:val="center"/>
            <w:hideMark/>
          </w:tcPr>
          <w:p w14:paraId="1203574E"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0.82</w:t>
            </w:r>
          </w:p>
        </w:tc>
      </w:tr>
      <w:tr w:rsidR="00CB6651" w:rsidRPr="00BF3E35" w14:paraId="73964D3A" w14:textId="77777777" w:rsidTr="00CB6651">
        <w:trPr>
          <w:trHeight w:val="300"/>
        </w:trPr>
        <w:tc>
          <w:tcPr>
            <w:tcW w:w="4536" w:type="dxa"/>
            <w:shd w:val="clear" w:color="auto" w:fill="auto"/>
            <w:noWrap/>
            <w:vAlign w:val="center"/>
            <w:hideMark/>
          </w:tcPr>
          <w:p w14:paraId="1501D558" w14:textId="39138EB2" w:rsidR="00CB6651" w:rsidRPr="00BF3E35" w:rsidRDefault="00153257" w:rsidP="00C46C72">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null</w:t>
            </w:r>
          </w:p>
        </w:tc>
        <w:tc>
          <w:tcPr>
            <w:tcW w:w="814" w:type="dxa"/>
            <w:shd w:val="clear" w:color="auto" w:fill="auto"/>
            <w:noWrap/>
            <w:vAlign w:val="center"/>
            <w:hideMark/>
          </w:tcPr>
          <w:p w14:paraId="0262457F"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140.7</w:t>
            </w:r>
          </w:p>
        </w:tc>
        <w:tc>
          <w:tcPr>
            <w:tcW w:w="794" w:type="dxa"/>
            <w:shd w:val="clear" w:color="auto" w:fill="auto"/>
            <w:noWrap/>
            <w:vAlign w:val="center"/>
            <w:hideMark/>
          </w:tcPr>
          <w:p w14:paraId="0F10D947"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68</w:t>
            </w:r>
          </w:p>
        </w:tc>
        <w:tc>
          <w:tcPr>
            <w:tcW w:w="894" w:type="dxa"/>
            <w:shd w:val="clear" w:color="auto" w:fill="auto"/>
            <w:noWrap/>
            <w:vAlign w:val="center"/>
            <w:hideMark/>
          </w:tcPr>
          <w:p w14:paraId="146C3EDB"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w:t>
            </w:r>
          </w:p>
        </w:tc>
        <w:tc>
          <w:tcPr>
            <w:tcW w:w="722" w:type="dxa"/>
            <w:shd w:val="clear" w:color="auto" w:fill="auto"/>
            <w:noWrap/>
            <w:vAlign w:val="center"/>
            <w:hideMark/>
          </w:tcPr>
          <w:p w14:paraId="17B41BAC"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0.5</w:t>
            </w:r>
          </w:p>
        </w:tc>
      </w:tr>
      <w:tr w:rsidR="00CB6651" w:rsidRPr="00BF3E35" w14:paraId="6ED5A871" w14:textId="77777777" w:rsidTr="00CB6651">
        <w:trPr>
          <w:trHeight w:val="300"/>
        </w:trPr>
        <w:tc>
          <w:tcPr>
            <w:tcW w:w="4536" w:type="dxa"/>
            <w:shd w:val="clear" w:color="auto" w:fill="auto"/>
            <w:noWrap/>
            <w:vAlign w:val="center"/>
            <w:hideMark/>
          </w:tcPr>
          <w:p w14:paraId="681DAFAA" w14:textId="6A1AACB8" w:rsidR="00CB6651" w:rsidRPr="00BF3E35" w:rsidRDefault="00CB6651" w:rsidP="00C46C72">
            <w:pPr>
              <w:spacing w:after="0" w:line="240" w:lineRule="auto"/>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dist</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to</w:t>
            </w:r>
            <w:r w:rsidR="00073802">
              <w:rPr>
                <w:rFonts w:ascii="Times New Roman" w:eastAsia="Times New Roman" w:hAnsi="Times New Roman" w:cs="Times New Roman"/>
                <w:color w:val="000000"/>
                <w:sz w:val="20"/>
                <w:szCs w:val="20"/>
                <w:lang w:val="en-SG" w:eastAsia="en-SG"/>
              </w:rPr>
              <w:t xml:space="preserve"> </w:t>
            </w:r>
            <w:r w:rsidRPr="00BF3E35">
              <w:rPr>
                <w:rFonts w:ascii="Times New Roman" w:eastAsia="Times New Roman" w:hAnsi="Times New Roman" w:cs="Times New Roman"/>
                <w:color w:val="000000"/>
                <w:sz w:val="20"/>
                <w:szCs w:val="20"/>
                <w:lang w:val="en-SG" w:eastAsia="en-SG"/>
              </w:rPr>
              <w:t>river</w:t>
            </w:r>
          </w:p>
        </w:tc>
        <w:tc>
          <w:tcPr>
            <w:tcW w:w="814" w:type="dxa"/>
            <w:shd w:val="clear" w:color="auto" w:fill="auto"/>
            <w:noWrap/>
            <w:vAlign w:val="center"/>
            <w:hideMark/>
          </w:tcPr>
          <w:p w14:paraId="55E907DD"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142</w:t>
            </w:r>
          </w:p>
        </w:tc>
        <w:tc>
          <w:tcPr>
            <w:tcW w:w="794" w:type="dxa"/>
            <w:shd w:val="clear" w:color="auto" w:fill="auto"/>
            <w:noWrap/>
            <w:vAlign w:val="center"/>
            <w:hideMark/>
          </w:tcPr>
          <w:p w14:paraId="67DF93D5"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69.2</w:t>
            </w:r>
          </w:p>
        </w:tc>
        <w:tc>
          <w:tcPr>
            <w:tcW w:w="894" w:type="dxa"/>
            <w:shd w:val="clear" w:color="auto" w:fill="auto"/>
            <w:noWrap/>
            <w:vAlign w:val="center"/>
            <w:hideMark/>
          </w:tcPr>
          <w:p w14:paraId="07373776"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w:t>
            </w:r>
          </w:p>
        </w:tc>
        <w:tc>
          <w:tcPr>
            <w:tcW w:w="722" w:type="dxa"/>
            <w:shd w:val="clear" w:color="auto" w:fill="auto"/>
            <w:noWrap/>
            <w:vAlign w:val="center"/>
            <w:hideMark/>
          </w:tcPr>
          <w:p w14:paraId="6C575E9D" w14:textId="77777777" w:rsidR="00CB6651" w:rsidRPr="00BF3E35" w:rsidRDefault="00CB6651" w:rsidP="00C46C72">
            <w:pPr>
              <w:spacing w:after="0" w:line="240" w:lineRule="auto"/>
              <w:jc w:val="right"/>
              <w:rPr>
                <w:rFonts w:ascii="Times New Roman" w:eastAsia="Times New Roman" w:hAnsi="Times New Roman" w:cs="Times New Roman"/>
                <w:color w:val="000000"/>
                <w:sz w:val="20"/>
                <w:szCs w:val="20"/>
                <w:lang w:val="en-SG" w:eastAsia="en-SG"/>
              </w:rPr>
            </w:pPr>
            <w:r w:rsidRPr="00BF3E35">
              <w:rPr>
                <w:rFonts w:ascii="Times New Roman" w:eastAsia="Times New Roman" w:hAnsi="Times New Roman" w:cs="Times New Roman"/>
                <w:color w:val="000000"/>
                <w:sz w:val="20"/>
                <w:szCs w:val="20"/>
                <w:lang w:val="en-SG" w:eastAsia="en-SG"/>
              </w:rPr>
              <w:t>0.67</w:t>
            </w:r>
          </w:p>
        </w:tc>
      </w:tr>
    </w:tbl>
    <w:p w14:paraId="4C3B476B" w14:textId="60D99D09" w:rsidR="006F74C9" w:rsidRDefault="006F74C9" w:rsidP="006F74C9"/>
    <w:p w14:paraId="1C6C8EA4" w14:textId="77777777" w:rsidR="006F74C9" w:rsidRDefault="006F74C9" w:rsidP="006F74C9">
      <w:pPr>
        <w:keepNext/>
        <w:jc w:val="center"/>
      </w:pPr>
      <w:r>
        <w:rPr>
          <w:noProof/>
        </w:rPr>
        <w:drawing>
          <wp:inline distT="0" distB="0" distL="0" distR="0" wp14:anchorId="6CC71F1F" wp14:editId="44565CB8">
            <wp:extent cx="3172333" cy="3172333"/>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79864" cy="3179864"/>
                    </a:xfrm>
                    <a:prstGeom prst="rect">
                      <a:avLst/>
                    </a:prstGeom>
                  </pic:spPr>
                </pic:pic>
              </a:graphicData>
            </a:graphic>
          </wp:inline>
        </w:drawing>
      </w:r>
    </w:p>
    <w:p w14:paraId="0BA8FB8E" w14:textId="51D3194F" w:rsidR="006F74C9" w:rsidRPr="00BF3E35" w:rsidRDefault="006F74C9" w:rsidP="006F74C9">
      <w:pPr>
        <w:pStyle w:val="Caption"/>
        <w:jc w:val="center"/>
        <w:rPr>
          <w:rFonts w:ascii="Times New Roman" w:hAnsi="Times New Roman" w:cs="Times New Roman"/>
          <w:i w:val="0"/>
          <w:iCs w:val="0"/>
          <w:color w:val="auto"/>
          <w:sz w:val="22"/>
          <w:szCs w:val="22"/>
        </w:rPr>
      </w:pPr>
      <w:r w:rsidRPr="00BF3E35">
        <w:rPr>
          <w:rFonts w:ascii="Times New Roman" w:hAnsi="Times New Roman" w:cs="Times New Roman"/>
          <w:i w:val="0"/>
          <w:iCs w:val="0"/>
          <w:color w:val="auto"/>
          <w:sz w:val="22"/>
          <w:szCs w:val="22"/>
        </w:rPr>
        <w:t>Figure S</w:t>
      </w:r>
      <w:r w:rsidRPr="00BF3E35">
        <w:rPr>
          <w:rFonts w:ascii="Times New Roman" w:hAnsi="Times New Roman" w:cs="Times New Roman"/>
          <w:i w:val="0"/>
          <w:iCs w:val="0"/>
          <w:color w:val="auto"/>
          <w:sz w:val="22"/>
          <w:szCs w:val="22"/>
        </w:rPr>
        <w:fldChar w:fldCharType="begin"/>
      </w:r>
      <w:r w:rsidRPr="00BF3E35">
        <w:rPr>
          <w:rFonts w:ascii="Times New Roman" w:hAnsi="Times New Roman" w:cs="Times New Roman"/>
          <w:i w:val="0"/>
          <w:iCs w:val="0"/>
          <w:color w:val="auto"/>
          <w:sz w:val="22"/>
          <w:szCs w:val="22"/>
        </w:rPr>
        <w:instrText xml:space="preserve"> SEQ Figure_S- \* ARABIC </w:instrText>
      </w:r>
      <w:r w:rsidRPr="00BF3E35">
        <w:rPr>
          <w:rFonts w:ascii="Times New Roman" w:hAnsi="Times New Roman" w:cs="Times New Roman"/>
          <w:i w:val="0"/>
          <w:iCs w:val="0"/>
          <w:color w:val="auto"/>
          <w:sz w:val="22"/>
          <w:szCs w:val="22"/>
        </w:rPr>
        <w:fldChar w:fldCharType="separate"/>
      </w:r>
      <w:r w:rsidR="00704B35" w:rsidRPr="00BF3E35">
        <w:rPr>
          <w:rFonts w:ascii="Times New Roman" w:hAnsi="Times New Roman" w:cs="Times New Roman"/>
          <w:i w:val="0"/>
          <w:iCs w:val="0"/>
          <w:noProof/>
          <w:color w:val="auto"/>
          <w:sz w:val="22"/>
          <w:szCs w:val="22"/>
        </w:rPr>
        <w:t>1</w:t>
      </w:r>
      <w:r w:rsidRPr="00BF3E35">
        <w:rPr>
          <w:rFonts w:ascii="Times New Roman" w:hAnsi="Times New Roman" w:cs="Times New Roman"/>
          <w:i w:val="0"/>
          <w:iCs w:val="0"/>
          <w:color w:val="auto"/>
          <w:sz w:val="22"/>
          <w:szCs w:val="22"/>
        </w:rPr>
        <w:fldChar w:fldCharType="end"/>
      </w:r>
      <w:r w:rsidRPr="00BF3E35">
        <w:rPr>
          <w:rFonts w:ascii="Times New Roman" w:hAnsi="Times New Roman" w:cs="Times New Roman"/>
          <w:i w:val="0"/>
          <w:iCs w:val="0"/>
          <w:color w:val="auto"/>
          <w:sz w:val="22"/>
          <w:szCs w:val="22"/>
        </w:rPr>
        <w:t>. Correlation coefficient among variables used to model the habitat loss in Leuser Ecosystem</w:t>
      </w:r>
    </w:p>
    <w:p w14:paraId="5B81C4ED" w14:textId="77777777" w:rsidR="006F74C9" w:rsidRPr="006F74C9" w:rsidRDefault="006F74C9" w:rsidP="006F74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CE366F" w14:paraId="34960720" w14:textId="77777777" w:rsidTr="007871E1">
        <w:tc>
          <w:tcPr>
            <w:tcW w:w="4680" w:type="dxa"/>
          </w:tcPr>
          <w:p w14:paraId="39971061" w14:textId="77777777" w:rsidR="00CE366F" w:rsidRDefault="00CE366F" w:rsidP="007871E1">
            <w:r>
              <w:rPr>
                <w:noProof/>
              </w:rPr>
              <w:lastRenderedPageBreak/>
              <w:drawing>
                <wp:inline distT="0" distB="0" distL="0" distR="0" wp14:anchorId="6A03EAF2" wp14:editId="638B0EA8">
                  <wp:extent cx="2880000" cy="288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tc>
        <w:tc>
          <w:tcPr>
            <w:tcW w:w="4680" w:type="dxa"/>
          </w:tcPr>
          <w:p w14:paraId="735C3CD1" w14:textId="77777777" w:rsidR="00CE366F" w:rsidRDefault="00CE366F" w:rsidP="007871E1">
            <w:r>
              <w:rPr>
                <w:noProof/>
              </w:rPr>
              <w:drawing>
                <wp:inline distT="0" distB="0" distL="0" distR="0" wp14:anchorId="01936DB5" wp14:editId="64855938">
                  <wp:extent cx="2880000" cy="288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tc>
      </w:tr>
      <w:tr w:rsidR="00CE366F" w14:paraId="6EC5A819" w14:textId="77777777" w:rsidTr="007871E1">
        <w:tc>
          <w:tcPr>
            <w:tcW w:w="4680" w:type="dxa"/>
          </w:tcPr>
          <w:p w14:paraId="551E9559" w14:textId="47EE7C4F" w:rsidR="00CE366F" w:rsidRDefault="00CE366F" w:rsidP="00112642">
            <w:pPr>
              <w:keepNext/>
            </w:pPr>
            <w:r>
              <w:rPr>
                <w:noProof/>
              </w:rPr>
              <w:drawing>
                <wp:inline distT="0" distB="0" distL="0" distR="0" wp14:anchorId="468C6277" wp14:editId="5C3FB58B">
                  <wp:extent cx="2880000" cy="288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tc>
        <w:tc>
          <w:tcPr>
            <w:tcW w:w="4680" w:type="dxa"/>
          </w:tcPr>
          <w:p w14:paraId="11546C26" w14:textId="77777777" w:rsidR="00CE366F" w:rsidRDefault="00CE366F" w:rsidP="007871E1">
            <w:r>
              <w:rPr>
                <w:noProof/>
              </w:rPr>
              <w:drawing>
                <wp:inline distT="0" distB="0" distL="0" distR="0" wp14:anchorId="27E08ED6" wp14:editId="790C39AF">
                  <wp:extent cx="2880000" cy="288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tc>
      </w:tr>
      <w:tr w:rsidR="00CE366F" w:rsidRPr="00821E17" w14:paraId="60850454" w14:textId="77777777" w:rsidTr="007871E1">
        <w:tc>
          <w:tcPr>
            <w:tcW w:w="9360" w:type="dxa"/>
            <w:gridSpan w:val="2"/>
          </w:tcPr>
          <w:p w14:paraId="2323C3E2" w14:textId="5BA3D9DB" w:rsidR="00112642" w:rsidRPr="00BF3E35" w:rsidRDefault="00112642" w:rsidP="00112642">
            <w:pPr>
              <w:pStyle w:val="Caption"/>
              <w:rPr>
                <w:rFonts w:ascii="Times New Roman" w:hAnsi="Times New Roman" w:cs="Times New Roman"/>
                <w:i w:val="0"/>
                <w:iCs w:val="0"/>
                <w:color w:val="auto"/>
                <w:sz w:val="22"/>
                <w:szCs w:val="22"/>
              </w:rPr>
            </w:pPr>
            <w:r w:rsidRPr="00BF3E35">
              <w:rPr>
                <w:rFonts w:ascii="Times New Roman" w:hAnsi="Times New Roman" w:cs="Times New Roman"/>
                <w:i w:val="0"/>
                <w:iCs w:val="0"/>
                <w:color w:val="auto"/>
                <w:sz w:val="22"/>
                <w:szCs w:val="22"/>
              </w:rPr>
              <w:t>Figure S</w:t>
            </w:r>
            <w:r w:rsidRPr="00BF3E35">
              <w:rPr>
                <w:rFonts w:ascii="Times New Roman" w:hAnsi="Times New Roman" w:cs="Times New Roman"/>
                <w:i w:val="0"/>
                <w:iCs w:val="0"/>
                <w:color w:val="auto"/>
                <w:sz w:val="22"/>
                <w:szCs w:val="22"/>
              </w:rPr>
              <w:fldChar w:fldCharType="begin"/>
            </w:r>
            <w:r w:rsidRPr="00BF3E35">
              <w:rPr>
                <w:rFonts w:ascii="Times New Roman" w:hAnsi="Times New Roman" w:cs="Times New Roman"/>
                <w:i w:val="0"/>
                <w:iCs w:val="0"/>
                <w:color w:val="auto"/>
                <w:sz w:val="22"/>
                <w:szCs w:val="22"/>
              </w:rPr>
              <w:instrText xml:space="preserve"> SEQ Figure_S- \* ARABIC </w:instrText>
            </w:r>
            <w:r w:rsidRPr="00BF3E35">
              <w:rPr>
                <w:rFonts w:ascii="Times New Roman" w:hAnsi="Times New Roman" w:cs="Times New Roman"/>
                <w:i w:val="0"/>
                <w:iCs w:val="0"/>
                <w:color w:val="auto"/>
                <w:sz w:val="22"/>
                <w:szCs w:val="22"/>
              </w:rPr>
              <w:fldChar w:fldCharType="separate"/>
            </w:r>
            <w:r w:rsidR="00704B35" w:rsidRPr="00BF3E35">
              <w:rPr>
                <w:rFonts w:ascii="Times New Roman" w:hAnsi="Times New Roman" w:cs="Times New Roman"/>
                <w:i w:val="0"/>
                <w:iCs w:val="0"/>
                <w:noProof/>
                <w:color w:val="auto"/>
                <w:sz w:val="22"/>
                <w:szCs w:val="22"/>
              </w:rPr>
              <w:t>2</w:t>
            </w:r>
            <w:r w:rsidRPr="00BF3E35">
              <w:rPr>
                <w:rFonts w:ascii="Times New Roman" w:hAnsi="Times New Roman" w:cs="Times New Roman"/>
                <w:i w:val="0"/>
                <w:iCs w:val="0"/>
                <w:color w:val="auto"/>
                <w:sz w:val="22"/>
                <w:szCs w:val="22"/>
              </w:rPr>
              <w:fldChar w:fldCharType="end"/>
            </w:r>
            <w:r w:rsidRPr="00BF3E35">
              <w:rPr>
                <w:rFonts w:ascii="Times New Roman" w:hAnsi="Times New Roman" w:cs="Times New Roman"/>
                <w:i w:val="0"/>
                <w:iCs w:val="0"/>
                <w:color w:val="auto"/>
                <w:sz w:val="22"/>
                <w:szCs w:val="22"/>
              </w:rPr>
              <w:t>. Correlation plot among variables using 2009 (top) and 2019 (bottom) data with 17 km grid cell (left), and 8.5 km grid cell (right)</w:t>
            </w:r>
          </w:p>
          <w:p w14:paraId="26D1FA88" w14:textId="77777777" w:rsidR="00CE366F" w:rsidRPr="00821E17" w:rsidRDefault="00CE366F" w:rsidP="007871E1">
            <w:pPr>
              <w:rPr>
                <w:noProof/>
              </w:rPr>
            </w:pPr>
          </w:p>
        </w:tc>
      </w:tr>
    </w:tbl>
    <w:p w14:paraId="323BE451" w14:textId="77777777" w:rsidR="00E30CC6" w:rsidRDefault="00E30CC6" w:rsidP="00E30CC6">
      <w:pPr>
        <w:keepNext/>
        <w:spacing w:after="0"/>
      </w:pPr>
      <w:r>
        <w:rPr>
          <w:noProof/>
        </w:rPr>
        <w:lastRenderedPageBreak/>
        <w:drawing>
          <wp:inline distT="0" distB="0" distL="0" distR="0" wp14:anchorId="1BEB5EF9" wp14:editId="17A89F06">
            <wp:extent cx="5943345" cy="261175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345" cy="2611755"/>
                    </a:xfrm>
                    <a:prstGeom prst="rect">
                      <a:avLst/>
                    </a:prstGeom>
                  </pic:spPr>
                </pic:pic>
              </a:graphicData>
            </a:graphic>
          </wp:inline>
        </w:drawing>
      </w:r>
    </w:p>
    <w:p w14:paraId="0CCD432F" w14:textId="5761051E" w:rsidR="00CE366F" w:rsidRPr="00BF3E35" w:rsidRDefault="00E30CC6" w:rsidP="00E30CC6">
      <w:pPr>
        <w:pStyle w:val="Caption"/>
        <w:spacing w:after="0"/>
        <w:rPr>
          <w:rFonts w:ascii="Times New Roman" w:hAnsi="Times New Roman" w:cs="Times New Roman"/>
          <w:i w:val="0"/>
          <w:iCs w:val="0"/>
          <w:color w:val="auto"/>
          <w:sz w:val="22"/>
          <w:szCs w:val="22"/>
        </w:rPr>
      </w:pPr>
      <w:r w:rsidRPr="00BF3E35">
        <w:rPr>
          <w:rFonts w:ascii="Times New Roman" w:hAnsi="Times New Roman" w:cs="Times New Roman"/>
          <w:i w:val="0"/>
          <w:iCs w:val="0"/>
          <w:color w:val="auto"/>
          <w:sz w:val="22"/>
          <w:szCs w:val="22"/>
        </w:rPr>
        <w:t xml:space="preserve">Figure S3. Possible </w:t>
      </w:r>
      <w:r w:rsidR="00704B35" w:rsidRPr="00BF3E35">
        <w:rPr>
          <w:rFonts w:ascii="Times New Roman" w:hAnsi="Times New Roman" w:cs="Times New Roman"/>
          <w:i w:val="0"/>
          <w:iCs w:val="0"/>
          <w:color w:val="auto"/>
          <w:sz w:val="22"/>
          <w:szCs w:val="22"/>
        </w:rPr>
        <w:t>scenarios</w:t>
      </w:r>
      <w:r w:rsidRPr="00BF3E35">
        <w:rPr>
          <w:rFonts w:ascii="Times New Roman" w:hAnsi="Times New Roman" w:cs="Times New Roman"/>
          <w:i w:val="0"/>
          <w:iCs w:val="0"/>
          <w:color w:val="auto"/>
          <w:sz w:val="22"/>
          <w:szCs w:val="22"/>
        </w:rPr>
        <w:t xml:space="preserve"> of forest habitats in Northern Sumatra landscape to be used to pr</w:t>
      </w:r>
      <w:r w:rsidR="00112642" w:rsidRPr="00BF3E35">
        <w:rPr>
          <w:rFonts w:ascii="Times New Roman" w:hAnsi="Times New Roman" w:cs="Times New Roman"/>
          <w:i w:val="0"/>
          <w:iCs w:val="0"/>
          <w:color w:val="auto"/>
          <w:sz w:val="22"/>
          <w:szCs w:val="22"/>
        </w:rPr>
        <w:t>oject</w:t>
      </w:r>
      <w:r w:rsidRPr="00BF3E35">
        <w:rPr>
          <w:rFonts w:ascii="Times New Roman" w:hAnsi="Times New Roman" w:cs="Times New Roman"/>
          <w:i w:val="0"/>
          <w:iCs w:val="0"/>
          <w:color w:val="auto"/>
          <w:sz w:val="22"/>
          <w:szCs w:val="22"/>
        </w:rPr>
        <w:t xml:space="preserve"> the </w:t>
      </w:r>
      <w:r w:rsidR="00487EC2" w:rsidRPr="00BF3E35">
        <w:rPr>
          <w:rFonts w:ascii="Times New Roman" w:hAnsi="Times New Roman" w:cs="Times New Roman"/>
          <w:i w:val="0"/>
          <w:iCs w:val="0"/>
          <w:color w:val="auto"/>
          <w:sz w:val="22"/>
          <w:szCs w:val="22"/>
        </w:rPr>
        <w:t xml:space="preserve">future </w:t>
      </w:r>
      <w:r w:rsidRPr="00BF3E35">
        <w:rPr>
          <w:rFonts w:ascii="Times New Roman" w:hAnsi="Times New Roman" w:cs="Times New Roman"/>
          <w:i w:val="0"/>
          <w:iCs w:val="0"/>
          <w:color w:val="auto"/>
          <w:sz w:val="22"/>
          <w:szCs w:val="22"/>
        </w:rPr>
        <w:t xml:space="preserve">occupancy of Sumatran elephant and Sumatran tiger. </w:t>
      </w:r>
      <w:r w:rsidR="00704B35" w:rsidRPr="00BF3E35">
        <w:rPr>
          <w:rFonts w:ascii="Times New Roman" w:hAnsi="Times New Roman" w:cs="Times New Roman"/>
          <w:i w:val="0"/>
          <w:iCs w:val="0"/>
          <w:color w:val="auto"/>
          <w:sz w:val="22"/>
          <w:szCs w:val="22"/>
        </w:rPr>
        <w:t>Scenario</w:t>
      </w:r>
      <w:r w:rsidRPr="00BF3E35">
        <w:rPr>
          <w:rFonts w:ascii="Times New Roman" w:hAnsi="Times New Roman" w:cs="Times New Roman"/>
          <w:i w:val="0"/>
          <w:iCs w:val="0"/>
          <w:color w:val="auto"/>
          <w:sz w:val="22"/>
          <w:szCs w:val="22"/>
        </w:rPr>
        <w:t xml:space="preserve"> 1-5 were developed using habitat loss modelling </w:t>
      </w:r>
      <w:r w:rsidR="00112642" w:rsidRPr="00BF3E35">
        <w:rPr>
          <w:rFonts w:ascii="Times New Roman" w:hAnsi="Times New Roman" w:cs="Times New Roman"/>
          <w:i w:val="0"/>
          <w:iCs w:val="0"/>
          <w:color w:val="auto"/>
          <w:sz w:val="22"/>
          <w:szCs w:val="22"/>
        </w:rPr>
        <w:t>from</w:t>
      </w:r>
      <w:r w:rsidRPr="00BF3E35">
        <w:rPr>
          <w:rFonts w:ascii="Times New Roman" w:hAnsi="Times New Roman" w:cs="Times New Roman"/>
          <w:i w:val="0"/>
          <w:iCs w:val="0"/>
          <w:color w:val="auto"/>
          <w:sz w:val="22"/>
          <w:szCs w:val="22"/>
        </w:rPr>
        <w:t xml:space="preserve"> this study and </w:t>
      </w:r>
      <w:r w:rsidR="00704B35" w:rsidRPr="00BF3E35">
        <w:rPr>
          <w:rFonts w:ascii="Times New Roman" w:hAnsi="Times New Roman" w:cs="Times New Roman"/>
          <w:i w:val="0"/>
          <w:iCs w:val="0"/>
          <w:color w:val="auto"/>
          <w:sz w:val="22"/>
          <w:szCs w:val="22"/>
        </w:rPr>
        <w:t>scenario</w:t>
      </w:r>
      <w:r w:rsidRPr="00BF3E35">
        <w:rPr>
          <w:rFonts w:ascii="Times New Roman" w:hAnsi="Times New Roman" w:cs="Times New Roman"/>
          <w:i w:val="0"/>
          <w:iCs w:val="0"/>
          <w:color w:val="auto"/>
          <w:sz w:val="22"/>
          <w:szCs w:val="22"/>
        </w:rPr>
        <w:t xml:space="preserve"> 6-10 were developed from reforestation potential areas based on </w:t>
      </w:r>
      <w:r w:rsidR="00704B35" w:rsidRPr="00BF3E35">
        <w:rPr>
          <w:rFonts w:ascii="Times New Roman" w:hAnsi="Times New Roman" w:cs="Times New Roman"/>
          <w:i w:val="0"/>
          <w:iCs w:val="0"/>
          <w:color w:val="auto"/>
          <w:sz w:val="22"/>
          <w:szCs w:val="22"/>
        </w:rPr>
        <w:t>Rayden</w:t>
      </w:r>
      <w:r w:rsidR="00073802">
        <w:rPr>
          <w:rFonts w:ascii="Times New Roman" w:hAnsi="Times New Roman" w:cs="Times New Roman"/>
          <w:i w:val="0"/>
          <w:iCs w:val="0"/>
          <w:color w:val="auto"/>
          <w:sz w:val="22"/>
          <w:szCs w:val="22"/>
        </w:rPr>
        <w:t xml:space="preserve"> </w:t>
      </w:r>
      <w:r w:rsidR="00704B35" w:rsidRPr="00BF3E35">
        <w:rPr>
          <w:rFonts w:ascii="Times New Roman" w:hAnsi="Times New Roman" w:cs="Times New Roman"/>
          <w:i w:val="0"/>
          <w:iCs w:val="0"/>
          <w:color w:val="auto"/>
          <w:sz w:val="22"/>
          <w:szCs w:val="22"/>
        </w:rPr>
        <w:t>et al., (</w:t>
      </w:r>
      <w:r w:rsidR="00073802">
        <w:rPr>
          <w:rFonts w:ascii="Times New Roman" w:hAnsi="Times New Roman" w:cs="Times New Roman"/>
          <w:i w:val="0"/>
          <w:iCs w:val="0"/>
          <w:color w:val="auto"/>
          <w:sz w:val="22"/>
          <w:szCs w:val="22"/>
        </w:rPr>
        <w:t>2023</w:t>
      </w:r>
      <w:r w:rsidR="00704B35" w:rsidRPr="00BF3E35">
        <w:rPr>
          <w:rFonts w:ascii="Times New Roman" w:hAnsi="Times New Roman" w:cs="Times New Roman"/>
          <w:i w:val="0"/>
          <w:iCs w:val="0"/>
          <w:color w:val="auto"/>
          <w:sz w:val="22"/>
          <w:szCs w:val="22"/>
        </w:rPr>
        <w:t xml:space="preserve">) </w:t>
      </w:r>
      <w:r w:rsidRPr="00BF3E35">
        <w:rPr>
          <w:rFonts w:ascii="Times New Roman" w:hAnsi="Times New Roman" w:cs="Times New Roman"/>
          <w:i w:val="0"/>
          <w:iCs w:val="0"/>
          <w:color w:val="auto"/>
          <w:sz w:val="22"/>
          <w:szCs w:val="22"/>
        </w:rPr>
        <w:t>study.</w:t>
      </w:r>
    </w:p>
    <w:p w14:paraId="41482B2B" w14:textId="77777777" w:rsidR="00E30CC6" w:rsidRPr="00E30CC6" w:rsidRDefault="00E30CC6" w:rsidP="00E30CC6"/>
    <w:p w14:paraId="0FEBD3CD" w14:textId="77777777" w:rsidR="008467BC" w:rsidRDefault="008467BC" w:rsidP="00170095">
      <w:pPr>
        <w:keepNext/>
        <w:spacing w:after="0"/>
        <w:jc w:val="center"/>
      </w:pPr>
      <w:r>
        <w:rPr>
          <w:noProof/>
        </w:rPr>
        <w:drawing>
          <wp:inline distT="0" distB="0" distL="0" distR="0" wp14:anchorId="42DA50D0" wp14:editId="2B934451">
            <wp:extent cx="5943600" cy="2971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14:paraId="12014BDF" w14:textId="3D295639" w:rsidR="008467BC" w:rsidRPr="00BF3E35" w:rsidRDefault="008467BC" w:rsidP="00170095">
      <w:pPr>
        <w:pStyle w:val="Caption"/>
        <w:spacing w:after="0"/>
        <w:rPr>
          <w:rFonts w:ascii="Times New Roman" w:hAnsi="Times New Roman" w:cs="Times New Roman"/>
          <w:i w:val="0"/>
          <w:iCs w:val="0"/>
          <w:color w:val="auto"/>
          <w:sz w:val="22"/>
          <w:szCs w:val="22"/>
        </w:rPr>
      </w:pPr>
      <w:r w:rsidRPr="00BF3E35">
        <w:rPr>
          <w:rFonts w:ascii="Times New Roman" w:hAnsi="Times New Roman" w:cs="Times New Roman"/>
          <w:i w:val="0"/>
          <w:iCs w:val="0"/>
          <w:color w:val="auto"/>
          <w:sz w:val="22"/>
          <w:szCs w:val="22"/>
        </w:rPr>
        <w:t>Figure S</w:t>
      </w:r>
      <w:r w:rsidR="00D15D25" w:rsidRPr="00BF3E35">
        <w:rPr>
          <w:rFonts w:ascii="Times New Roman" w:hAnsi="Times New Roman" w:cs="Times New Roman"/>
          <w:i w:val="0"/>
          <w:iCs w:val="0"/>
          <w:color w:val="auto"/>
          <w:sz w:val="22"/>
          <w:szCs w:val="22"/>
        </w:rPr>
        <w:t>4</w:t>
      </w:r>
      <w:r w:rsidRPr="00BF3E35">
        <w:rPr>
          <w:rFonts w:ascii="Times New Roman" w:hAnsi="Times New Roman" w:cs="Times New Roman"/>
          <w:i w:val="0"/>
          <w:iCs w:val="0"/>
          <w:color w:val="auto"/>
          <w:sz w:val="22"/>
          <w:szCs w:val="22"/>
        </w:rPr>
        <w:t>. Correlation between terrain ruggedness index (a) and Distance to forest edge in 2000 with the probability of habitat loss based on top-ranked habitat loss model</w:t>
      </w:r>
    </w:p>
    <w:p w14:paraId="5CBDA2F7" w14:textId="6338A7F5" w:rsidR="00170095" w:rsidRDefault="00170095" w:rsidP="00170095">
      <w:pPr>
        <w:keepNext/>
        <w:spacing w:after="0"/>
        <w:jc w:val="center"/>
      </w:pPr>
    </w:p>
    <w:p w14:paraId="0F904C1B" w14:textId="2DC46314" w:rsidR="00A15C70" w:rsidRDefault="00A15C70" w:rsidP="00A15C70">
      <w:pPr>
        <w:keepNext/>
        <w:spacing w:after="0"/>
      </w:pPr>
    </w:p>
    <w:p w14:paraId="10986BEA" w14:textId="77777777" w:rsidR="00A15C70" w:rsidRDefault="00A15C70">
      <w:pPr>
        <w:rPr>
          <w:rFonts w:ascii="Times New Roman" w:hAnsi="Times New Roman" w:cs="Times New Roman"/>
          <w:b/>
          <w:bCs/>
          <w:sz w:val="24"/>
          <w:szCs w:val="24"/>
        </w:rPr>
      </w:pPr>
      <w:r>
        <w:rPr>
          <w:rFonts w:ascii="Times New Roman" w:hAnsi="Times New Roman" w:cs="Times New Roman"/>
          <w:b/>
          <w:bCs/>
          <w:sz w:val="24"/>
          <w:szCs w:val="24"/>
        </w:rPr>
        <w:br w:type="page"/>
      </w:r>
    </w:p>
    <w:p w14:paraId="6219C3BD" w14:textId="0251A0F4" w:rsidR="00A15C70" w:rsidRDefault="00A15C70" w:rsidP="00A15C70">
      <w:pPr>
        <w:keepNext/>
        <w:spacing w:before="120" w:after="240" w:line="276" w:lineRule="auto"/>
        <w:rPr>
          <w:rFonts w:ascii="Times New Roman" w:hAnsi="Times New Roman" w:cs="Times New Roman"/>
          <w:b/>
          <w:bCs/>
          <w:sz w:val="24"/>
          <w:szCs w:val="24"/>
        </w:rPr>
      </w:pPr>
      <w:r w:rsidRPr="00A15C70">
        <w:rPr>
          <w:rFonts w:ascii="Times New Roman" w:hAnsi="Times New Roman" w:cs="Times New Roman"/>
          <w:b/>
          <w:bCs/>
          <w:sz w:val="24"/>
          <w:szCs w:val="24"/>
        </w:rPr>
        <w:lastRenderedPageBreak/>
        <w:t>References list</w:t>
      </w:r>
    </w:p>
    <w:p w14:paraId="3E6E63FE" w14:textId="05D9B198" w:rsidR="00A15C70" w:rsidRPr="00A15C70" w:rsidRDefault="00A15C70" w:rsidP="00A15C70">
      <w:pPr>
        <w:widowControl w:val="0"/>
        <w:autoSpaceDE w:val="0"/>
        <w:autoSpaceDN w:val="0"/>
        <w:adjustRightInd w:val="0"/>
        <w:spacing w:before="120" w:after="240" w:line="276" w:lineRule="auto"/>
        <w:ind w:left="480" w:hanging="480"/>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Pr="00A15C70">
        <w:rPr>
          <w:rFonts w:ascii="Times New Roman" w:hAnsi="Times New Roman" w:cs="Times New Roman"/>
          <w:smallCaps/>
          <w:noProof/>
          <w:sz w:val="24"/>
          <w:szCs w:val="24"/>
        </w:rPr>
        <w:t>Cushman, S.A.</w:t>
      </w:r>
      <w:r w:rsidRPr="00A15C70">
        <w:rPr>
          <w:rFonts w:ascii="Times New Roman" w:hAnsi="Times New Roman" w:cs="Times New Roman"/>
          <w:noProof/>
          <w:sz w:val="24"/>
          <w:szCs w:val="24"/>
        </w:rPr>
        <w:t xml:space="preserve">, </w:t>
      </w:r>
      <w:r w:rsidRPr="00A15C70">
        <w:rPr>
          <w:rFonts w:ascii="Times New Roman" w:hAnsi="Times New Roman" w:cs="Times New Roman"/>
          <w:smallCaps/>
          <w:noProof/>
          <w:sz w:val="24"/>
          <w:szCs w:val="24"/>
        </w:rPr>
        <w:t>Macdonald, E.A.</w:t>
      </w:r>
      <w:r w:rsidRPr="00A15C70">
        <w:rPr>
          <w:rFonts w:ascii="Times New Roman" w:hAnsi="Times New Roman" w:cs="Times New Roman"/>
          <w:noProof/>
          <w:sz w:val="24"/>
          <w:szCs w:val="24"/>
        </w:rPr>
        <w:t xml:space="preserve">, </w:t>
      </w:r>
      <w:r w:rsidRPr="00A15C70">
        <w:rPr>
          <w:rFonts w:ascii="Times New Roman" w:hAnsi="Times New Roman" w:cs="Times New Roman"/>
          <w:smallCaps/>
          <w:noProof/>
          <w:sz w:val="24"/>
          <w:szCs w:val="24"/>
        </w:rPr>
        <w:t>Landguth, E.L.</w:t>
      </w:r>
      <w:r w:rsidRPr="00A15C70">
        <w:rPr>
          <w:rFonts w:ascii="Times New Roman" w:hAnsi="Times New Roman" w:cs="Times New Roman"/>
          <w:noProof/>
          <w:sz w:val="24"/>
          <w:szCs w:val="24"/>
        </w:rPr>
        <w:t xml:space="preserve">, </w:t>
      </w:r>
      <w:r w:rsidRPr="00A15C70">
        <w:rPr>
          <w:rFonts w:ascii="Times New Roman" w:hAnsi="Times New Roman" w:cs="Times New Roman"/>
          <w:smallCaps/>
          <w:noProof/>
          <w:sz w:val="24"/>
          <w:szCs w:val="24"/>
        </w:rPr>
        <w:t>Malhi, Y.</w:t>
      </w:r>
      <w:r w:rsidRPr="00A15C70">
        <w:rPr>
          <w:rFonts w:ascii="Times New Roman" w:hAnsi="Times New Roman" w:cs="Times New Roman"/>
          <w:noProof/>
          <w:sz w:val="24"/>
          <w:szCs w:val="24"/>
        </w:rPr>
        <w:t xml:space="preserve"> &amp; </w:t>
      </w:r>
      <w:r w:rsidRPr="00A15C70">
        <w:rPr>
          <w:rFonts w:ascii="Times New Roman" w:hAnsi="Times New Roman" w:cs="Times New Roman"/>
          <w:smallCaps/>
          <w:noProof/>
          <w:sz w:val="24"/>
          <w:szCs w:val="24"/>
        </w:rPr>
        <w:t>Macdonald, D.W.</w:t>
      </w:r>
      <w:r w:rsidRPr="00A15C70">
        <w:rPr>
          <w:rFonts w:ascii="Times New Roman" w:hAnsi="Times New Roman" w:cs="Times New Roman"/>
          <w:noProof/>
          <w:sz w:val="24"/>
          <w:szCs w:val="24"/>
        </w:rPr>
        <w:t xml:space="preserve"> (2017) Multiple-scale prediction of forest loss risk across Borneo. </w:t>
      </w:r>
      <w:r w:rsidRPr="00A15C70">
        <w:rPr>
          <w:rFonts w:ascii="Times New Roman" w:hAnsi="Times New Roman" w:cs="Times New Roman"/>
          <w:i/>
          <w:iCs/>
          <w:noProof/>
          <w:sz w:val="24"/>
          <w:szCs w:val="24"/>
        </w:rPr>
        <w:t>Landscape Ecology</w:t>
      </w:r>
      <w:r w:rsidRPr="00A15C70">
        <w:rPr>
          <w:rFonts w:ascii="Times New Roman" w:hAnsi="Times New Roman" w:cs="Times New Roman"/>
          <w:noProof/>
          <w:sz w:val="24"/>
          <w:szCs w:val="24"/>
        </w:rPr>
        <w:t>, 32, 1581–1598.</w:t>
      </w:r>
    </w:p>
    <w:p w14:paraId="2BFED1D4" w14:textId="77777777" w:rsidR="00A15C70" w:rsidRPr="00A15C70" w:rsidRDefault="00A15C70" w:rsidP="00A15C70">
      <w:pPr>
        <w:widowControl w:val="0"/>
        <w:autoSpaceDE w:val="0"/>
        <w:autoSpaceDN w:val="0"/>
        <w:adjustRightInd w:val="0"/>
        <w:spacing w:before="120" w:after="240" w:line="276" w:lineRule="auto"/>
        <w:ind w:left="480" w:hanging="480"/>
        <w:rPr>
          <w:rFonts w:ascii="Times New Roman" w:hAnsi="Times New Roman" w:cs="Times New Roman"/>
          <w:noProof/>
          <w:sz w:val="24"/>
          <w:szCs w:val="24"/>
        </w:rPr>
      </w:pPr>
      <w:r w:rsidRPr="00A15C70">
        <w:rPr>
          <w:rFonts w:ascii="Times New Roman" w:hAnsi="Times New Roman" w:cs="Times New Roman"/>
          <w:smallCaps/>
          <w:noProof/>
          <w:sz w:val="24"/>
          <w:szCs w:val="24"/>
        </w:rPr>
        <w:t>Danylo, O., Pirker, J., Lemoine, G., Ceccherini, G., See, L., McCallum, I., et al.</w:t>
      </w:r>
      <w:r w:rsidRPr="00A15C70">
        <w:rPr>
          <w:rFonts w:ascii="Times New Roman" w:hAnsi="Times New Roman" w:cs="Times New Roman"/>
          <w:noProof/>
          <w:sz w:val="24"/>
          <w:szCs w:val="24"/>
        </w:rPr>
        <w:t xml:space="preserve"> (2021) A map of the extent and year of detection of oil palm plantations in Indonesia, Malaysia and Thailand. </w:t>
      </w:r>
      <w:r w:rsidRPr="00A15C70">
        <w:rPr>
          <w:rFonts w:ascii="Times New Roman" w:hAnsi="Times New Roman" w:cs="Times New Roman"/>
          <w:i/>
          <w:iCs/>
          <w:noProof/>
          <w:sz w:val="24"/>
          <w:szCs w:val="24"/>
        </w:rPr>
        <w:t>Scientific Data</w:t>
      </w:r>
      <w:r w:rsidRPr="00A15C70">
        <w:rPr>
          <w:rFonts w:ascii="Times New Roman" w:hAnsi="Times New Roman" w:cs="Times New Roman"/>
          <w:noProof/>
          <w:sz w:val="24"/>
          <w:szCs w:val="24"/>
        </w:rPr>
        <w:t>, 8, 4–11.</w:t>
      </w:r>
    </w:p>
    <w:p w14:paraId="69C48196" w14:textId="77777777" w:rsidR="00A15C70" w:rsidRPr="00A15C70" w:rsidRDefault="00A15C70" w:rsidP="00A15C70">
      <w:pPr>
        <w:widowControl w:val="0"/>
        <w:autoSpaceDE w:val="0"/>
        <w:autoSpaceDN w:val="0"/>
        <w:adjustRightInd w:val="0"/>
        <w:spacing w:before="120" w:after="240" w:line="276" w:lineRule="auto"/>
        <w:ind w:left="480" w:hanging="480"/>
        <w:rPr>
          <w:rFonts w:ascii="Times New Roman" w:hAnsi="Times New Roman" w:cs="Times New Roman"/>
          <w:noProof/>
          <w:sz w:val="24"/>
          <w:szCs w:val="24"/>
        </w:rPr>
      </w:pPr>
      <w:r w:rsidRPr="00A15C70">
        <w:rPr>
          <w:rFonts w:ascii="Times New Roman" w:hAnsi="Times New Roman" w:cs="Times New Roman"/>
          <w:smallCaps/>
          <w:noProof/>
          <w:sz w:val="24"/>
          <w:szCs w:val="24"/>
        </w:rPr>
        <w:t>Gaveau, D.L.A.</w:t>
      </w:r>
      <w:r w:rsidRPr="00A15C70">
        <w:rPr>
          <w:rFonts w:ascii="Times New Roman" w:hAnsi="Times New Roman" w:cs="Times New Roman"/>
          <w:noProof/>
          <w:sz w:val="24"/>
          <w:szCs w:val="24"/>
        </w:rPr>
        <w:t xml:space="preserve">, </w:t>
      </w:r>
      <w:r w:rsidRPr="00A15C70">
        <w:rPr>
          <w:rFonts w:ascii="Times New Roman" w:hAnsi="Times New Roman" w:cs="Times New Roman"/>
          <w:smallCaps/>
          <w:noProof/>
          <w:sz w:val="24"/>
          <w:szCs w:val="24"/>
        </w:rPr>
        <w:t>Wich, S.</w:t>
      </w:r>
      <w:r w:rsidRPr="00A15C70">
        <w:rPr>
          <w:rFonts w:ascii="Times New Roman" w:hAnsi="Times New Roman" w:cs="Times New Roman"/>
          <w:noProof/>
          <w:sz w:val="24"/>
          <w:szCs w:val="24"/>
        </w:rPr>
        <w:t xml:space="preserve">, </w:t>
      </w:r>
      <w:r w:rsidRPr="00A15C70">
        <w:rPr>
          <w:rFonts w:ascii="Times New Roman" w:hAnsi="Times New Roman" w:cs="Times New Roman"/>
          <w:smallCaps/>
          <w:noProof/>
          <w:sz w:val="24"/>
          <w:szCs w:val="24"/>
        </w:rPr>
        <w:t>Epting, J.</w:t>
      </w:r>
      <w:r w:rsidRPr="00A15C70">
        <w:rPr>
          <w:rFonts w:ascii="Times New Roman" w:hAnsi="Times New Roman" w:cs="Times New Roman"/>
          <w:noProof/>
          <w:sz w:val="24"/>
          <w:szCs w:val="24"/>
        </w:rPr>
        <w:t xml:space="preserve">, </w:t>
      </w:r>
      <w:r w:rsidRPr="00A15C70">
        <w:rPr>
          <w:rFonts w:ascii="Times New Roman" w:hAnsi="Times New Roman" w:cs="Times New Roman"/>
          <w:smallCaps/>
          <w:noProof/>
          <w:sz w:val="24"/>
          <w:szCs w:val="24"/>
        </w:rPr>
        <w:t>Juhn, D.</w:t>
      </w:r>
      <w:r w:rsidRPr="00A15C70">
        <w:rPr>
          <w:rFonts w:ascii="Times New Roman" w:hAnsi="Times New Roman" w:cs="Times New Roman"/>
          <w:noProof/>
          <w:sz w:val="24"/>
          <w:szCs w:val="24"/>
        </w:rPr>
        <w:t xml:space="preserve">, </w:t>
      </w:r>
      <w:r w:rsidRPr="00A15C70">
        <w:rPr>
          <w:rFonts w:ascii="Times New Roman" w:hAnsi="Times New Roman" w:cs="Times New Roman"/>
          <w:smallCaps/>
          <w:noProof/>
          <w:sz w:val="24"/>
          <w:szCs w:val="24"/>
        </w:rPr>
        <w:t>Kanninen, M.</w:t>
      </w:r>
      <w:r w:rsidRPr="00A15C70">
        <w:rPr>
          <w:rFonts w:ascii="Times New Roman" w:hAnsi="Times New Roman" w:cs="Times New Roman"/>
          <w:noProof/>
          <w:sz w:val="24"/>
          <w:szCs w:val="24"/>
        </w:rPr>
        <w:t xml:space="preserve"> &amp; </w:t>
      </w:r>
      <w:r w:rsidRPr="00A15C70">
        <w:rPr>
          <w:rFonts w:ascii="Times New Roman" w:hAnsi="Times New Roman" w:cs="Times New Roman"/>
          <w:smallCaps/>
          <w:noProof/>
          <w:sz w:val="24"/>
          <w:szCs w:val="24"/>
        </w:rPr>
        <w:t>Leader-Williams, N.</w:t>
      </w:r>
      <w:r w:rsidRPr="00A15C70">
        <w:rPr>
          <w:rFonts w:ascii="Times New Roman" w:hAnsi="Times New Roman" w:cs="Times New Roman"/>
          <w:noProof/>
          <w:sz w:val="24"/>
          <w:szCs w:val="24"/>
        </w:rPr>
        <w:t xml:space="preserve"> (2009) The future of forests and orangutans (Pongo abelii) in Sumatra: Predicting impacts of oil palm plantations, road construction, and mechanisms for reducing carbon emissions from deforestation. </w:t>
      </w:r>
      <w:r w:rsidRPr="00A15C70">
        <w:rPr>
          <w:rFonts w:ascii="Times New Roman" w:hAnsi="Times New Roman" w:cs="Times New Roman"/>
          <w:i/>
          <w:iCs/>
          <w:noProof/>
          <w:sz w:val="24"/>
          <w:szCs w:val="24"/>
        </w:rPr>
        <w:t>Environmental Research Letters</w:t>
      </w:r>
      <w:r w:rsidRPr="00A15C70">
        <w:rPr>
          <w:rFonts w:ascii="Times New Roman" w:hAnsi="Times New Roman" w:cs="Times New Roman"/>
          <w:noProof/>
          <w:sz w:val="24"/>
          <w:szCs w:val="24"/>
        </w:rPr>
        <w:t>, 4, 034013.</w:t>
      </w:r>
    </w:p>
    <w:p w14:paraId="32AC53F3" w14:textId="77777777" w:rsidR="00A15C70" w:rsidRPr="00A15C70" w:rsidRDefault="00A15C70" w:rsidP="00A15C70">
      <w:pPr>
        <w:widowControl w:val="0"/>
        <w:autoSpaceDE w:val="0"/>
        <w:autoSpaceDN w:val="0"/>
        <w:adjustRightInd w:val="0"/>
        <w:spacing w:before="120" w:after="240" w:line="276" w:lineRule="auto"/>
        <w:ind w:left="480" w:hanging="480"/>
        <w:rPr>
          <w:rFonts w:ascii="Times New Roman" w:hAnsi="Times New Roman" w:cs="Times New Roman"/>
          <w:noProof/>
          <w:sz w:val="24"/>
          <w:szCs w:val="24"/>
        </w:rPr>
      </w:pPr>
      <w:r w:rsidRPr="00A15C70">
        <w:rPr>
          <w:rFonts w:ascii="Times New Roman" w:hAnsi="Times New Roman" w:cs="Times New Roman"/>
          <w:smallCaps/>
          <w:noProof/>
          <w:sz w:val="24"/>
          <w:szCs w:val="24"/>
        </w:rPr>
        <w:t>Jarvis, A.</w:t>
      </w:r>
      <w:r w:rsidRPr="00A15C70">
        <w:rPr>
          <w:rFonts w:ascii="Times New Roman" w:hAnsi="Times New Roman" w:cs="Times New Roman"/>
          <w:noProof/>
          <w:sz w:val="24"/>
          <w:szCs w:val="24"/>
        </w:rPr>
        <w:t xml:space="preserve">, </w:t>
      </w:r>
      <w:r w:rsidRPr="00A15C70">
        <w:rPr>
          <w:rFonts w:ascii="Times New Roman" w:hAnsi="Times New Roman" w:cs="Times New Roman"/>
          <w:smallCaps/>
          <w:noProof/>
          <w:sz w:val="24"/>
          <w:szCs w:val="24"/>
        </w:rPr>
        <w:t>Reuter, H.I.</w:t>
      </w:r>
      <w:r w:rsidRPr="00A15C70">
        <w:rPr>
          <w:rFonts w:ascii="Times New Roman" w:hAnsi="Times New Roman" w:cs="Times New Roman"/>
          <w:noProof/>
          <w:sz w:val="24"/>
          <w:szCs w:val="24"/>
        </w:rPr>
        <w:t xml:space="preserve">, </w:t>
      </w:r>
      <w:r w:rsidRPr="00A15C70">
        <w:rPr>
          <w:rFonts w:ascii="Times New Roman" w:hAnsi="Times New Roman" w:cs="Times New Roman"/>
          <w:smallCaps/>
          <w:noProof/>
          <w:sz w:val="24"/>
          <w:szCs w:val="24"/>
        </w:rPr>
        <w:t>Nelson, A.</w:t>
      </w:r>
      <w:r w:rsidRPr="00A15C70">
        <w:rPr>
          <w:rFonts w:ascii="Times New Roman" w:hAnsi="Times New Roman" w:cs="Times New Roman"/>
          <w:noProof/>
          <w:sz w:val="24"/>
          <w:szCs w:val="24"/>
        </w:rPr>
        <w:t xml:space="preserve"> &amp; </w:t>
      </w:r>
      <w:r w:rsidRPr="00A15C70">
        <w:rPr>
          <w:rFonts w:ascii="Times New Roman" w:hAnsi="Times New Roman" w:cs="Times New Roman"/>
          <w:smallCaps/>
          <w:noProof/>
          <w:sz w:val="24"/>
          <w:szCs w:val="24"/>
        </w:rPr>
        <w:t>Guevara, E.</w:t>
      </w:r>
      <w:r w:rsidRPr="00A15C70">
        <w:rPr>
          <w:rFonts w:ascii="Times New Roman" w:hAnsi="Times New Roman" w:cs="Times New Roman"/>
          <w:noProof/>
          <w:sz w:val="24"/>
          <w:szCs w:val="24"/>
        </w:rPr>
        <w:t xml:space="preserve"> (2008) Hole-filled seamless SRTM data Version 4, available from the CGIAR-CSI SRTM 90m Database. Http://srtm.csi.cgiar.org.</w:t>
      </w:r>
    </w:p>
    <w:p w14:paraId="181D5FCE" w14:textId="77777777" w:rsidR="00A15C70" w:rsidRPr="00A15C70" w:rsidRDefault="00A15C70" w:rsidP="00A15C70">
      <w:pPr>
        <w:widowControl w:val="0"/>
        <w:autoSpaceDE w:val="0"/>
        <w:autoSpaceDN w:val="0"/>
        <w:adjustRightInd w:val="0"/>
        <w:spacing w:before="120" w:after="240" w:line="276" w:lineRule="auto"/>
        <w:ind w:left="480" w:hanging="480"/>
        <w:rPr>
          <w:rFonts w:ascii="Times New Roman" w:hAnsi="Times New Roman" w:cs="Times New Roman"/>
          <w:noProof/>
          <w:sz w:val="24"/>
          <w:szCs w:val="24"/>
        </w:rPr>
      </w:pPr>
      <w:r w:rsidRPr="00A15C70">
        <w:rPr>
          <w:rFonts w:ascii="Times New Roman" w:hAnsi="Times New Roman" w:cs="Times New Roman"/>
          <w:smallCaps/>
          <w:noProof/>
          <w:sz w:val="24"/>
          <w:szCs w:val="24"/>
        </w:rPr>
        <w:t>Karanth, K.U.</w:t>
      </w:r>
      <w:r w:rsidRPr="00A15C70">
        <w:rPr>
          <w:rFonts w:ascii="Times New Roman" w:hAnsi="Times New Roman" w:cs="Times New Roman"/>
          <w:noProof/>
          <w:sz w:val="24"/>
          <w:szCs w:val="24"/>
        </w:rPr>
        <w:t xml:space="preserve">, </w:t>
      </w:r>
      <w:r w:rsidRPr="00A15C70">
        <w:rPr>
          <w:rFonts w:ascii="Times New Roman" w:hAnsi="Times New Roman" w:cs="Times New Roman"/>
          <w:smallCaps/>
          <w:noProof/>
          <w:sz w:val="24"/>
          <w:szCs w:val="24"/>
        </w:rPr>
        <w:t>Gopalaswamy, A.M.</w:t>
      </w:r>
      <w:r w:rsidRPr="00A15C70">
        <w:rPr>
          <w:rFonts w:ascii="Times New Roman" w:hAnsi="Times New Roman" w:cs="Times New Roman"/>
          <w:noProof/>
          <w:sz w:val="24"/>
          <w:szCs w:val="24"/>
        </w:rPr>
        <w:t xml:space="preserve">, </w:t>
      </w:r>
      <w:r w:rsidRPr="00A15C70">
        <w:rPr>
          <w:rFonts w:ascii="Times New Roman" w:hAnsi="Times New Roman" w:cs="Times New Roman"/>
          <w:smallCaps/>
          <w:noProof/>
          <w:sz w:val="24"/>
          <w:szCs w:val="24"/>
        </w:rPr>
        <w:t>Kumar, N.S.</w:t>
      </w:r>
      <w:r w:rsidRPr="00A15C70">
        <w:rPr>
          <w:rFonts w:ascii="Times New Roman" w:hAnsi="Times New Roman" w:cs="Times New Roman"/>
          <w:noProof/>
          <w:sz w:val="24"/>
          <w:szCs w:val="24"/>
        </w:rPr>
        <w:t xml:space="preserve">, </w:t>
      </w:r>
      <w:r w:rsidRPr="00A15C70">
        <w:rPr>
          <w:rFonts w:ascii="Times New Roman" w:hAnsi="Times New Roman" w:cs="Times New Roman"/>
          <w:smallCaps/>
          <w:noProof/>
          <w:sz w:val="24"/>
          <w:szCs w:val="24"/>
        </w:rPr>
        <w:t>Vaidyanathan, S.</w:t>
      </w:r>
      <w:r w:rsidRPr="00A15C70">
        <w:rPr>
          <w:rFonts w:ascii="Times New Roman" w:hAnsi="Times New Roman" w:cs="Times New Roman"/>
          <w:noProof/>
          <w:sz w:val="24"/>
          <w:szCs w:val="24"/>
        </w:rPr>
        <w:t xml:space="preserve">, </w:t>
      </w:r>
      <w:r w:rsidRPr="00A15C70">
        <w:rPr>
          <w:rFonts w:ascii="Times New Roman" w:hAnsi="Times New Roman" w:cs="Times New Roman"/>
          <w:smallCaps/>
          <w:noProof/>
          <w:sz w:val="24"/>
          <w:szCs w:val="24"/>
        </w:rPr>
        <w:t>Nichols, J.D.</w:t>
      </w:r>
      <w:r w:rsidRPr="00A15C70">
        <w:rPr>
          <w:rFonts w:ascii="Times New Roman" w:hAnsi="Times New Roman" w:cs="Times New Roman"/>
          <w:noProof/>
          <w:sz w:val="24"/>
          <w:szCs w:val="24"/>
        </w:rPr>
        <w:t xml:space="preserve"> &amp; </w:t>
      </w:r>
      <w:r w:rsidRPr="00A15C70">
        <w:rPr>
          <w:rFonts w:ascii="Times New Roman" w:hAnsi="Times New Roman" w:cs="Times New Roman"/>
          <w:smallCaps/>
          <w:noProof/>
          <w:sz w:val="24"/>
          <w:szCs w:val="24"/>
        </w:rPr>
        <w:t>MacKenzie, D.I.</w:t>
      </w:r>
      <w:r w:rsidRPr="00A15C70">
        <w:rPr>
          <w:rFonts w:ascii="Times New Roman" w:hAnsi="Times New Roman" w:cs="Times New Roman"/>
          <w:noProof/>
          <w:sz w:val="24"/>
          <w:szCs w:val="24"/>
        </w:rPr>
        <w:t xml:space="preserve"> (2011) Monitoring carnivore populations at the landscape scale: occupancy modelling of tigers from sign surveys. </w:t>
      </w:r>
      <w:r w:rsidRPr="00A15C70">
        <w:rPr>
          <w:rFonts w:ascii="Times New Roman" w:hAnsi="Times New Roman" w:cs="Times New Roman"/>
          <w:i/>
          <w:iCs/>
          <w:noProof/>
          <w:sz w:val="24"/>
          <w:szCs w:val="24"/>
        </w:rPr>
        <w:t>Journal of Applied Ecology</w:t>
      </w:r>
      <w:r w:rsidRPr="00A15C70">
        <w:rPr>
          <w:rFonts w:ascii="Times New Roman" w:hAnsi="Times New Roman" w:cs="Times New Roman"/>
          <w:noProof/>
          <w:sz w:val="24"/>
          <w:szCs w:val="24"/>
        </w:rPr>
        <w:t>, 48, 1048–1056.</w:t>
      </w:r>
    </w:p>
    <w:p w14:paraId="39F12319" w14:textId="77777777" w:rsidR="00A15C70" w:rsidRDefault="00A15C70" w:rsidP="00A15C70">
      <w:pPr>
        <w:widowControl w:val="0"/>
        <w:autoSpaceDE w:val="0"/>
        <w:autoSpaceDN w:val="0"/>
        <w:adjustRightInd w:val="0"/>
        <w:spacing w:before="120" w:after="240" w:line="276" w:lineRule="auto"/>
        <w:ind w:left="480" w:hanging="480"/>
        <w:rPr>
          <w:rFonts w:ascii="Times New Roman" w:hAnsi="Times New Roman" w:cs="Times New Roman"/>
          <w:noProof/>
          <w:sz w:val="24"/>
          <w:szCs w:val="24"/>
        </w:rPr>
      </w:pPr>
      <w:r w:rsidRPr="00A15C70">
        <w:rPr>
          <w:rFonts w:ascii="Times New Roman" w:hAnsi="Times New Roman" w:cs="Times New Roman"/>
          <w:smallCaps/>
          <w:noProof/>
          <w:sz w:val="24"/>
          <w:szCs w:val="24"/>
        </w:rPr>
        <w:t>Pusparini, W., Batubara, T., Surahmat, F., Ardiantiono, Sugiharti, T., Muslich, M., et al.</w:t>
      </w:r>
      <w:r w:rsidRPr="00A15C70">
        <w:rPr>
          <w:rFonts w:ascii="Times New Roman" w:hAnsi="Times New Roman" w:cs="Times New Roman"/>
          <w:noProof/>
          <w:sz w:val="24"/>
          <w:szCs w:val="24"/>
        </w:rPr>
        <w:t xml:space="preserve"> (2017) A pathway to recovery: the Critically Endangered Sumatran tiger Panthera tigris sumatrae in an ‘in danger’ UNESCO World Heritage Site. </w:t>
      </w:r>
      <w:r w:rsidRPr="00A15C70">
        <w:rPr>
          <w:rFonts w:ascii="Times New Roman" w:hAnsi="Times New Roman" w:cs="Times New Roman"/>
          <w:i/>
          <w:iCs/>
          <w:noProof/>
          <w:sz w:val="24"/>
          <w:szCs w:val="24"/>
        </w:rPr>
        <w:t>Oryx</w:t>
      </w:r>
      <w:r w:rsidRPr="00A15C70">
        <w:rPr>
          <w:rFonts w:ascii="Times New Roman" w:hAnsi="Times New Roman" w:cs="Times New Roman"/>
          <w:noProof/>
          <w:sz w:val="24"/>
          <w:szCs w:val="24"/>
        </w:rPr>
        <w:t>, 1–10.</w:t>
      </w:r>
    </w:p>
    <w:p w14:paraId="0F9E2D1E" w14:textId="6BBB44C0" w:rsidR="00073802" w:rsidRPr="00A15C70" w:rsidRDefault="00073802" w:rsidP="00073802">
      <w:pPr>
        <w:widowControl w:val="0"/>
        <w:autoSpaceDE w:val="0"/>
        <w:autoSpaceDN w:val="0"/>
        <w:adjustRightInd w:val="0"/>
        <w:spacing w:after="200" w:line="360" w:lineRule="auto"/>
        <w:ind w:left="480" w:hanging="480"/>
        <w:rPr>
          <w:rFonts w:ascii="Times New Roman" w:hAnsi="Times New Roman" w:cs="Times New Roman"/>
          <w:noProof/>
          <w:sz w:val="24"/>
          <w:szCs w:val="24"/>
        </w:rPr>
      </w:pPr>
      <w:r w:rsidRPr="00551125">
        <w:rPr>
          <w:rFonts w:ascii="Times New Roman" w:hAnsi="Times New Roman" w:cs="Times New Roman"/>
          <w:smallCaps/>
          <w:noProof/>
          <w:sz w:val="24"/>
          <w:szCs w:val="24"/>
        </w:rPr>
        <w:t>Rayden, T.</w:t>
      </w:r>
      <w:r w:rsidRPr="00551125">
        <w:rPr>
          <w:rFonts w:ascii="Times New Roman" w:hAnsi="Times New Roman" w:cs="Times New Roman"/>
          <w:noProof/>
          <w:sz w:val="24"/>
          <w:szCs w:val="24"/>
        </w:rPr>
        <w:t xml:space="preserve">, </w:t>
      </w:r>
      <w:r w:rsidRPr="00551125">
        <w:rPr>
          <w:rFonts w:ascii="Times New Roman" w:hAnsi="Times New Roman" w:cs="Times New Roman"/>
          <w:smallCaps/>
          <w:noProof/>
          <w:sz w:val="24"/>
          <w:szCs w:val="24"/>
        </w:rPr>
        <w:t>Jones, K.R.</w:t>
      </w:r>
      <w:r w:rsidRPr="00551125">
        <w:rPr>
          <w:rFonts w:ascii="Times New Roman" w:hAnsi="Times New Roman" w:cs="Times New Roman"/>
          <w:noProof/>
          <w:sz w:val="24"/>
          <w:szCs w:val="24"/>
        </w:rPr>
        <w:t xml:space="preserve">, </w:t>
      </w:r>
      <w:r w:rsidRPr="00551125">
        <w:rPr>
          <w:rFonts w:ascii="Times New Roman" w:hAnsi="Times New Roman" w:cs="Times New Roman"/>
          <w:smallCaps/>
          <w:noProof/>
          <w:sz w:val="24"/>
          <w:szCs w:val="24"/>
        </w:rPr>
        <w:t>Austin, K.</w:t>
      </w:r>
      <w:r w:rsidRPr="00551125">
        <w:rPr>
          <w:rFonts w:ascii="Times New Roman" w:hAnsi="Times New Roman" w:cs="Times New Roman"/>
          <w:noProof/>
          <w:sz w:val="24"/>
          <w:szCs w:val="24"/>
        </w:rPr>
        <w:t xml:space="preserve"> &amp; </w:t>
      </w:r>
      <w:r w:rsidRPr="00551125">
        <w:rPr>
          <w:rFonts w:ascii="Times New Roman" w:hAnsi="Times New Roman" w:cs="Times New Roman"/>
          <w:smallCaps/>
          <w:noProof/>
          <w:sz w:val="24"/>
          <w:szCs w:val="24"/>
        </w:rPr>
        <w:t>Radachowsky, J.</w:t>
      </w:r>
      <w:r w:rsidRPr="00551125">
        <w:rPr>
          <w:rFonts w:ascii="Times New Roman" w:hAnsi="Times New Roman" w:cs="Times New Roman"/>
          <w:noProof/>
          <w:sz w:val="24"/>
          <w:szCs w:val="24"/>
        </w:rPr>
        <w:t xml:space="preserve"> (2023) Improving climate and biodiversity outcomes through restoration of forest integrity. </w:t>
      </w:r>
      <w:r w:rsidRPr="00551125">
        <w:rPr>
          <w:rFonts w:ascii="Times New Roman" w:hAnsi="Times New Roman" w:cs="Times New Roman"/>
          <w:i/>
          <w:iCs/>
          <w:noProof/>
          <w:sz w:val="24"/>
          <w:szCs w:val="24"/>
        </w:rPr>
        <w:t>Conservation Biology</w:t>
      </w:r>
      <w:r w:rsidRPr="00551125">
        <w:rPr>
          <w:rFonts w:ascii="Times New Roman" w:hAnsi="Times New Roman" w:cs="Times New Roman"/>
          <w:noProof/>
          <w:sz w:val="24"/>
          <w:szCs w:val="24"/>
        </w:rPr>
        <w:t>, 1–11.</w:t>
      </w:r>
    </w:p>
    <w:p w14:paraId="72DC57F0" w14:textId="77777777" w:rsidR="00A15C70" w:rsidRPr="00A15C70" w:rsidRDefault="00A15C70" w:rsidP="00A15C70">
      <w:pPr>
        <w:widowControl w:val="0"/>
        <w:autoSpaceDE w:val="0"/>
        <w:autoSpaceDN w:val="0"/>
        <w:adjustRightInd w:val="0"/>
        <w:spacing w:before="120" w:after="240" w:line="276" w:lineRule="auto"/>
        <w:ind w:left="480" w:hanging="480"/>
        <w:rPr>
          <w:rFonts w:ascii="Times New Roman" w:hAnsi="Times New Roman" w:cs="Times New Roman"/>
          <w:noProof/>
          <w:sz w:val="24"/>
          <w:szCs w:val="24"/>
        </w:rPr>
      </w:pPr>
      <w:r w:rsidRPr="00A15C70">
        <w:rPr>
          <w:rFonts w:ascii="Times New Roman" w:hAnsi="Times New Roman" w:cs="Times New Roman"/>
          <w:smallCaps/>
          <w:noProof/>
          <w:sz w:val="24"/>
          <w:szCs w:val="24"/>
        </w:rPr>
        <w:t>Smith, O.</w:t>
      </w:r>
      <w:r w:rsidRPr="00A15C70">
        <w:rPr>
          <w:rFonts w:ascii="Times New Roman" w:hAnsi="Times New Roman" w:cs="Times New Roman"/>
          <w:noProof/>
          <w:sz w:val="24"/>
          <w:szCs w:val="24"/>
        </w:rPr>
        <w:t xml:space="preserve">, </w:t>
      </w:r>
      <w:r w:rsidRPr="00A15C70">
        <w:rPr>
          <w:rFonts w:ascii="Times New Roman" w:hAnsi="Times New Roman" w:cs="Times New Roman"/>
          <w:smallCaps/>
          <w:noProof/>
          <w:sz w:val="24"/>
          <w:szCs w:val="24"/>
        </w:rPr>
        <w:t>Wang, J.</w:t>
      </w:r>
      <w:r w:rsidRPr="00A15C70">
        <w:rPr>
          <w:rFonts w:ascii="Times New Roman" w:hAnsi="Times New Roman" w:cs="Times New Roman"/>
          <w:noProof/>
          <w:sz w:val="24"/>
          <w:szCs w:val="24"/>
        </w:rPr>
        <w:t xml:space="preserve"> &amp; </w:t>
      </w:r>
      <w:r w:rsidRPr="00A15C70">
        <w:rPr>
          <w:rFonts w:ascii="Times New Roman" w:hAnsi="Times New Roman" w:cs="Times New Roman"/>
          <w:smallCaps/>
          <w:noProof/>
          <w:sz w:val="24"/>
          <w:szCs w:val="24"/>
        </w:rPr>
        <w:t>Carbone, C.</w:t>
      </w:r>
      <w:r w:rsidRPr="00A15C70">
        <w:rPr>
          <w:rFonts w:ascii="Times New Roman" w:hAnsi="Times New Roman" w:cs="Times New Roman"/>
          <w:noProof/>
          <w:sz w:val="24"/>
          <w:szCs w:val="24"/>
        </w:rPr>
        <w:t xml:space="preserve"> (2018) Evaluating the effect of forest loss and agricultural expansion on Sumatran tigers from scat surveys. </w:t>
      </w:r>
      <w:r w:rsidRPr="00A15C70">
        <w:rPr>
          <w:rFonts w:ascii="Times New Roman" w:hAnsi="Times New Roman" w:cs="Times New Roman"/>
          <w:i/>
          <w:iCs/>
          <w:noProof/>
          <w:sz w:val="24"/>
          <w:szCs w:val="24"/>
        </w:rPr>
        <w:t>Biological Conservation</w:t>
      </w:r>
      <w:r w:rsidRPr="00A15C70">
        <w:rPr>
          <w:rFonts w:ascii="Times New Roman" w:hAnsi="Times New Roman" w:cs="Times New Roman"/>
          <w:noProof/>
          <w:sz w:val="24"/>
          <w:szCs w:val="24"/>
        </w:rPr>
        <w:t>, 221, 270–278.</w:t>
      </w:r>
    </w:p>
    <w:p w14:paraId="0A267492" w14:textId="77777777" w:rsidR="00A15C70" w:rsidRPr="00A15C70" w:rsidRDefault="00A15C70" w:rsidP="00A15C70">
      <w:pPr>
        <w:widowControl w:val="0"/>
        <w:autoSpaceDE w:val="0"/>
        <w:autoSpaceDN w:val="0"/>
        <w:adjustRightInd w:val="0"/>
        <w:spacing w:before="120" w:after="240" w:line="276" w:lineRule="auto"/>
        <w:ind w:left="480" w:hanging="480"/>
        <w:rPr>
          <w:rFonts w:ascii="Times New Roman" w:hAnsi="Times New Roman" w:cs="Times New Roman"/>
          <w:noProof/>
          <w:sz w:val="24"/>
          <w:szCs w:val="24"/>
        </w:rPr>
      </w:pPr>
      <w:r w:rsidRPr="00A15C70">
        <w:rPr>
          <w:rFonts w:ascii="Times New Roman" w:hAnsi="Times New Roman" w:cs="Times New Roman"/>
          <w:smallCaps/>
          <w:noProof/>
          <w:sz w:val="24"/>
          <w:szCs w:val="24"/>
        </w:rPr>
        <w:t>Sunarto, S.</w:t>
      </w:r>
      <w:r w:rsidRPr="00A15C70">
        <w:rPr>
          <w:rFonts w:ascii="Times New Roman" w:hAnsi="Times New Roman" w:cs="Times New Roman"/>
          <w:noProof/>
          <w:sz w:val="24"/>
          <w:szCs w:val="24"/>
        </w:rPr>
        <w:t xml:space="preserve">, </w:t>
      </w:r>
      <w:r w:rsidRPr="00A15C70">
        <w:rPr>
          <w:rFonts w:ascii="Times New Roman" w:hAnsi="Times New Roman" w:cs="Times New Roman"/>
          <w:smallCaps/>
          <w:noProof/>
          <w:sz w:val="24"/>
          <w:szCs w:val="24"/>
        </w:rPr>
        <w:t>Kelly, M.J.</w:t>
      </w:r>
      <w:r w:rsidRPr="00A15C70">
        <w:rPr>
          <w:rFonts w:ascii="Times New Roman" w:hAnsi="Times New Roman" w:cs="Times New Roman"/>
          <w:noProof/>
          <w:sz w:val="24"/>
          <w:szCs w:val="24"/>
        </w:rPr>
        <w:t xml:space="preserve">, </w:t>
      </w:r>
      <w:r w:rsidRPr="00A15C70">
        <w:rPr>
          <w:rFonts w:ascii="Times New Roman" w:hAnsi="Times New Roman" w:cs="Times New Roman"/>
          <w:smallCaps/>
          <w:noProof/>
          <w:sz w:val="24"/>
          <w:szCs w:val="24"/>
        </w:rPr>
        <w:t>Parakkasi, K.</w:t>
      </w:r>
      <w:r w:rsidRPr="00A15C70">
        <w:rPr>
          <w:rFonts w:ascii="Times New Roman" w:hAnsi="Times New Roman" w:cs="Times New Roman"/>
          <w:noProof/>
          <w:sz w:val="24"/>
          <w:szCs w:val="24"/>
        </w:rPr>
        <w:t xml:space="preserve">, </w:t>
      </w:r>
      <w:r w:rsidRPr="00A15C70">
        <w:rPr>
          <w:rFonts w:ascii="Times New Roman" w:hAnsi="Times New Roman" w:cs="Times New Roman"/>
          <w:smallCaps/>
          <w:noProof/>
          <w:sz w:val="24"/>
          <w:szCs w:val="24"/>
        </w:rPr>
        <w:t>Klenzendorf, S.</w:t>
      </w:r>
      <w:r w:rsidRPr="00A15C70">
        <w:rPr>
          <w:rFonts w:ascii="Times New Roman" w:hAnsi="Times New Roman" w:cs="Times New Roman"/>
          <w:noProof/>
          <w:sz w:val="24"/>
          <w:szCs w:val="24"/>
        </w:rPr>
        <w:t xml:space="preserve">, </w:t>
      </w:r>
      <w:r w:rsidRPr="00A15C70">
        <w:rPr>
          <w:rFonts w:ascii="Times New Roman" w:hAnsi="Times New Roman" w:cs="Times New Roman"/>
          <w:smallCaps/>
          <w:noProof/>
          <w:sz w:val="24"/>
          <w:szCs w:val="24"/>
        </w:rPr>
        <w:t>Septayuda, E.</w:t>
      </w:r>
      <w:r w:rsidRPr="00A15C70">
        <w:rPr>
          <w:rFonts w:ascii="Times New Roman" w:hAnsi="Times New Roman" w:cs="Times New Roman"/>
          <w:noProof/>
          <w:sz w:val="24"/>
          <w:szCs w:val="24"/>
        </w:rPr>
        <w:t xml:space="preserve"> &amp; </w:t>
      </w:r>
      <w:r w:rsidRPr="00A15C70">
        <w:rPr>
          <w:rFonts w:ascii="Times New Roman" w:hAnsi="Times New Roman" w:cs="Times New Roman"/>
          <w:smallCaps/>
          <w:noProof/>
          <w:sz w:val="24"/>
          <w:szCs w:val="24"/>
        </w:rPr>
        <w:t>Kurniawan, H.</w:t>
      </w:r>
      <w:r w:rsidRPr="00A15C70">
        <w:rPr>
          <w:rFonts w:ascii="Times New Roman" w:hAnsi="Times New Roman" w:cs="Times New Roman"/>
          <w:noProof/>
          <w:sz w:val="24"/>
          <w:szCs w:val="24"/>
        </w:rPr>
        <w:t xml:space="preserve"> (2012) Tigers need cover: Multi-scale occupancy study of the big cat in Sumatran forest and plantation landscapes. </w:t>
      </w:r>
      <w:r w:rsidRPr="00A15C70">
        <w:rPr>
          <w:rFonts w:ascii="Times New Roman" w:hAnsi="Times New Roman" w:cs="Times New Roman"/>
          <w:i/>
          <w:iCs/>
          <w:noProof/>
          <w:sz w:val="24"/>
          <w:szCs w:val="24"/>
        </w:rPr>
        <w:t>PLoS ONE</w:t>
      </w:r>
      <w:r w:rsidRPr="00A15C70">
        <w:rPr>
          <w:rFonts w:ascii="Times New Roman" w:hAnsi="Times New Roman" w:cs="Times New Roman"/>
          <w:noProof/>
          <w:sz w:val="24"/>
          <w:szCs w:val="24"/>
        </w:rPr>
        <w:t>, 7.</w:t>
      </w:r>
    </w:p>
    <w:p w14:paraId="0052CB8D" w14:textId="77777777" w:rsidR="00A15C70" w:rsidRPr="00A15C70" w:rsidRDefault="00A15C70" w:rsidP="00A15C70">
      <w:pPr>
        <w:widowControl w:val="0"/>
        <w:autoSpaceDE w:val="0"/>
        <w:autoSpaceDN w:val="0"/>
        <w:adjustRightInd w:val="0"/>
        <w:spacing w:before="120" w:after="240" w:line="276" w:lineRule="auto"/>
        <w:ind w:left="480" w:hanging="480"/>
        <w:rPr>
          <w:rFonts w:ascii="Times New Roman" w:hAnsi="Times New Roman" w:cs="Times New Roman"/>
          <w:noProof/>
          <w:sz w:val="24"/>
          <w:szCs w:val="24"/>
        </w:rPr>
      </w:pPr>
      <w:r w:rsidRPr="00A15C70">
        <w:rPr>
          <w:rFonts w:ascii="Times New Roman" w:hAnsi="Times New Roman" w:cs="Times New Roman"/>
          <w:smallCaps/>
          <w:noProof/>
          <w:sz w:val="24"/>
          <w:szCs w:val="24"/>
        </w:rPr>
        <w:t>Vijay, V.</w:t>
      </w:r>
      <w:r w:rsidRPr="00A15C70">
        <w:rPr>
          <w:rFonts w:ascii="Times New Roman" w:hAnsi="Times New Roman" w:cs="Times New Roman"/>
          <w:noProof/>
          <w:sz w:val="24"/>
          <w:szCs w:val="24"/>
        </w:rPr>
        <w:t xml:space="preserve">, </w:t>
      </w:r>
      <w:r w:rsidRPr="00A15C70">
        <w:rPr>
          <w:rFonts w:ascii="Times New Roman" w:hAnsi="Times New Roman" w:cs="Times New Roman"/>
          <w:smallCaps/>
          <w:noProof/>
          <w:sz w:val="24"/>
          <w:szCs w:val="24"/>
        </w:rPr>
        <w:t>Pimm, S.L.</w:t>
      </w:r>
      <w:r w:rsidRPr="00A15C70">
        <w:rPr>
          <w:rFonts w:ascii="Times New Roman" w:hAnsi="Times New Roman" w:cs="Times New Roman"/>
          <w:noProof/>
          <w:sz w:val="24"/>
          <w:szCs w:val="24"/>
        </w:rPr>
        <w:t xml:space="preserve">, </w:t>
      </w:r>
      <w:r w:rsidRPr="00A15C70">
        <w:rPr>
          <w:rFonts w:ascii="Times New Roman" w:hAnsi="Times New Roman" w:cs="Times New Roman"/>
          <w:smallCaps/>
          <w:noProof/>
          <w:sz w:val="24"/>
          <w:szCs w:val="24"/>
        </w:rPr>
        <w:t>Jenkins, C.N.</w:t>
      </w:r>
      <w:r w:rsidRPr="00A15C70">
        <w:rPr>
          <w:rFonts w:ascii="Times New Roman" w:hAnsi="Times New Roman" w:cs="Times New Roman"/>
          <w:noProof/>
          <w:sz w:val="24"/>
          <w:szCs w:val="24"/>
        </w:rPr>
        <w:t xml:space="preserve"> &amp; </w:t>
      </w:r>
      <w:r w:rsidRPr="00A15C70">
        <w:rPr>
          <w:rFonts w:ascii="Times New Roman" w:hAnsi="Times New Roman" w:cs="Times New Roman"/>
          <w:smallCaps/>
          <w:noProof/>
          <w:sz w:val="24"/>
          <w:szCs w:val="24"/>
        </w:rPr>
        <w:t>Smith, S.J.</w:t>
      </w:r>
      <w:r w:rsidRPr="00A15C70">
        <w:rPr>
          <w:rFonts w:ascii="Times New Roman" w:hAnsi="Times New Roman" w:cs="Times New Roman"/>
          <w:noProof/>
          <w:sz w:val="24"/>
          <w:szCs w:val="24"/>
        </w:rPr>
        <w:t xml:space="preserve"> (2016) The Impacts of Oil Palm on Recent Deforestation and Biodiversity Loss. </w:t>
      </w:r>
      <w:r w:rsidRPr="00A15C70">
        <w:rPr>
          <w:rFonts w:ascii="Times New Roman" w:hAnsi="Times New Roman" w:cs="Times New Roman"/>
          <w:i/>
          <w:iCs/>
          <w:noProof/>
          <w:sz w:val="24"/>
          <w:szCs w:val="24"/>
        </w:rPr>
        <w:t>PLOS ONE</w:t>
      </w:r>
      <w:r w:rsidRPr="00A15C70">
        <w:rPr>
          <w:rFonts w:ascii="Times New Roman" w:hAnsi="Times New Roman" w:cs="Times New Roman"/>
          <w:noProof/>
          <w:sz w:val="24"/>
          <w:szCs w:val="24"/>
        </w:rPr>
        <w:t>, 11, e0159668.</w:t>
      </w:r>
    </w:p>
    <w:p w14:paraId="035790C8" w14:textId="77777777" w:rsidR="00A15C70" w:rsidRPr="00A15C70" w:rsidRDefault="00A15C70" w:rsidP="00A15C70">
      <w:pPr>
        <w:widowControl w:val="0"/>
        <w:autoSpaceDE w:val="0"/>
        <w:autoSpaceDN w:val="0"/>
        <w:adjustRightInd w:val="0"/>
        <w:spacing w:before="120" w:after="240" w:line="276" w:lineRule="auto"/>
        <w:ind w:left="480" w:hanging="480"/>
        <w:rPr>
          <w:rFonts w:ascii="Times New Roman" w:hAnsi="Times New Roman" w:cs="Times New Roman"/>
          <w:noProof/>
          <w:sz w:val="24"/>
          <w:szCs w:val="24"/>
        </w:rPr>
      </w:pPr>
      <w:r w:rsidRPr="00A15C70">
        <w:rPr>
          <w:rFonts w:ascii="Times New Roman" w:hAnsi="Times New Roman" w:cs="Times New Roman"/>
          <w:smallCaps/>
          <w:noProof/>
          <w:sz w:val="24"/>
          <w:szCs w:val="24"/>
        </w:rPr>
        <w:t>Wibisono, H.T.</w:t>
      </w:r>
      <w:r w:rsidRPr="00A15C70">
        <w:rPr>
          <w:rFonts w:ascii="Times New Roman" w:hAnsi="Times New Roman" w:cs="Times New Roman"/>
          <w:noProof/>
          <w:sz w:val="24"/>
          <w:szCs w:val="24"/>
        </w:rPr>
        <w:t xml:space="preserve"> (2021) An Island-wide Status of Sumatran tiger (Panthera tigris sumatrae) and Principal Prey in Sumatra, Indonesia. University of Delaware.</w:t>
      </w:r>
    </w:p>
    <w:p w14:paraId="7EB5D0FA" w14:textId="4270971F" w:rsidR="00A15C70" w:rsidRPr="00A15C70" w:rsidRDefault="00A15C70" w:rsidP="00A15C70">
      <w:pPr>
        <w:widowControl w:val="0"/>
        <w:autoSpaceDE w:val="0"/>
        <w:autoSpaceDN w:val="0"/>
        <w:adjustRightInd w:val="0"/>
        <w:spacing w:before="120" w:after="240" w:line="276" w:lineRule="auto"/>
        <w:ind w:left="480" w:hanging="480"/>
        <w:rPr>
          <w:rFonts w:ascii="Times New Roman" w:hAnsi="Times New Roman" w:cs="Times New Roman"/>
          <w:b/>
          <w:bCs/>
          <w:sz w:val="24"/>
          <w:szCs w:val="24"/>
        </w:rPr>
      </w:pPr>
      <w:r w:rsidRPr="00A15C70">
        <w:rPr>
          <w:rFonts w:ascii="Times New Roman" w:hAnsi="Times New Roman" w:cs="Times New Roman"/>
          <w:smallCaps/>
          <w:noProof/>
          <w:sz w:val="24"/>
          <w:szCs w:val="24"/>
        </w:rPr>
        <w:lastRenderedPageBreak/>
        <w:t>Widodo, F.A.</w:t>
      </w:r>
      <w:r w:rsidRPr="00A15C70">
        <w:rPr>
          <w:rFonts w:ascii="Times New Roman" w:hAnsi="Times New Roman" w:cs="Times New Roman"/>
          <w:noProof/>
          <w:sz w:val="24"/>
          <w:szCs w:val="24"/>
        </w:rPr>
        <w:t xml:space="preserve">, </w:t>
      </w:r>
      <w:r w:rsidRPr="00A15C70">
        <w:rPr>
          <w:rFonts w:ascii="Times New Roman" w:hAnsi="Times New Roman" w:cs="Times New Roman"/>
          <w:smallCaps/>
          <w:noProof/>
          <w:sz w:val="24"/>
          <w:szCs w:val="24"/>
        </w:rPr>
        <w:t>Imron, M.A.</w:t>
      </w:r>
      <w:r w:rsidRPr="00A15C70">
        <w:rPr>
          <w:rFonts w:ascii="Times New Roman" w:hAnsi="Times New Roman" w:cs="Times New Roman"/>
          <w:noProof/>
          <w:sz w:val="24"/>
          <w:szCs w:val="24"/>
        </w:rPr>
        <w:t xml:space="preserve">, </w:t>
      </w:r>
      <w:r w:rsidRPr="00A15C70">
        <w:rPr>
          <w:rFonts w:ascii="Times New Roman" w:hAnsi="Times New Roman" w:cs="Times New Roman"/>
          <w:smallCaps/>
          <w:noProof/>
          <w:sz w:val="24"/>
          <w:szCs w:val="24"/>
        </w:rPr>
        <w:t>Sunarto, S.</w:t>
      </w:r>
      <w:r w:rsidRPr="00A15C70">
        <w:rPr>
          <w:rFonts w:ascii="Times New Roman" w:hAnsi="Times New Roman" w:cs="Times New Roman"/>
          <w:noProof/>
          <w:sz w:val="24"/>
          <w:szCs w:val="24"/>
        </w:rPr>
        <w:t xml:space="preserve"> &amp; </w:t>
      </w:r>
      <w:r w:rsidRPr="00A15C70">
        <w:rPr>
          <w:rFonts w:ascii="Times New Roman" w:hAnsi="Times New Roman" w:cs="Times New Roman"/>
          <w:smallCaps/>
          <w:noProof/>
          <w:sz w:val="24"/>
          <w:szCs w:val="24"/>
        </w:rPr>
        <w:t>Giordano, A.J.</w:t>
      </w:r>
      <w:r w:rsidRPr="00A15C70">
        <w:rPr>
          <w:rFonts w:ascii="Times New Roman" w:hAnsi="Times New Roman" w:cs="Times New Roman"/>
          <w:noProof/>
          <w:sz w:val="24"/>
          <w:szCs w:val="24"/>
        </w:rPr>
        <w:t xml:space="preserve"> (2022) Carnivores and their prey in Sumatra: Occupancy and activity in human-dominated forests. </w:t>
      </w:r>
      <w:r w:rsidRPr="00A15C70">
        <w:rPr>
          <w:rFonts w:ascii="Times New Roman" w:hAnsi="Times New Roman" w:cs="Times New Roman"/>
          <w:i/>
          <w:iCs/>
          <w:noProof/>
          <w:sz w:val="24"/>
          <w:szCs w:val="24"/>
        </w:rPr>
        <w:t>PLoS ONE</w:t>
      </w:r>
      <w:r w:rsidRPr="00A15C70">
        <w:rPr>
          <w:rFonts w:ascii="Times New Roman" w:hAnsi="Times New Roman" w:cs="Times New Roman"/>
          <w:noProof/>
          <w:sz w:val="24"/>
          <w:szCs w:val="24"/>
        </w:rPr>
        <w:t>, 17, 1–25.</w:t>
      </w:r>
      <w:r>
        <w:rPr>
          <w:rFonts w:ascii="Times New Roman" w:hAnsi="Times New Roman" w:cs="Times New Roman"/>
          <w:b/>
          <w:bCs/>
          <w:sz w:val="24"/>
          <w:szCs w:val="24"/>
        </w:rPr>
        <w:fldChar w:fldCharType="end"/>
      </w:r>
    </w:p>
    <w:sectPr w:rsidR="00A15C70" w:rsidRPr="00A15C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F99FE" w14:textId="77777777" w:rsidR="00C05C42" w:rsidRDefault="00C05C42" w:rsidP="00D90085">
      <w:pPr>
        <w:spacing w:after="0" w:line="240" w:lineRule="auto"/>
      </w:pPr>
      <w:r>
        <w:separator/>
      </w:r>
    </w:p>
  </w:endnote>
  <w:endnote w:type="continuationSeparator" w:id="0">
    <w:p w14:paraId="44D4F315" w14:textId="77777777" w:rsidR="00C05C42" w:rsidRDefault="00C05C42" w:rsidP="00D90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0A491" w14:textId="77777777" w:rsidR="00C05C42" w:rsidRDefault="00C05C42" w:rsidP="00D90085">
      <w:pPr>
        <w:spacing w:after="0" w:line="240" w:lineRule="auto"/>
      </w:pPr>
      <w:r>
        <w:separator/>
      </w:r>
    </w:p>
  </w:footnote>
  <w:footnote w:type="continuationSeparator" w:id="0">
    <w:p w14:paraId="0A8D939B" w14:textId="77777777" w:rsidR="00C05C42" w:rsidRDefault="00C05C42" w:rsidP="00D900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3MDI1MDMyMjc3NjNT0lEKTi0uzszPAykwrAUARCt2LiwAAAA="/>
  </w:docVars>
  <w:rsids>
    <w:rsidRoot w:val="00D90085"/>
    <w:rsid w:val="00040D9D"/>
    <w:rsid w:val="00073802"/>
    <w:rsid w:val="000747A6"/>
    <w:rsid w:val="000913FF"/>
    <w:rsid w:val="000A5494"/>
    <w:rsid w:val="000C4A0F"/>
    <w:rsid w:val="000E06AE"/>
    <w:rsid w:val="00112642"/>
    <w:rsid w:val="00134665"/>
    <w:rsid w:val="00153257"/>
    <w:rsid w:val="00170095"/>
    <w:rsid w:val="001A71F5"/>
    <w:rsid w:val="001B1FEC"/>
    <w:rsid w:val="002137B5"/>
    <w:rsid w:val="002338B7"/>
    <w:rsid w:val="00237505"/>
    <w:rsid w:val="00240735"/>
    <w:rsid w:val="00247AD9"/>
    <w:rsid w:val="00293849"/>
    <w:rsid w:val="002B0345"/>
    <w:rsid w:val="002D5463"/>
    <w:rsid w:val="0032349A"/>
    <w:rsid w:val="00351ED0"/>
    <w:rsid w:val="00352396"/>
    <w:rsid w:val="003825BD"/>
    <w:rsid w:val="003855B4"/>
    <w:rsid w:val="003A0A37"/>
    <w:rsid w:val="003B5CE8"/>
    <w:rsid w:val="003C4D27"/>
    <w:rsid w:val="003D1C4A"/>
    <w:rsid w:val="003F0D6C"/>
    <w:rsid w:val="003F1CCD"/>
    <w:rsid w:val="00404A7F"/>
    <w:rsid w:val="00426C36"/>
    <w:rsid w:val="00445F6D"/>
    <w:rsid w:val="004749FD"/>
    <w:rsid w:val="00487EC2"/>
    <w:rsid w:val="004B0DF9"/>
    <w:rsid w:val="004E2343"/>
    <w:rsid w:val="004F6A5D"/>
    <w:rsid w:val="005010F5"/>
    <w:rsid w:val="00511B41"/>
    <w:rsid w:val="00513982"/>
    <w:rsid w:val="00547AB3"/>
    <w:rsid w:val="00583123"/>
    <w:rsid w:val="00583848"/>
    <w:rsid w:val="005A58BC"/>
    <w:rsid w:val="006106A1"/>
    <w:rsid w:val="00610759"/>
    <w:rsid w:val="00633882"/>
    <w:rsid w:val="006429FA"/>
    <w:rsid w:val="0065328C"/>
    <w:rsid w:val="006A4083"/>
    <w:rsid w:val="006C29C4"/>
    <w:rsid w:val="006C6534"/>
    <w:rsid w:val="006E1F2B"/>
    <w:rsid w:val="006E4888"/>
    <w:rsid w:val="006F74C9"/>
    <w:rsid w:val="007013C4"/>
    <w:rsid w:val="00704B35"/>
    <w:rsid w:val="00705848"/>
    <w:rsid w:val="00712875"/>
    <w:rsid w:val="00726AE7"/>
    <w:rsid w:val="00735E2E"/>
    <w:rsid w:val="007515E7"/>
    <w:rsid w:val="00755C3E"/>
    <w:rsid w:val="007A7C8D"/>
    <w:rsid w:val="007F770B"/>
    <w:rsid w:val="00807AA1"/>
    <w:rsid w:val="00821E17"/>
    <w:rsid w:val="008467BC"/>
    <w:rsid w:val="00852605"/>
    <w:rsid w:val="008B1209"/>
    <w:rsid w:val="008C0274"/>
    <w:rsid w:val="008F1746"/>
    <w:rsid w:val="00922A3E"/>
    <w:rsid w:val="00934182"/>
    <w:rsid w:val="00934B95"/>
    <w:rsid w:val="00981C3F"/>
    <w:rsid w:val="009C22E1"/>
    <w:rsid w:val="009C23CE"/>
    <w:rsid w:val="009F549D"/>
    <w:rsid w:val="00A12E76"/>
    <w:rsid w:val="00A15C70"/>
    <w:rsid w:val="00A43311"/>
    <w:rsid w:val="00A4659B"/>
    <w:rsid w:val="00A5036F"/>
    <w:rsid w:val="00A9163D"/>
    <w:rsid w:val="00AB0869"/>
    <w:rsid w:val="00AC20C3"/>
    <w:rsid w:val="00AD29CF"/>
    <w:rsid w:val="00AD3F28"/>
    <w:rsid w:val="00B108D0"/>
    <w:rsid w:val="00B52384"/>
    <w:rsid w:val="00BC27ED"/>
    <w:rsid w:val="00BC6B34"/>
    <w:rsid w:val="00BF1726"/>
    <w:rsid w:val="00BF3E35"/>
    <w:rsid w:val="00C05C42"/>
    <w:rsid w:val="00C42617"/>
    <w:rsid w:val="00C46C72"/>
    <w:rsid w:val="00C51FFE"/>
    <w:rsid w:val="00C7002E"/>
    <w:rsid w:val="00C71AF1"/>
    <w:rsid w:val="00C75529"/>
    <w:rsid w:val="00C75660"/>
    <w:rsid w:val="00C869F9"/>
    <w:rsid w:val="00C873DF"/>
    <w:rsid w:val="00C90AF7"/>
    <w:rsid w:val="00CA7425"/>
    <w:rsid w:val="00CA791D"/>
    <w:rsid w:val="00CB6651"/>
    <w:rsid w:val="00CD7B3B"/>
    <w:rsid w:val="00CE366F"/>
    <w:rsid w:val="00CE4673"/>
    <w:rsid w:val="00D1104B"/>
    <w:rsid w:val="00D15D25"/>
    <w:rsid w:val="00D230FE"/>
    <w:rsid w:val="00D308E8"/>
    <w:rsid w:val="00D74243"/>
    <w:rsid w:val="00D90085"/>
    <w:rsid w:val="00DA4277"/>
    <w:rsid w:val="00DB6128"/>
    <w:rsid w:val="00DD4E9E"/>
    <w:rsid w:val="00DF4AB3"/>
    <w:rsid w:val="00E010CC"/>
    <w:rsid w:val="00E2372B"/>
    <w:rsid w:val="00E30CC6"/>
    <w:rsid w:val="00E33BBD"/>
    <w:rsid w:val="00E5242E"/>
    <w:rsid w:val="00E73F28"/>
    <w:rsid w:val="00E81165"/>
    <w:rsid w:val="00EA0DD2"/>
    <w:rsid w:val="00EC2974"/>
    <w:rsid w:val="00EF10FB"/>
    <w:rsid w:val="00F30DF5"/>
    <w:rsid w:val="00F41008"/>
    <w:rsid w:val="00F55799"/>
    <w:rsid w:val="00F81F5D"/>
    <w:rsid w:val="00F9093B"/>
    <w:rsid w:val="00FC618F"/>
    <w:rsid w:val="00FD1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7C263"/>
  <w15:chartTrackingRefBased/>
  <w15:docId w15:val="{894C1137-A280-4105-8FC2-75220447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90085"/>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583123"/>
    <w:rPr>
      <w:sz w:val="16"/>
      <w:szCs w:val="16"/>
    </w:rPr>
  </w:style>
  <w:style w:type="paragraph" w:styleId="CommentText">
    <w:name w:val="annotation text"/>
    <w:basedOn w:val="Normal"/>
    <w:link w:val="CommentTextChar"/>
    <w:uiPriority w:val="99"/>
    <w:semiHidden/>
    <w:unhideWhenUsed/>
    <w:rsid w:val="00583123"/>
    <w:pPr>
      <w:spacing w:line="240" w:lineRule="auto"/>
    </w:pPr>
    <w:rPr>
      <w:sz w:val="20"/>
      <w:szCs w:val="20"/>
    </w:rPr>
  </w:style>
  <w:style w:type="character" w:customStyle="1" w:styleId="CommentTextChar">
    <w:name w:val="Comment Text Char"/>
    <w:basedOn w:val="DefaultParagraphFont"/>
    <w:link w:val="CommentText"/>
    <w:uiPriority w:val="99"/>
    <w:semiHidden/>
    <w:rsid w:val="00583123"/>
    <w:rPr>
      <w:sz w:val="20"/>
      <w:szCs w:val="20"/>
    </w:rPr>
  </w:style>
  <w:style w:type="paragraph" w:styleId="CommentSubject">
    <w:name w:val="annotation subject"/>
    <w:basedOn w:val="CommentText"/>
    <w:next w:val="CommentText"/>
    <w:link w:val="CommentSubjectChar"/>
    <w:uiPriority w:val="99"/>
    <w:semiHidden/>
    <w:unhideWhenUsed/>
    <w:rsid w:val="00583123"/>
    <w:rPr>
      <w:b/>
      <w:bCs/>
    </w:rPr>
  </w:style>
  <w:style w:type="character" w:customStyle="1" w:styleId="CommentSubjectChar">
    <w:name w:val="Comment Subject Char"/>
    <w:basedOn w:val="CommentTextChar"/>
    <w:link w:val="CommentSubject"/>
    <w:uiPriority w:val="99"/>
    <w:semiHidden/>
    <w:rsid w:val="00583123"/>
    <w:rPr>
      <w:b/>
      <w:bCs/>
      <w:sz w:val="20"/>
      <w:szCs w:val="20"/>
    </w:rPr>
  </w:style>
  <w:style w:type="paragraph" w:styleId="BalloonText">
    <w:name w:val="Balloon Text"/>
    <w:basedOn w:val="Normal"/>
    <w:link w:val="BalloonTextChar"/>
    <w:uiPriority w:val="99"/>
    <w:semiHidden/>
    <w:unhideWhenUsed/>
    <w:rsid w:val="00583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1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3008">
      <w:bodyDiv w:val="1"/>
      <w:marLeft w:val="0"/>
      <w:marRight w:val="0"/>
      <w:marTop w:val="0"/>
      <w:marBottom w:val="0"/>
      <w:divBdr>
        <w:top w:val="none" w:sz="0" w:space="0" w:color="auto"/>
        <w:left w:val="none" w:sz="0" w:space="0" w:color="auto"/>
        <w:bottom w:val="none" w:sz="0" w:space="0" w:color="auto"/>
        <w:right w:val="none" w:sz="0" w:space="0" w:color="auto"/>
      </w:divBdr>
    </w:div>
    <w:div w:id="110587445">
      <w:bodyDiv w:val="1"/>
      <w:marLeft w:val="0"/>
      <w:marRight w:val="0"/>
      <w:marTop w:val="0"/>
      <w:marBottom w:val="0"/>
      <w:divBdr>
        <w:top w:val="none" w:sz="0" w:space="0" w:color="auto"/>
        <w:left w:val="none" w:sz="0" w:space="0" w:color="auto"/>
        <w:bottom w:val="none" w:sz="0" w:space="0" w:color="auto"/>
        <w:right w:val="none" w:sz="0" w:space="0" w:color="auto"/>
      </w:divBdr>
    </w:div>
    <w:div w:id="122233024">
      <w:bodyDiv w:val="1"/>
      <w:marLeft w:val="0"/>
      <w:marRight w:val="0"/>
      <w:marTop w:val="0"/>
      <w:marBottom w:val="0"/>
      <w:divBdr>
        <w:top w:val="none" w:sz="0" w:space="0" w:color="auto"/>
        <w:left w:val="none" w:sz="0" w:space="0" w:color="auto"/>
        <w:bottom w:val="none" w:sz="0" w:space="0" w:color="auto"/>
        <w:right w:val="none" w:sz="0" w:space="0" w:color="auto"/>
      </w:divBdr>
    </w:div>
    <w:div w:id="142739745">
      <w:bodyDiv w:val="1"/>
      <w:marLeft w:val="0"/>
      <w:marRight w:val="0"/>
      <w:marTop w:val="0"/>
      <w:marBottom w:val="0"/>
      <w:divBdr>
        <w:top w:val="none" w:sz="0" w:space="0" w:color="auto"/>
        <w:left w:val="none" w:sz="0" w:space="0" w:color="auto"/>
        <w:bottom w:val="none" w:sz="0" w:space="0" w:color="auto"/>
        <w:right w:val="none" w:sz="0" w:space="0" w:color="auto"/>
      </w:divBdr>
    </w:div>
    <w:div w:id="293565064">
      <w:bodyDiv w:val="1"/>
      <w:marLeft w:val="0"/>
      <w:marRight w:val="0"/>
      <w:marTop w:val="0"/>
      <w:marBottom w:val="0"/>
      <w:divBdr>
        <w:top w:val="none" w:sz="0" w:space="0" w:color="auto"/>
        <w:left w:val="none" w:sz="0" w:space="0" w:color="auto"/>
        <w:bottom w:val="none" w:sz="0" w:space="0" w:color="auto"/>
        <w:right w:val="none" w:sz="0" w:space="0" w:color="auto"/>
      </w:divBdr>
    </w:div>
    <w:div w:id="454443846">
      <w:bodyDiv w:val="1"/>
      <w:marLeft w:val="0"/>
      <w:marRight w:val="0"/>
      <w:marTop w:val="0"/>
      <w:marBottom w:val="0"/>
      <w:divBdr>
        <w:top w:val="none" w:sz="0" w:space="0" w:color="auto"/>
        <w:left w:val="none" w:sz="0" w:space="0" w:color="auto"/>
        <w:bottom w:val="none" w:sz="0" w:space="0" w:color="auto"/>
        <w:right w:val="none" w:sz="0" w:space="0" w:color="auto"/>
      </w:divBdr>
    </w:div>
    <w:div w:id="459957123">
      <w:bodyDiv w:val="1"/>
      <w:marLeft w:val="0"/>
      <w:marRight w:val="0"/>
      <w:marTop w:val="0"/>
      <w:marBottom w:val="0"/>
      <w:divBdr>
        <w:top w:val="none" w:sz="0" w:space="0" w:color="auto"/>
        <w:left w:val="none" w:sz="0" w:space="0" w:color="auto"/>
        <w:bottom w:val="none" w:sz="0" w:space="0" w:color="auto"/>
        <w:right w:val="none" w:sz="0" w:space="0" w:color="auto"/>
      </w:divBdr>
    </w:div>
    <w:div w:id="460001122">
      <w:bodyDiv w:val="1"/>
      <w:marLeft w:val="0"/>
      <w:marRight w:val="0"/>
      <w:marTop w:val="0"/>
      <w:marBottom w:val="0"/>
      <w:divBdr>
        <w:top w:val="none" w:sz="0" w:space="0" w:color="auto"/>
        <w:left w:val="none" w:sz="0" w:space="0" w:color="auto"/>
        <w:bottom w:val="none" w:sz="0" w:space="0" w:color="auto"/>
        <w:right w:val="none" w:sz="0" w:space="0" w:color="auto"/>
      </w:divBdr>
    </w:div>
    <w:div w:id="653411867">
      <w:bodyDiv w:val="1"/>
      <w:marLeft w:val="0"/>
      <w:marRight w:val="0"/>
      <w:marTop w:val="0"/>
      <w:marBottom w:val="0"/>
      <w:divBdr>
        <w:top w:val="none" w:sz="0" w:space="0" w:color="auto"/>
        <w:left w:val="none" w:sz="0" w:space="0" w:color="auto"/>
        <w:bottom w:val="none" w:sz="0" w:space="0" w:color="auto"/>
        <w:right w:val="none" w:sz="0" w:space="0" w:color="auto"/>
      </w:divBdr>
    </w:div>
    <w:div w:id="743602733">
      <w:bodyDiv w:val="1"/>
      <w:marLeft w:val="0"/>
      <w:marRight w:val="0"/>
      <w:marTop w:val="0"/>
      <w:marBottom w:val="0"/>
      <w:divBdr>
        <w:top w:val="none" w:sz="0" w:space="0" w:color="auto"/>
        <w:left w:val="none" w:sz="0" w:space="0" w:color="auto"/>
        <w:bottom w:val="none" w:sz="0" w:space="0" w:color="auto"/>
        <w:right w:val="none" w:sz="0" w:space="0" w:color="auto"/>
      </w:divBdr>
    </w:div>
    <w:div w:id="761796941">
      <w:bodyDiv w:val="1"/>
      <w:marLeft w:val="0"/>
      <w:marRight w:val="0"/>
      <w:marTop w:val="0"/>
      <w:marBottom w:val="0"/>
      <w:divBdr>
        <w:top w:val="none" w:sz="0" w:space="0" w:color="auto"/>
        <w:left w:val="none" w:sz="0" w:space="0" w:color="auto"/>
        <w:bottom w:val="none" w:sz="0" w:space="0" w:color="auto"/>
        <w:right w:val="none" w:sz="0" w:space="0" w:color="auto"/>
      </w:divBdr>
    </w:div>
    <w:div w:id="812409874">
      <w:bodyDiv w:val="1"/>
      <w:marLeft w:val="0"/>
      <w:marRight w:val="0"/>
      <w:marTop w:val="0"/>
      <w:marBottom w:val="0"/>
      <w:divBdr>
        <w:top w:val="none" w:sz="0" w:space="0" w:color="auto"/>
        <w:left w:val="none" w:sz="0" w:space="0" w:color="auto"/>
        <w:bottom w:val="none" w:sz="0" w:space="0" w:color="auto"/>
        <w:right w:val="none" w:sz="0" w:space="0" w:color="auto"/>
      </w:divBdr>
    </w:div>
    <w:div w:id="1082142244">
      <w:bodyDiv w:val="1"/>
      <w:marLeft w:val="0"/>
      <w:marRight w:val="0"/>
      <w:marTop w:val="0"/>
      <w:marBottom w:val="0"/>
      <w:divBdr>
        <w:top w:val="none" w:sz="0" w:space="0" w:color="auto"/>
        <w:left w:val="none" w:sz="0" w:space="0" w:color="auto"/>
        <w:bottom w:val="none" w:sz="0" w:space="0" w:color="auto"/>
        <w:right w:val="none" w:sz="0" w:space="0" w:color="auto"/>
      </w:divBdr>
    </w:div>
    <w:div w:id="1219048558">
      <w:bodyDiv w:val="1"/>
      <w:marLeft w:val="0"/>
      <w:marRight w:val="0"/>
      <w:marTop w:val="0"/>
      <w:marBottom w:val="0"/>
      <w:divBdr>
        <w:top w:val="none" w:sz="0" w:space="0" w:color="auto"/>
        <w:left w:val="none" w:sz="0" w:space="0" w:color="auto"/>
        <w:bottom w:val="none" w:sz="0" w:space="0" w:color="auto"/>
        <w:right w:val="none" w:sz="0" w:space="0" w:color="auto"/>
      </w:divBdr>
    </w:div>
    <w:div w:id="1339700867">
      <w:bodyDiv w:val="1"/>
      <w:marLeft w:val="0"/>
      <w:marRight w:val="0"/>
      <w:marTop w:val="0"/>
      <w:marBottom w:val="0"/>
      <w:divBdr>
        <w:top w:val="none" w:sz="0" w:space="0" w:color="auto"/>
        <w:left w:val="none" w:sz="0" w:space="0" w:color="auto"/>
        <w:bottom w:val="none" w:sz="0" w:space="0" w:color="auto"/>
        <w:right w:val="none" w:sz="0" w:space="0" w:color="auto"/>
      </w:divBdr>
    </w:div>
    <w:div w:id="1487890242">
      <w:bodyDiv w:val="1"/>
      <w:marLeft w:val="0"/>
      <w:marRight w:val="0"/>
      <w:marTop w:val="0"/>
      <w:marBottom w:val="0"/>
      <w:divBdr>
        <w:top w:val="none" w:sz="0" w:space="0" w:color="auto"/>
        <w:left w:val="none" w:sz="0" w:space="0" w:color="auto"/>
        <w:bottom w:val="none" w:sz="0" w:space="0" w:color="auto"/>
        <w:right w:val="none" w:sz="0" w:space="0" w:color="auto"/>
      </w:divBdr>
    </w:div>
    <w:div w:id="1613513059">
      <w:bodyDiv w:val="1"/>
      <w:marLeft w:val="0"/>
      <w:marRight w:val="0"/>
      <w:marTop w:val="0"/>
      <w:marBottom w:val="0"/>
      <w:divBdr>
        <w:top w:val="none" w:sz="0" w:space="0" w:color="auto"/>
        <w:left w:val="none" w:sz="0" w:space="0" w:color="auto"/>
        <w:bottom w:val="none" w:sz="0" w:space="0" w:color="auto"/>
        <w:right w:val="none" w:sz="0" w:space="0" w:color="auto"/>
      </w:divBdr>
    </w:div>
    <w:div w:id="1680740362">
      <w:bodyDiv w:val="1"/>
      <w:marLeft w:val="0"/>
      <w:marRight w:val="0"/>
      <w:marTop w:val="0"/>
      <w:marBottom w:val="0"/>
      <w:divBdr>
        <w:top w:val="none" w:sz="0" w:space="0" w:color="auto"/>
        <w:left w:val="none" w:sz="0" w:space="0" w:color="auto"/>
        <w:bottom w:val="none" w:sz="0" w:space="0" w:color="auto"/>
        <w:right w:val="none" w:sz="0" w:space="0" w:color="auto"/>
      </w:divBdr>
    </w:div>
    <w:div w:id="1879080631">
      <w:bodyDiv w:val="1"/>
      <w:marLeft w:val="0"/>
      <w:marRight w:val="0"/>
      <w:marTop w:val="0"/>
      <w:marBottom w:val="0"/>
      <w:divBdr>
        <w:top w:val="none" w:sz="0" w:space="0" w:color="auto"/>
        <w:left w:val="none" w:sz="0" w:space="0" w:color="auto"/>
        <w:bottom w:val="none" w:sz="0" w:space="0" w:color="auto"/>
        <w:right w:val="none" w:sz="0" w:space="0" w:color="auto"/>
      </w:divBdr>
    </w:div>
    <w:div w:id="1986549300">
      <w:bodyDiv w:val="1"/>
      <w:marLeft w:val="0"/>
      <w:marRight w:val="0"/>
      <w:marTop w:val="0"/>
      <w:marBottom w:val="0"/>
      <w:divBdr>
        <w:top w:val="none" w:sz="0" w:space="0" w:color="auto"/>
        <w:left w:val="none" w:sz="0" w:space="0" w:color="auto"/>
        <w:bottom w:val="none" w:sz="0" w:space="0" w:color="auto"/>
        <w:right w:val="none" w:sz="0" w:space="0" w:color="auto"/>
      </w:divBdr>
    </w:div>
    <w:div w:id="2031299249">
      <w:bodyDiv w:val="1"/>
      <w:marLeft w:val="0"/>
      <w:marRight w:val="0"/>
      <w:marTop w:val="0"/>
      <w:marBottom w:val="0"/>
      <w:divBdr>
        <w:top w:val="none" w:sz="0" w:space="0" w:color="auto"/>
        <w:left w:val="none" w:sz="0" w:space="0" w:color="auto"/>
        <w:bottom w:val="none" w:sz="0" w:space="0" w:color="auto"/>
        <w:right w:val="none" w:sz="0" w:space="0" w:color="auto"/>
      </w:divBdr>
    </w:div>
    <w:div w:id="2071877468">
      <w:bodyDiv w:val="1"/>
      <w:marLeft w:val="0"/>
      <w:marRight w:val="0"/>
      <w:marTop w:val="0"/>
      <w:marBottom w:val="0"/>
      <w:divBdr>
        <w:top w:val="none" w:sz="0" w:space="0" w:color="auto"/>
        <w:left w:val="none" w:sz="0" w:space="0" w:color="auto"/>
        <w:bottom w:val="none" w:sz="0" w:space="0" w:color="auto"/>
        <w:right w:val="none" w:sz="0" w:space="0" w:color="auto"/>
      </w:divBdr>
    </w:div>
    <w:div w:id="207901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B5F77-7195-461C-9389-65D57C7A0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7682</Words>
  <Characters>43792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IRFANSYAH LUBIS#</dc:creator>
  <cp:keywords/>
  <dc:description/>
  <cp:lastModifiedBy>Lubis, Muhammad</cp:lastModifiedBy>
  <cp:revision>3</cp:revision>
  <dcterms:created xsi:type="dcterms:W3CDTF">2023-08-22T11:15:00Z</dcterms:created>
  <dcterms:modified xsi:type="dcterms:W3CDTF">2023-08-22T11:24:00Z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8th edition</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http://www.zotero.org/styles/oryx</vt:lpwstr>
  </property>
  <property fmtid="{D5CDD505-2E9C-101B-9397-08002B2CF9AE}" pid="17" name="Mendeley Recent Style Name 7_1">
    <vt:lpwstr>Oryx</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http://www.zotero.org/styles/vancouver-brackets</vt:lpwstr>
  </property>
  <property fmtid="{D5CDD505-2E9C-101B-9397-08002B2CF9AE}" pid="21" name="Mendeley Recent Style Name 9_1">
    <vt:lpwstr>Vancouver (brackets)</vt:lpwstr>
  </property>
  <property fmtid="{D5CDD505-2E9C-101B-9397-08002B2CF9AE}" pid="22" name="Mendeley Citation Style_1">
    <vt:lpwstr>http://www.zotero.org/styles/oryx</vt:lpwstr>
  </property>
  <property fmtid="{D5CDD505-2E9C-101B-9397-08002B2CF9AE}" pid="23" name="Mendeley Document_1">
    <vt:lpwstr>True</vt:lpwstr>
  </property>
  <property fmtid="{D5CDD505-2E9C-101B-9397-08002B2CF9AE}" pid="24" name="Mendeley Unique User Id_1">
    <vt:lpwstr>0af980d2-2f0d-3689-aa93-94d9a0b1f549</vt:lpwstr>
  </property>
</Properties>
</file>