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  <w:r>
        <w:rPr>
          <w:rFonts w:hint="eastAsia" w:ascii="Times New Roman" w:hAnsi="Times New Roman" w:cs="Times New Roman"/>
          <w:b/>
          <w:bCs/>
          <w:sz w:val="22"/>
        </w:rPr>
        <w:t>Supplementary</w:t>
      </w:r>
      <w:r>
        <w:rPr>
          <w:rFonts w:ascii="Times New Roman" w:hAnsi="Times New Roman" w:cs="Times New Roman"/>
          <w:b/>
          <w:bCs/>
          <w:sz w:val="22"/>
        </w:rPr>
        <w:t xml:space="preserve"> </w:t>
      </w:r>
      <w:r>
        <w:rPr>
          <w:rFonts w:hint="eastAsia" w:ascii="Times New Roman" w:hAnsi="Times New Roman" w:cs="Times New Roman"/>
          <w:b/>
          <w:bCs/>
          <w:sz w:val="22"/>
        </w:rPr>
        <w:t>f</w:t>
      </w:r>
      <w:r>
        <w:rPr>
          <w:rFonts w:ascii="Times New Roman" w:hAnsi="Times New Roman" w:cs="Times New Roman"/>
          <w:b/>
          <w:bCs/>
          <w:sz w:val="22"/>
        </w:rPr>
        <w:t>igure</w:t>
      </w:r>
      <w:r>
        <w:rPr>
          <w:rFonts w:hint="eastAsia" w:ascii="Times New Roman" w:hAnsi="Times New Roman" w:cs="Times New Roman"/>
          <w:b/>
          <w:bCs/>
          <w:sz w:val="22"/>
        </w:rPr>
        <w:t>s</w:t>
      </w:r>
    </w:p>
    <w:p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drawing>
          <wp:inline distT="0" distB="0" distL="0" distR="0">
            <wp:extent cx="4515485" cy="35833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263" cy="359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微软雅黑" w:cs="Times New Roman"/>
          <w:color w:val="000000"/>
          <w:szCs w:val="21"/>
        </w:rPr>
      </w:pPr>
      <w:r>
        <w:rPr>
          <w:rFonts w:ascii="Times New Roman" w:hAnsi="Times New Roman" w:eastAsia="微软雅黑" w:cs="Times New Roman"/>
          <w:b/>
          <w:bCs/>
          <w:szCs w:val="21"/>
        </w:rPr>
        <w:t>Fig S1</w:t>
      </w:r>
      <w:r>
        <w:rPr>
          <w:rFonts w:ascii="Times New Roman" w:hAnsi="Times New Roman" w:eastAsia="仿宋" w:cs="Times New Roman"/>
          <w:b/>
          <w:bCs/>
          <w:szCs w:val="21"/>
        </w:rPr>
        <w:t>.</w:t>
      </w:r>
      <w:r>
        <w:rPr>
          <w:rFonts w:ascii="Times New Roman" w:hAnsi="Times New Roman" w:eastAsia="仿宋" w:cs="Times New Roman"/>
          <w:szCs w:val="21"/>
        </w:rPr>
        <w:t xml:space="preserve"> (A) </w:t>
      </w:r>
      <w:r>
        <w:rPr>
          <w:rFonts w:ascii="Times New Roman" w:hAnsi="Times New Roman" w:eastAsia="微软雅黑" w:cs="Times New Roman"/>
          <w:color w:val="000000"/>
          <w:szCs w:val="21"/>
        </w:rPr>
        <w:t xml:space="preserve">Expression of marker genes in each cluster 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>was</w:t>
      </w:r>
      <w:r>
        <w:rPr>
          <w:rFonts w:ascii="Times New Roman" w:hAnsi="Times New Roman" w:eastAsia="微软雅黑" w:cs="Times New Roman"/>
          <w:color w:val="000000"/>
          <w:szCs w:val="21"/>
        </w:rPr>
        <w:t xml:space="preserve"> represented 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>by</w:t>
      </w:r>
      <w:r>
        <w:rPr>
          <w:rFonts w:ascii="Times New Roman" w:hAnsi="Times New Roman" w:eastAsia="微软雅黑" w:cs="Times New Roman"/>
          <w:color w:val="000000"/>
          <w:szCs w:val="21"/>
        </w:rPr>
        <w:t xml:space="preserve"> violin plots. (B) Violin plots shows the 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 xml:space="preserve">expression of </w:t>
      </w:r>
      <w:r>
        <w:rPr>
          <w:rFonts w:ascii="Times New Roman" w:hAnsi="Times New Roman" w:eastAsia="微软雅黑" w:cs="Times New Roman"/>
          <w:color w:val="000000"/>
          <w:szCs w:val="21"/>
        </w:rPr>
        <w:t xml:space="preserve">marker genes 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>in</w:t>
      </w:r>
      <w:r>
        <w:rPr>
          <w:rFonts w:ascii="Times New Roman" w:hAnsi="Times New Roman" w:eastAsia="微软雅黑" w:cs="Times New Roman"/>
          <w:color w:val="000000"/>
          <w:szCs w:val="21"/>
        </w:rPr>
        <w:t xml:space="preserve"> high-cuproptosis stemness clusters. (C-D) Differential expression between 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>LUAD</w:t>
      </w:r>
      <w:r>
        <w:rPr>
          <w:rFonts w:ascii="Times New Roman" w:hAnsi="Times New Roman" w:eastAsia="微软雅黑" w:cs="Times New Roman"/>
          <w:color w:val="000000"/>
          <w:szCs w:val="21"/>
        </w:rPr>
        <w:t xml:space="preserve"> and para-carcinoma tissues in TCGA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>-LUAD</w:t>
      </w:r>
      <w:r>
        <w:rPr>
          <w:rFonts w:ascii="Times New Roman" w:hAnsi="Times New Roman" w:eastAsia="微软雅黑" w:cs="Times New Roman"/>
          <w:color w:val="000000"/>
          <w:szCs w:val="21"/>
        </w:rPr>
        <w:t xml:space="preserve"> by heatmap and volcano plot. Red represents high expression; blue represents low expression. (E) tSNE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> showing the t</w:t>
      </w:r>
      <w:r>
        <w:rPr>
          <w:rFonts w:ascii="Times New Roman" w:hAnsi="Times New Roman" w:eastAsia="微软雅黑" w:cs="Times New Roman"/>
          <w:color w:val="000000"/>
          <w:szCs w:val="21"/>
        </w:rPr>
        <w:t xml:space="preserve">hree distinct clusters 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>which were identified by c</w:t>
      </w:r>
      <w:r>
        <w:rPr>
          <w:rFonts w:ascii="Times New Roman" w:hAnsi="Times New Roman" w:eastAsia="微软雅黑" w:cs="Times New Roman"/>
          <w:color w:val="000000"/>
          <w:szCs w:val="21"/>
        </w:rPr>
        <w:t>onsensus clustering (pale red, cluster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 xml:space="preserve">1; </w:t>
      </w:r>
      <w:r>
        <w:rPr>
          <w:rFonts w:ascii="Times New Roman" w:hAnsi="Times New Roman" w:eastAsia="微软雅黑" w:cs="Times New Roman"/>
          <w:color w:val="000000"/>
          <w:szCs w:val="21"/>
        </w:rPr>
        <w:t>blue, cluster2; green, cluster3)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>.</w:t>
      </w:r>
      <w:r>
        <w:rPr>
          <w:rFonts w:ascii="Times New Roman" w:hAnsi="Times New Roman" w:eastAsia="微软雅黑" w:cs="Times New Roman"/>
          <w:color w:val="000000"/>
          <w:szCs w:val="21"/>
        </w:rPr>
        <w:t xml:space="preserve"> </w:t>
      </w:r>
    </w:p>
    <w:p>
      <w:pPr>
        <w:spacing w:line="360" w:lineRule="auto"/>
        <w:rPr>
          <w:rFonts w:ascii="Times New Roman" w:hAnsi="Times New Roman" w:eastAsia="微软雅黑" w:cs="Times New Roman"/>
          <w:color w:val="000000"/>
          <w:szCs w:val="21"/>
        </w:rPr>
      </w:pPr>
      <w:r>
        <w:rPr>
          <w:rFonts w:ascii="Times New Roman" w:hAnsi="Times New Roman" w:eastAsia="微软雅黑" w:cs="Times New Roman"/>
          <w:color w:val="000000"/>
          <w:szCs w:val="21"/>
        </w:rPr>
        <w:drawing>
          <wp:inline distT="0" distB="0" distL="0" distR="0">
            <wp:extent cx="4584700" cy="385191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250" cy="385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微软雅黑" w:cs="Times New Roman"/>
          <w:color w:val="000000"/>
          <w:szCs w:val="21"/>
        </w:rPr>
      </w:pPr>
      <w:r>
        <w:rPr>
          <w:rFonts w:ascii="Times New Roman" w:hAnsi="Times New Roman" w:eastAsia="微软雅黑" w:cs="Times New Roman"/>
          <w:b/>
          <w:bCs/>
          <w:szCs w:val="21"/>
        </w:rPr>
        <w:t>Fig S</w:t>
      </w:r>
      <w:r>
        <w:rPr>
          <w:rFonts w:hint="eastAsia" w:ascii="Times New Roman" w:hAnsi="Times New Roman" w:eastAsia="微软雅黑" w:cs="Times New Roman"/>
          <w:b/>
          <w:bCs/>
          <w:szCs w:val="21"/>
        </w:rPr>
        <w:t>2</w:t>
      </w:r>
      <w:r>
        <w:rPr>
          <w:rFonts w:ascii="Times New Roman" w:hAnsi="Times New Roman" w:eastAsia="仿宋" w:cs="Times New Roman"/>
          <w:b/>
          <w:bCs/>
          <w:szCs w:val="21"/>
        </w:rPr>
        <w:t>.</w:t>
      </w:r>
      <w:r>
        <w:rPr>
          <w:rFonts w:ascii="Times New Roman" w:hAnsi="Times New Roman" w:eastAsia="仿宋" w:cs="Times New Roman"/>
          <w:szCs w:val="21"/>
        </w:rPr>
        <w:t xml:space="preserve"> (</w:t>
      </w:r>
      <w:r>
        <w:rPr>
          <w:rFonts w:ascii="Times New Roman" w:hAnsi="Times New Roman" w:eastAsia="微软雅黑" w:cs="Times New Roman"/>
          <w:color w:val="000000"/>
          <w:szCs w:val="21"/>
        </w:rPr>
        <w:t>A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>-B</w:t>
      </w:r>
      <w:r>
        <w:rPr>
          <w:rFonts w:ascii="Times New Roman" w:hAnsi="Times New Roman" w:eastAsia="微软雅黑" w:cs="Times New Roman"/>
          <w:color w:val="000000"/>
          <w:szCs w:val="21"/>
        </w:rPr>
        <w:t>)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 xml:space="preserve"> </w:t>
      </w:r>
      <w:r>
        <w:rPr>
          <w:rFonts w:ascii="Times New Roman" w:hAnsi="Times New Roman" w:eastAsia="微软雅黑" w:cs="Times New Roman"/>
          <w:color w:val="000000"/>
          <w:szCs w:val="21"/>
        </w:rPr>
        <w:t xml:space="preserve">ROC curves for 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>1-</w:t>
      </w:r>
      <w:r>
        <w:rPr>
          <w:rFonts w:ascii="Times New Roman" w:hAnsi="Times New Roman" w:eastAsia="微软雅黑" w:cs="Times New Roman"/>
          <w:color w:val="000000"/>
          <w:szCs w:val="21"/>
        </w:rPr>
        <w:t xml:space="preserve">, 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>2-</w:t>
      </w:r>
      <w:r>
        <w:rPr>
          <w:rFonts w:ascii="Times New Roman" w:hAnsi="Times New Roman" w:eastAsia="微软雅黑" w:cs="Times New Roman"/>
          <w:color w:val="000000"/>
          <w:szCs w:val="21"/>
        </w:rPr>
        <w:t xml:space="preserve">, and 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 xml:space="preserve">3- </w:t>
      </w:r>
      <w:r>
        <w:rPr>
          <w:rFonts w:ascii="Times New Roman" w:hAnsi="Times New Roman" w:eastAsia="微软雅黑" w:cs="Times New Roman"/>
          <w:color w:val="000000"/>
          <w:szCs w:val="21"/>
        </w:rPr>
        <w:t>year OS were calculated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 xml:space="preserve"> in TCGA-LUAD cohort</w:t>
      </w:r>
      <w:r>
        <w:rPr>
          <w:rFonts w:ascii="Times New Roman" w:hAnsi="Times New Roman" w:eastAsia="微软雅黑" w:cs="Times New Roman"/>
          <w:color w:val="000000"/>
          <w:szCs w:val="21"/>
        </w:rPr>
        <w:t>, with AUCs of 0.7049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 xml:space="preserve">, </w:t>
      </w:r>
      <w:r>
        <w:rPr>
          <w:rFonts w:ascii="Times New Roman" w:hAnsi="Times New Roman" w:eastAsia="微软雅黑" w:cs="Times New Roman"/>
          <w:color w:val="000000"/>
          <w:szCs w:val="21"/>
        </w:rPr>
        <w:t>0.7049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 xml:space="preserve"> and </w:t>
      </w:r>
      <w:r>
        <w:rPr>
          <w:rFonts w:ascii="Times New Roman" w:hAnsi="Times New Roman" w:eastAsia="微软雅黑" w:cs="Times New Roman"/>
          <w:color w:val="000000"/>
          <w:szCs w:val="21"/>
        </w:rPr>
        <w:t>0.6836, respectively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 xml:space="preserve">. (C-D) </w:t>
      </w:r>
      <w:r>
        <w:rPr>
          <w:rFonts w:ascii="Times New Roman" w:hAnsi="Times New Roman" w:eastAsia="微软雅黑" w:cs="Times New Roman"/>
          <w:color w:val="000000"/>
          <w:szCs w:val="21"/>
        </w:rPr>
        <w:t xml:space="preserve">1-, 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>2</w:t>
      </w:r>
      <w:r>
        <w:rPr>
          <w:rFonts w:ascii="Times New Roman" w:hAnsi="Times New Roman" w:eastAsia="微软雅黑" w:cs="Times New Roman"/>
          <w:color w:val="000000"/>
          <w:szCs w:val="21"/>
        </w:rPr>
        <w:t xml:space="preserve">-, and 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>3</w:t>
      </w:r>
      <w:r>
        <w:rPr>
          <w:rFonts w:ascii="Times New Roman" w:hAnsi="Times New Roman" w:eastAsia="微软雅黑" w:cs="Times New Roman"/>
          <w:color w:val="000000"/>
          <w:szCs w:val="21"/>
        </w:rPr>
        <w:t xml:space="preserve">-year ROC curves for 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 xml:space="preserve">the </w:t>
      </w:r>
      <w:r>
        <w:rPr>
          <w:rFonts w:ascii="Times New Roman" w:hAnsi="Times New Roman" w:eastAsia="微软雅黑" w:cs="Times New Roman"/>
          <w:color w:val="000000"/>
          <w:szCs w:val="21"/>
        </w:rPr>
        <w:t>GSE141569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 xml:space="preserve"> </w:t>
      </w:r>
      <w:r>
        <w:rPr>
          <w:rFonts w:ascii="Times New Roman" w:hAnsi="Times New Roman" w:eastAsia="微软雅黑" w:cs="Times New Roman"/>
          <w:color w:val="000000"/>
          <w:szCs w:val="21"/>
        </w:rPr>
        <w:t>dataset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 xml:space="preserve">, </w:t>
      </w:r>
      <w:r>
        <w:rPr>
          <w:rFonts w:ascii="Times New Roman" w:hAnsi="Times New Roman" w:eastAsia="微软雅黑" w:cs="Times New Roman"/>
          <w:color w:val="000000"/>
          <w:szCs w:val="21"/>
        </w:rPr>
        <w:t>with AUCs of 0.6607,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 xml:space="preserve"> </w:t>
      </w:r>
      <w:r>
        <w:rPr>
          <w:rFonts w:ascii="Times New Roman" w:hAnsi="Times New Roman" w:eastAsia="微软雅黑" w:cs="Times New Roman"/>
          <w:color w:val="000000"/>
          <w:szCs w:val="21"/>
        </w:rPr>
        <w:t>0.6210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 xml:space="preserve"> and </w:t>
      </w:r>
      <w:r>
        <w:rPr>
          <w:rFonts w:ascii="Times New Roman" w:hAnsi="Times New Roman" w:eastAsia="微软雅黑" w:cs="Times New Roman"/>
          <w:color w:val="000000"/>
          <w:szCs w:val="21"/>
        </w:rPr>
        <w:t>0.6219, respectively</w:t>
      </w:r>
      <w:r>
        <w:rPr>
          <w:rFonts w:hint="eastAsia" w:ascii="Times New Roman" w:hAnsi="Times New Roman" w:eastAsia="微软雅黑" w:cs="Times New Roman"/>
          <w:color w:val="000000"/>
          <w:szCs w:val="21"/>
        </w:rPr>
        <w:t>.</w:t>
      </w:r>
    </w:p>
    <w:p>
      <w:pPr>
        <w:spacing w:line="360" w:lineRule="auto"/>
        <w:rPr>
          <w:rFonts w:ascii="Times New Roman" w:hAnsi="Times New Roman" w:eastAsia="微软雅黑" w:cs="Times New Roman"/>
          <w:color w:val="000000"/>
          <w:szCs w:val="21"/>
        </w:rPr>
      </w:pPr>
      <w:r>
        <w:rPr>
          <w:rFonts w:ascii="Times New Roman" w:hAnsi="Times New Roman" w:eastAsia="微软雅黑" w:cs="Times New Roman"/>
          <w:color w:val="000000"/>
          <w:szCs w:val="21"/>
        </w:rPr>
        <w:drawing>
          <wp:inline distT="0" distB="0" distL="0" distR="0">
            <wp:extent cx="4745990" cy="25914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33" cy="260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AdvOT1ef757c0" w:cs="Times New Roman"/>
          <w:color w:val="231F20"/>
          <w:kern w:val="0"/>
          <w:szCs w:val="21"/>
          <w:lang w:bidi="ar"/>
        </w:rPr>
      </w:pPr>
      <w:r>
        <w:rPr>
          <w:rFonts w:ascii="Times New Roman" w:hAnsi="Times New Roman" w:eastAsia="微软雅黑" w:cs="Times New Roman"/>
          <w:b/>
          <w:bCs/>
          <w:szCs w:val="21"/>
        </w:rPr>
        <w:t>Fig</w:t>
      </w:r>
      <w:r>
        <w:rPr>
          <w:rFonts w:hint="eastAsia" w:ascii="Times New Roman" w:hAnsi="Times New Roman" w:eastAsia="微软雅黑" w:cs="Times New Roman"/>
          <w:b/>
          <w:bCs/>
          <w:szCs w:val="21"/>
        </w:rPr>
        <w:t xml:space="preserve"> </w:t>
      </w:r>
      <w:r>
        <w:rPr>
          <w:rFonts w:ascii="Times New Roman" w:hAnsi="Times New Roman" w:eastAsia="微软雅黑" w:cs="Times New Roman"/>
          <w:b/>
          <w:bCs/>
          <w:szCs w:val="21"/>
        </w:rPr>
        <w:t>S</w:t>
      </w:r>
      <w:r>
        <w:rPr>
          <w:rFonts w:hint="eastAsia" w:ascii="Times New Roman" w:hAnsi="Times New Roman" w:eastAsia="微软雅黑" w:cs="Times New Roman"/>
          <w:b/>
          <w:bCs/>
          <w:szCs w:val="21"/>
        </w:rPr>
        <w:t>3</w:t>
      </w:r>
      <w:r>
        <w:rPr>
          <w:rFonts w:ascii="Times New Roman" w:hAnsi="Times New Roman" w:eastAsia="仿宋" w:cs="Times New Roman"/>
          <w:b/>
          <w:bCs/>
          <w:szCs w:val="21"/>
        </w:rPr>
        <w:t>.</w:t>
      </w:r>
      <w:r>
        <w:rPr>
          <w:rFonts w:hint="eastAsia" w:ascii="Arial" w:hAnsi="Arial" w:eastAsia="仿宋" w:cs="Times New Roman"/>
          <w:szCs w:val="21"/>
        </w:rPr>
        <w:t xml:space="preserve"> </w:t>
      </w:r>
      <w:r>
        <w:rPr>
          <w:rFonts w:hint="eastAsia" w:ascii="Times New Roman" w:hAnsi="Times New Roman" w:eastAsia="AdvOT1ef757c0" w:cs="Times New Roman"/>
          <w:color w:val="231F20"/>
          <w:kern w:val="0"/>
          <w:szCs w:val="21"/>
          <w:lang w:bidi="ar"/>
        </w:rPr>
        <w:t>(A-B) U</w:t>
      </w:r>
      <w:r>
        <w:rPr>
          <w:rFonts w:ascii="Times New Roman" w:hAnsi="Times New Roman" w:eastAsia="AdvOT1ef757c0" w:cs="Times New Roman"/>
          <w:color w:val="231F20"/>
          <w:kern w:val="0"/>
          <w:szCs w:val="21"/>
          <w:lang w:bidi="ar"/>
        </w:rPr>
        <w:t xml:space="preserve">nivariate </w:t>
      </w:r>
      <w:r>
        <w:rPr>
          <w:rFonts w:hint="eastAsia" w:ascii="Times New Roman" w:hAnsi="Times New Roman" w:eastAsia="AdvOT1ef757c0" w:cs="Times New Roman"/>
          <w:color w:val="231F20"/>
          <w:kern w:val="0"/>
          <w:szCs w:val="21"/>
          <w:lang w:bidi="ar"/>
        </w:rPr>
        <w:t>and</w:t>
      </w:r>
      <w:r>
        <w:rPr>
          <w:rFonts w:ascii="Times New Roman" w:hAnsi="Times New Roman" w:eastAsia="AdvOT1ef757c0" w:cs="Times New Roman"/>
          <w:color w:val="231F20"/>
          <w:kern w:val="0"/>
          <w:szCs w:val="21"/>
          <w:lang w:bidi="ar"/>
        </w:rPr>
        <w:t xml:space="preserve"> </w:t>
      </w:r>
      <w:r>
        <w:rPr>
          <w:rFonts w:hint="eastAsia" w:ascii="Times New Roman" w:hAnsi="Times New Roman" w:eastAsia="AdvOT1ef757c0" w:cs="Times New Roman"/>
          <w:color w:val="231F20"/>
          <w:kern w:val="0"/>
          <w:szCs w:val="21"/>
          <w:lang w:bidi="ar"/>
        </w:rPr>
        <w:t xml:space="preserve">multivariate </w:t>
      </w:r>
      <w:r>
        <w:rPr>
          <w:rFonts w:ascii="Times New Roman" w:hAnsi="Times New Roman" w:eastAsia="AdvOT1ef757c0" w:cs="Times New Roman"/>
          <w:color w:val="231F20"/>
          <w:kern w:val="0"/>
          <w:szCs w:val="21"/>
          <w:lang w:bidi="ar"/>
        </w:rPr>
        <w:t>Cox regression</w:t>
      </w:r>
      <w:r>
        <w:rPr>
          <w:rFonts w:hint="eastAsia" w:ascii="Times New Roman" w:hAnsi="Times New Roman" w:eastAsia="AdvOT1ef757c0" w:cs="Times New Roman"/>
          <w:color w:val="231F20"/>
          <w:kern w:val="0"/>
          <w:szCs w:val="21"/>
          <w:lang w:bidi="ar"/>
        </w:rPr>
        <w:t xml:space="preserve"> were validated </w:t>
      </w:r>
      <w:r>
        <w:rPr>
          <w:rFonts w:ascii="Times New Roman" w:hAnsi="Times New Roman" w:eastAsia="仿宋" w:cs="Times New Roman"/>
          <w:szCs w:val="24"/>
          <w:lang w:bidi="ar"/>
        </w:rPr>
        <w:t>in external cohort</w:t>
      </w:r>
      <w:r>
        <w:rPr>
          <w:rFonts w:hint="eastAsia" w:ascii="Times New Roman" w:hAnsi="Times New Roman" w:eastAsia="AdvOT1ef757c0" w:cs="Times New Roman"/>
          <w:color w:val="231F20"/>
          <w:kern w:val="0"/>
          <w:szCs w:val="21"/>
          <w:lang w:bidi="ar"/>
        </w:rPr>
        <w:t xml:space="preserve">. (C-D) Barplot and heatmap showing </w:t>
      </w:r>
      <w:r>
        <w:rPr>
          <w:rFonts w:ascii="Times New Roman" w:hAnsi="Times New Roman" w:eastAsia="AdvOT1ef757c0" w:cs="Times New Roman"/>
          <w:color w:val="231F20"/>
          <w:kern w:val="0"/>
          <w:szCs w:val="21"/>
          <w:lang w:bidi="ar"/>
        </w:rPr>
        <w:t>the proportion</w:t>
      </w:r>
      <w:r>
        <w:rPr>
          <w:rFonts w:hint="eastAsia" w:ascii="Times New Roman" w:hAnsi="Times New Roman" w:eastAsia="AdvOT1ef757c0" w:cs="Times New Roman"/>
          <w:color w:val="231F20"/>
          <w:kern w:val="0"/>
          <w:szCs w:val="21"/>
          <w:lang w:bidi="ar"/>
        </w:rPr>
        <w:t xml:space="preserve"> and correlation </w:t>
      </w:r>
      <w:r>
        <w:rPr>
          <w:rFonts w:ascii="Times New Roman" w:hAnsi="Times New Roman" w:eastAsia="AdvOT1ef757c0" w:cs="Times New Roman"/>
          <w:color w:val="231F20"/>
          <w:kern w:val="0"/>
          <w:szCs w:val="21"/>
          <w:lang w:bidi="ar"/>
        </w:rPr>
        <w:t>of the 22 immune cells</w:t>
      </w:r>
      <w:r>
        <w:rPr>
          <w:rFonts w:hint="eastAsia" w:ascii="Times New Roman" w:hAnsi="Times New Roman" w:eastAsia="AdvOT1ef757c0" w:cs="Times New Roman"/>
          <w:color w:val="231F20"/>
          <w:kern w:val="0"/>
          <w:szCs w:val="21"/>
          <w:lang w:bidi="ar"/>
        </w:rPr>
        <w:t xml:space="preserve"> </w:t>
      </w:r>
      <w:r>
        <w:rPr>
          <w:rFonts w:ascii="Times New Roman" w:hAnsi="Times New Roman" w:eastAsia="AdvOT1ef757c0" w:cs="Times New Roman"/>
          <w:color w:val="231F20"/>
          <w:kern w:val="0"/>
          <w:szCs w:val="21"/>
          <w:lang w:bidi="ar"/>
        </w:rPr>
        <w:t xml:space="preserve">in each </w:t>
      </w:r>
      <w:r>
        <w:rPr>
          <w:rFonts w:hint="eastAsia" w:ascii="Times New Roman" w:hAnsi="Times New Roman" w:eastAsia="AdvOT1ef757c0" w:cs="Times New Roman"/>
          <w:color w:val="231F20"/>
          <w:kern w:val="0"/>
          <w:szCs w:val="21"/>
          <w:lang w:bidi="ar"/>
        </w:rPr>
        <w:t xml:space="preserve">TCGA-LUAD </w:t>
      </w:r>
      <w:r>
        <w:rPr>
          <w:rFonts w:ascii="Times New Roman" w:hAnsi="Times New Roman" w:eastAsia="AdvOT1ef757c0" w:cs="Times New Roman"/>
          <w:color w:val="231F20"/>
          <w:kern w:val="0"/>
          <w:szCs w:val="21"/>
          <w:lang w:bidi="ar"/>
        </w:rPr>
        <w:t>patient</w:t>
      </w:r>
      <w:r>
        <w:rPr>
          <w:rFonts w:hint="eastAsia" w:ascii="Times New Roman" w:hAnsi="Times New Roman" w:eastAsia="AdvOT1ef757c0" w:cs="Times New Roman"/>
          <w:color w:val="231F20"/>
          <w:kern w:val="0"/>
          <w:szCs w:val="21"/>
          <w:lang w:bidi="ar"/>
        </w:rPr>
        <w:t xml:space="preserve"> by using </w:t>
      </w:r>
      <w:r>
        <w:rPr>
          <w:rFonts w:ascii="Times New Roman" w:hAnsi="Times New Roman" w:eastAsia="AdvOT1ef757c0" w:cs="Times New Roman"/>
          <w:color w:val="231F20"/>
          <w:kern w:val="0"/>
          <w:szCs w:val="21"/>
          <w:lang w:bidi="ar"/>
        </w:rPr>
        <w:t>CIBERSORT</w:t>
      </w:r>
      <w:r>
        <w:rPr>
          <w:rFonts w:hint="eastAsia" w:ascii="Times New Roman" w:hAnsi="Times New Roman" w:eastAsia="AdvOT1ef757c0" w:cs="Times New Roman"/>
          <w:color w:val="231F20"/>
          <w:kern w:val="0"/>
          <w:szCs w:val="21"/>
          <w:lang w:bidi="ar"/>
        </w:rPr>
        <w:t>.</w:t>
      </w:r>
    </w:p>
    <w:p>
      <w:pPr>
        <w:spacing w:line="360" w:lineRule="auto"/>
        <w:rPr>
          <w:rFonts w:ascii="Times New Roman" w:hAnsi="Times New Roman" w:eastAsia="AdvOT1ef757c0" w:cs="Times New Roman"/>
          <w:color w:val="231F20"/>
          <w:kern w:val="0"/>
          <w:szCs w:val="21"/>
          <w:lang w:bidi="ar"/>
        </w:rPr>
      </w:pPr>
      <w:r>
        <w:rPr>
          <w:rFonts w:ascii="Times New Roman" w:hAnsi="Times New Roman" w:eastAsia="AdvOT1ef757c0" w:cs="Times New Roman"/>
          <w:color w:val="231F20"/>
          <w:kern w:val="0"/>
          <w:szCs w:val="21"/>
          <w:lang w:bidi="ar"/>
        </w:rPr>
        <w:drawing>
          <wp:inline distT="0" distB="0" distL="0" distR="0">
            <wp:extent cx="4398645" cy="3402330"/>
            <wp:effectExtent l="0" t="0" r="190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44" cy="340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微软雅黑" w:cs="Times New Roman"/>
          <w:color w:val="000000"/>
          <w:szCs w:val="21"/>
        </w:rPr>
      </w:pPr>
      <w:r>
        <w:rPr>
          <w:rFonts w:ascii="Times New Roman" w:hAnsi="Times New Roman" w:eastAsia="微软雅黑" w:cs="Times New Roman"/>
          <w:b/>
          <w:bCs/>
          <w:szCs w:val="21"/>
        </w:rPr>
        <w:t>Fig</w:t>
      </w:r>
      <w:r>
        <w:rPr>
          <w:rFonts w:hint="eastAsia" w:ascii="Times New Roman" w:hAnsi="Times New Roman" w:eastAsia="微软雅黑" w:cs="Times New Roman"/>
          <w:b/>
          <w:bCs/>
          <w:szCs w:val="21"/>
        </w:rPr>
        <w:t xml:space="preserve"> </w:t>
      </w:r>
      <w:r>
        <w:rPr>
          <w:rFonts w:ascii="Times New Roman" w:hAnsi="Times New Roman" w:eastAsia="微软雅黑" w:cs="Times New Roman"/>
          <w:b/>
          <w:bCs/>
          <w:szCs w:val="21"/>
        </w:rPr>
        <w:t>S</w:t>
      </w:r>
      <w:r>
        <w:rPr>
          <w:rFonts w:hint="eastAsia" w:ascii="Times New Roman" w:hAnsi="Times New Roman" w:eastAsia="微软雅黑" w:cs="Times New Roman"/>
          <w:b/>
          <w:bCs/>
          <w:szCs w:val="21"/>
        </w:rPr>
        <w:t>4.</w:t>
      </w:r>
      <w:r>
        <w:rPr>
          <w:rFonts w:ascii="Arial" w:hAnsi="Arial" w:eastAsia="仿宋" w:cs="Times New Roman"/>
          <w:szCs w:val="21"/>
        </w:rPr>
        <w:t xml:space="preserve"> </w:t>
      </w:r>
      <w:r>
        <w:rPr>
          <w:rFonts w:ascii="Times New Roman" w:hAnsi="Times New Roman" w:eastAsia="仿宋" w:cs="Times New Roman"/>
          <w:szCs w:val="21"/>
        </w:rPr>
        <w:t xml:space="preserve">(A-P) </w:t>
      </w:r>
      <w:r>
        <w:rPr>
          <w:rFonts w:hint="eastAsia" w:ascii="Times New Roman" w:hAnsi="Times New Roman" w:eastAsia="仿宋" w:cs="Times New Roman"/>
          <w:szCs w:val="21"/>
        </w:rPr>
        <w:t>Box plots showing t</w:t>
      </w:r>
      <w:r>
        <w:rPr>
          <w:rFonts w:ascii="Times New Roman" w:hAnsi="Times New Roman" w:eastAsia="MyriadPro-Light" w:cs="Times New Roman"/>
          <w:color w:val="000000"/>
          <w:kern w:val="0"/>
          <w:szCs w:val="21"/>
          <w:lang w:bidi="ar"/>
        </w:rPr>
        <w:t xml:space="preserve">he </w:t>
      </w:r>
      <w:r>
        <w:rPr>
          <w:rFonts w:hint="eastAsia" w:ascii="Times New Roman" w:hAnsi="Times New Roman" w:eastAsia="MyriadPro-Light" w:cs="Times New Roman"/>
          <w:color w:val="000000"/>
          <w:kern w:val="0"/>
          <w:szCs w:val="21"/>
          <w:lang w:bidi="ar"/>
        </w:rPr>
        <w:t>drug</w:t>
      </w:r>
      <w:r>
        <w:rPr>
          <w:rFonts w:ascii="Times New Roman" w:hAnsi="Times New Roman" w:eastAsia="AdvOT1ef757c0" w:cs="Times New Roman"/>
          <w:color w:val="252626"/>
          <w:kern w:val="0"/>
          <w:szCs w:val="21"/>
          <w:lang w:bidi="ar"/>
        </w:rPr>
        <w:t xml:space="preserve"> sensitivity</w:t>
      </w:r>
      <w:r>
        <w:rPr>
          <w:rFonts w:hint="eastAsia" w:ascii="Times New Roman" w:hAnsi="Times New Roman" w:eastAsia="MyriadPro-Light" w:cs="Times New Roman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eastAsia="MyriadPro-Light" w:cs="Times New Roman"/>
          <w:color w:val="000000"/>
          <w:kern w:val="0"/>
          <w:szCs w:val="21"/>
          <w:lang w:bidi="ar"/>
        </w:rPr>
        <w:t>between high- and low- risk groups.</w:t>
      </w:r>
      <w:r>
        <w:rPr>
          <w:rFonts w:hint="eastAsia" w:ascii="Times New Roman" w:hAnsi="Times New Roman" w:eastAsia="MyriadPro-Light" w:cs="Times New Roman"/>
          <w:color w:val="000000"/>
          <w:kern w:val="0"/>
          <w:szCs w:val="21"/>
          <w:lang w:bidi="ar"/>
        </w:rPr>
        <w:t xml:space="preserve"> Red represents high-risk group, bule represents low-risk group.</w:t>
      </w:r>
    </w:p>
    <w:p>
      <w:pPr>
        <w:widowControl/>
        <w:jc w:val="left"/>
        <w:rPr>
          <w:rFonts w:ascii="Times New Roman" w:hAnsi="Times New Roman" w:eastAsia="仿宋" w:cs="Times New Roman"/>
          <w:b/>
          <w:bCs/>
          <w:szCs w:val="21"/>
        </w:rPr>
      </w:pPr>
      <w:r>
        <w:rPr>
          <w:rFonts w:ascii="Times New Roman" w:hAnsi="Times New Roman" w:eastAsia="仿宋" w:cs="Times New Roman"/>
          <w:b/>
          <w:bCs/>
          <w:szCs w:val="21"/>
        </w:rPr>
        <w:br w:type="page"/>
      </w:r>
    </w:p>
    <w:p>
      <w:pPr>
        <w:widowControl/>
        <w:jc w:val="left"/>
        <w:rPr>
          <w:rFonts w:ascii="Times New Roman" w:hAnsi="Times New Roman" w:eastAsia="仿宋" w:cs="Times New Roman"/>
          <w:b/>
          <w:bCs/>
          <w:szCs w:val="21"/>
        </w:rPr>
      </w:pPr>
      <w:r>
        <w:rPr>
          <w:rFonts w:ascii="Times New Roman" w:hAnsi="Times New Roman" w:eastAsia="仿宋" w:cs="Times New Roman"/>
          <w:b/>
          <w:bCs/>
          <w:szCs w:val="21"/>
        </w:rPr>
        <w:t>Table</w:t>
      </w:r>
      <w:r>
        <w:rPr>
          <w:rFonts w:hint="eastAsia" w:ascii="Times New Roman" w:hAnsi="Times New Roman" w:eastAsia="仿宋" w:cs="Times New Roman"/>
          <w:b/>
          <w:bCs/>
          <w:szCs w:val="21"/>
        </w:rPr>
        <w:t xml:space="preserve"> S1</w:t>
      </w:r>
      <w:r>
        <w:rPr>
          <w:rFonts w:ascii="Times New Roman" w:hAnsi="Times New Roman" w:eastAsia="仿宋" w:cs="Times New Roman"/>
          <w:b/>
          <w:bCs/>
          <w:szCs w:val="21"/>
        </w:rPr>
        <w:t xml:space="preserve"> </w:t>
      </w:r>
      <w:r>
        <w:rPr>
          <w:rFonts w:ascii="Times New Roman" w:hAnsi="Times New Roman" w:eastAsia="URWPalladioL-Roma" w:cs="Times New Roman"/>
          <w:color w:val="000000"/>
          <w:kern w:val="0"/>
          <w:szCs w:val="21"/>
          <w:lang w:bidi="ar"/>
        </w:rPr>
        <w:t>Clinical information of the LUAD patients included in this study.</w:t>
      </w:r>
    </w:p>
    <w:tbl>
      <w:tblPr>
        <w:tblStyle w:val="5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7"/>
        <w:gridCol w:w="1831"/>
        <w:gridCol w:w="1661"/>
        <w:gridCol w:w="1622"/>
        <w:gridCol w:w="851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kern w:val="0"/>
                <w:szCs w:val="21"/>
              </w:rPr>
            </w:pPr>
          </w:p>
        </w:tc>
        <w:tc>
          <w:tcPr>
            <w:tcW w:w="1831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Overall</w:t>
            </w:r>
          </w:p>
        </w:tc>
        <w:tc>
          <w:tcPr>
            <w:tcW w:w="1661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Dead</w:t>
            </w:r>
          </w:p>
        </w:tc>
        <w:tc>
          <w:tcPr>
            <w:tcW w:w="1622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Survive</w:t>
            </w:r>
          </w:p>
        </w:tc>
        <w:tc>
          <w:tcPr>
            <w:tcW w:w="851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6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n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491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121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370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OS.time (mean (SD))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1.47 (2.27)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2.33 (2.13)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1.19 (2.25)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&lt;0.001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Age (mean (SD))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65.34 (10.03)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66.19 (10.58)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65.07 (9.85)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righ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0.286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Gender = Female/Male (%)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264/227 (53.8/46.2)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67/54 (55.4/44.6)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197/173 (53.2/46.8)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righ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0.762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StageT (%)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kern w:val="0"/>
                <w:szCs w:val="21"/>
              </w:rPr>
            </w:pP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kern w:val="0"/>
                <w:szCs w:val="21"/>
              </w:rPr>
            </w:pP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&lt;0.001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 xml:space="preserve">   T1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169 (34.4)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25 (20.7)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144 (38.9)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 xml:space="preserve">   T2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257 (52.3)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74 (61.2)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183 (49.5)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 xml:space="preserve">   T3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44 (9.0)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11 (9.1)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33 (8.9)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 xml:space="preserve">   T4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18 (3.7)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11 (9.1)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7 (1.9)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 xml:space="preserve">   TX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3 (0.6)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0 (0.0)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3 (0.8)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4088" w:type="dxa"/>
            <w:gridSpan w:val="2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StageN (%)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kern w:val="0"/>
                <w:szCs w:val="21"/>
              </w:rPr>
            </w:pP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&lt;0.001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 xml:space="preserve">   N0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317 (64.6)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52 (43.0)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265 (71.6)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 xml:space="preserve">   N1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92 (18.7)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35 (28.9)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57 (15.4)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 xml:space="preserve">   N2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70 (14.3)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32 (26.4)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38 (10.3)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 xml:space="preserve">   N3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2 (0.4)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0 (0.0)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2 (0.5)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 xml:space="preserve">   NX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10 (2.0)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2 (1.7)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8 (2.2)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4088" w:type="dxa"/>
            <w:gridSpan w:val="2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StageM (%)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kern w:val="0"/>
                <w:szCs w:val="21"/>
              </w:rPr>
            </w:pP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righ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 xml:space="preserve">   M0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327 (66.6)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89 (73.6)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238 (64.3)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 xml:space="preserve">   M1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25 (5.1)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11 (9.1)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14 (3.8)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 xml:space="preserve">   MX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139 (28.3)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21 (17.4)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118 (31.9)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Stage (%)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kern w:val="0"/>
                <w:szCs w:val="21"/>
              </w:rPr>
            </w:pP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kern w:val="0"/>
                <w:szCs w:val="21"/>
              </w:rPr>
            </w:pP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&lt;0.001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 xml:space="preserve">   I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266 (54.2)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40 (33.1)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226 (61.1)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 xml:space="preserve">   II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119 (24.2)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34 (28.1)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85 (23.0)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 xml:space="preserve">   III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80 (16.3)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36 (29.8)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44 (11.9)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2257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 xml:space="preserve">   IV</w:t>
            </w:r>
          </w:p>
        </w:tc>
        <w:tc>
          <w:tcPr>
            <w:tcW w:w="183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26 (5.3)</w:t>
            </w:r>
          </w:p>
        </w:tc>
        <w:tc>
          <w:tcPr>
            <w:tcW w:w="166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11 (9.1)</w:t>
            </w:r>
          </w:p>
        </w:tc>
        <w:tc>
          <w:tcPr>
            <w:tcW w:w="1622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  <w:t>15 (4.1)</w:t>
            </w:r>
          </w:p>
        </w:tc>
        <w:tc>
          <w:tcPr>
            <w:tcW w:w="851" w:type="dxa"/>
            <w:noWrap/>
          </w:tcPr>
          <w:p>
            <w:pPr>
              <w:widowControl/>
              <w:spacing w:before="78" w:beforeLines="25" w:after="78" w:afterLines="25" w:line="240" w:lineRule="auto"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Cs w:val="21"/>
              </w:rPr>
            </w:pPr>
          </w:p>
        </w:tc>
      </w:tr>
    </w:tbl>
    <w:p/>
    <w:p/>
    <w:p>
      <w:pPr>
        <w:widowControl/>
        <w:jc w:val="left"/>
        <w:rPr>
          <w:rFonts w:ascii="Times New Roman" w:hAnsi="Times New Roman" w:eastAsia="URWPalladioL-Roma" w:cs="Times New Roman"/>
          <w:b/>
          <w:bCs/>
          <w:color w:val="000000"/>
          <w:kern w:val="0"/>
          <w:szCs w:val="21"/>
          <w:lang w:bidi="ar"/>
        </w:rPr>
      </w:pPr>
    </w:p>
    <w:p>
      <w:pPr>
        <w:widowControl/>
        <w:jc w:val="left"/>
        <w:rPr>
          <w:rFonts w:ascii="Times New Roman" w:hAnsi="Times New Roman" w:eastAsia="URWPalladioL-Roma" w:cs="Times New Roman"/>
          <w:color w:val="000000"/>
          <w:kern w:val="0"/>
          <w:szCs w:val="21"/>
          <w:lang w:bidi="ar"/>
        </w:rPr>
      </w:pPr>
      <w:r>
        <w:rPr>
          <w:rFonts w:ascii="Times New Roman" w:hAnsi="Times New Roman" w:eastAsia="URWPalladioL-Roma" w:cs="Times New Roman"/>
          <w:b/>
          <w:bCs/>
          <w:color w:val="000000"/>
          <w:kern w:val="0"/>
          <w:szCs w:val="21"/>
          <w:lang w:bidi="ar"/>
        </w:rPr>
        <w:t>Table</w:t>
      </w:r>
      <w:r>
        <w:rPr>
          <w:rFonts w:hint="eastAsia" w:ascii="Times New Roman" w:hAnsi="Times New Roman" w:eastAsia="URWPalladioL-Roma" w:cs="Times New Roman"/>
          <w:b/>
          <w:bCs/>
          <w:color w:val="000000"/>
          <w:kern w:val="0"/>
          <w:szCs w:val="21"/>
          <w:lang w:bidi="ar"/>
        </w:rPr>
        <w:t xml:space="preserve"> S2</w:t>
      </w:r>
      <w:r>
        <w:rPr>
          <w:rFonts w:ascii="Times New Roman" w:hAnsi="Times New Roman" w:eastAsia="URWPalladioL-Roma" w:cs="Times New Roman"/>
          <w:color w:val="000000"/>
          <w:kern w:val="0"/>
          <w:szCs w:val="21"/>
          <w:lang w:bidi="ar"/>
        </w:rPr>
        <w:t xml:space="preserve"> The cell types identified by marker genes.</w:t>
      </w:r>
    </w:p>
    <w:tbl>
      <w:tblPr>
        <w:tblStyle w:val="5"/>
        <w:tblW w:w="8222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"/>
        <w:gridCol w:w="2900"/>
        <w:gridCol w:w="1321"/>
        <w:gridCol w:w="2902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99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Gene</w:t>
            </w:r>
          </w:p>
        </w:tc>
        <w:tc>
          <w:tcPr>
            <w:tcW w:w="2900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CellType</w:t>
            </w:r>
          </w:p>
        </w:tc>
        <w:tc>
          <w:tcPr>
            <w:tcW w:w="1321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Gene</w:t>
            </w:r>
          </w:p>
        </w:tc>
        <w:tc>
          <w:tcPr>
            <w:tcW w:w="2902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CellType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99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EPCAM</w:t>
            </w:r>
          </w:p>
        </w:tc>
        <w:tc>
          <w:tcPr>
            <w:tcW w:w="2900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Epithelial cells</w:t>
            </w:r>
          </w:p>
        </w:tc>
        <w:tc>
          <w:tcPr>
            <w:tcW w:w="1321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NKG7</w:t>
            </w:r>
          </w:p>
        </w:tc>
        <w:tc>
          <w:tcPr>
            <w:tcW w:w="2902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NK cells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99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KRT19</w:t>
            </w:r>
          </w:p>
        </w:tc>
        <w:tc>
          <w:tcPr>
            <w:tcW w:w="2900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Epithelial cells</w:t>
            </w:r>
          </w:p>
        </w:tc>
        <w:tc>
          <w:tcPr>
            <w:tcW w:w="1321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GNLY</w:t>
            </w:r>
          </w:p>
        </w:tc>
        <w:tc>
          <w:tcPr>
            <w:tcW w:w="2902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NK cells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99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KRT18</w:t>
            </w:r>
          </w:p>
        </w:tc>
        <w:tc>
          <w:tcPr>
            <w:tcW w:w="2900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Epithelial cells</w:t>
            </w:r>
          </w:p>
        </w:tc>
        <w:tc>
          <w:tcPr>
            <w:tcW w:w="1321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NCAM1</w:t>
            </w:r>
          </w:p>
        </w:tc>
        <w:tc>
          <w:tcPr>
            <w:tcW w:w="2902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NK cells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99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CDH1</w:t>
            </w:r>
          </w:p>
        </w:tc>
        <w:tc>
          <w:tcPr>
            <w:tcW w:w="2900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Epithelial cells</w:t>
            </w:r>
          </w:p>
        </w:tc>
        <w:tc>
          <w:tcPr>
            <w:tcW w:w="1321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KLRD1</w:t>
            </w:r>
          </w:p>
        </w:tc>
        <w:tc>
          <w:tcPr>
            <w:tcW w:w="2902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NK cells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99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DCN</w:t>
            </w:r>
          </w:p>
        </w:tc>
        <w:tc>
          <w:tcPr>
            <w:tcW w:w="2900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 xml:space="preserve">Fibroblasts </w:t>
            </w:r>
          </w:p>
        </w:tc>
        <w:tc>
          <w:tcPr>
            <w:tcW w:w="1321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CD79A</w:t>
            </w:r>
          </w:p>
        </w:tc>
        <w:tc>
          <w:tcPr>
            <w:tcW w:w="2902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B lymphocytes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99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THY1</w:t>
            </w:r>
          </w:p>
        </w:tc>
        <w:tc>
          <w:tcPr>
            <w:tcW w:w="2900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 xml:space="preserve">Fibroblasts </w:t>
            </w:r>
          </w:p>
        </w:tc>
        <w:tc>
          <w:tcPr>
            <w:tcW w:w="1321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IGHM</w:t>
            </w:r>
          </w:p>
        </w:tc>
        <w:tc>
          <w:tcPr>
            <w:tcW w:w="2902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B lymphocytes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99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COL1A1</w:t>
            </w:r>
          </w:p>
        </w:tc>
        <w:tc>
          <w:tcPr>
            <w:tcW w:w="2900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 xml:space="preserve">Fibroblasts </w:t>
            </w:r>
          </w:p>
        </w:tc>
        <w:tc>
          <w:tcPr>
            <w:tcW w:w="1321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IGHG3</w:t>
            </w:r>
          </w:p>
        </w:tc>
        <w:tc>
          <w:tcPr>
            <w:tcW w:w="2902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B lymphocytes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99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COL1A2</w:t>
            </w:r>
          </w:p>
        </w:tc>
        <w:tc>
          <w:tcPr>
            <w:tcW w:w="2900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 xml:space="preserve">Fibroblasts </w:t>
            </w:r>
          </w:p>
        </w:tc>
        <w:tc>
          <w:tcPr>
            <w:tcW w:w="1321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IGHA2</w:t>
            </w:r>
          </w:p>
        </w:tc>
        <w:tc>
          <w:tcPr>
            <w:tcW w:w="2902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B lymphocytes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99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PECAM1</w:t>
            </w:r>
          </w:p>
        </w:tc>
        <w:tc>
          <w:tcPr>
            <w:tcW w:w="2900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Endothelial cells</w:t>
            </w:r>
          </w:p>
        </w:tc>
        <w:tc>
          <w:tcPr>
            <w:tcW w:w="1321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LYZ</w:t>
            </w:r>
          </w:p>
        </w:tc>
        <w:tc>
          <w:tcPr>
            <w:tcW w:w="2902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Myeloid cells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99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CLDN5</w:t>
            </w:r>
          </w:p>
        </w:tc>
        <w:tc>
          <w:tcPr>
            <w:tcW w:w="2900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Endothelial cells</w:t>
            </w:r>
          </w:p>
        </w:tc>
        <w:tc>
          <w:tcPr>
            <w:tcW w:w="1321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MARCO</w:t>
            </w:r>
          </w:p>
        </w:tc>
        <w:tc>
          <w:tcPr>
            <w:tcW w:w="2902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Myeloid cells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99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FLT1</w:t>
            </w:r>
          </w:p>
        </w:tc>
        <w:tc>
          <w:tcPr>
            <w:tcW w:w="2900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Endothelial cells</w:t>
            </w:r>
          </w:p>
        </w:tc>
        <w:tc>
          <w:tcPr>
            <w:tcW w:w="1321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CD68</w:t>
            </w:r>
          </w:p>
        </w:tc>
        <w:tc>
          <w:tcPr>
            <w:tcW w:w="2902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Myeloid cells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99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RAMP2</w:t>
            </w:r>
          </w:p>
        </w:tc>
        <w:tc>
          <w:tcPr>
            <w:tcW w:w="2900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Endothelial cells</w:t>
            </w:r>
          </w:p>
        </w:tc>
        <w:tc>
          <w:tcPr>
            <w:tcW w:w="1321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FCGR3A</w:t>
            </w:r>
          </w:p>
        </w:tc>
        <w:tc>
          <w:tcPr>
            <w:tcW w:w="2902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Myeloid cells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99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CD3D</w:t>
            </w:r>
          </w:p>
        </w:tc>
        <w:tc>
          <w:tcPr>
            <w:tcW w:w="2900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T lymphocytes</w:t>
            </w:r>
          </w:p>
        </w:tc>
        <w:tc>
          <w:tcPr>
            <w:tcW w:w="1321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KIT</w:t>
            </w:r>
          </w:p>
        </w:tc>
        <w:tc>
          <w:tcPr>
            <w:tcW w:w="2902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MAST cells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99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CD3E</w:t>
            </w:r>
          </w:p>
        </w:tc>
        <w:tc>
          <w:tcPr>
            <w:tcW w:w="2900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T lymphocytes</w:t>
            </w:r>
          </w:p>
        </w:tc>
        <w:tc>
          <w:tcPr>
            <w:tcW w:w="1321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MS4A2</w:t>
            </w:r>
          </w:p>
        </w:tc>
        <w:tc>
          <w:tcPr>
            <w:tcW w:w="2902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MAST cells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99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CD3G</w:t>
            </w:r>
          </w:p>
        </w:tc>
        <w:tc>
          <w:tcPr>
            <w:tcW w:w="2900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T lymphocytes</w:t>
            </w:r>
          </w:p>
        </w:tc>
        <w:tc>
          <w:tcPr>
            <w:tcW w:w="1321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GATA2</w:t>
            </w:r>
          </w:p>
        </w:tc>
        <w:tc>
          <w:tcPr>
            <w:tcW w:w="2902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MAST cells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99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TRAC</w:t>
            </w:r>
          </w:p>
        </w:tc>
        <w:tc>
          <w:tcPr>
            <w:tcW w:w="2900" w:type="dxa"/>
            <w:noWrap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T lymphocytes</w:t>
            </w:r>
          </w:p>
        </w:tc>
        <w:tc>
          <w:tcPr>
            <w:tcW w:w="1321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2902" w:type="dxa"/>
          </w:tcPr>
          <w:p>
            <w:pPr>
              <w:spacing w:before="78" w:beforeLines="25" w:after="78" w:afterLines="25" w:line="400" w:lineRule="exact"/>
              <w:rPr>
                <w:rFonts w:ascii="Times New Roman" w:hAnsi="Times New Roman" w:eastAsia="仿宋" w:cs="Times New Roman"/>
                <w:szCs w:val="21"/>
              </w:rPr>
            </w:pPr>
          </w:p>
        </w:tc>
      </w:tr>
    </w:tbl>
    <w:p>
      <w:pPr>
        <w:rPr>
          <w:rFonts w:ascii="Times New Roman" w:hAnsi="Times New Roman" w:eastAsia="仿宋" w:cs="Times New Roman"/>
          <w:b/>
          <w:bCs/>
          <w:szCs w:val="21"/>
        </w:rPr>
      </w:pPr>
    </w:p>
    <w:p>
      <w:pPr>
        <w:rPr>
          <w:rFonts w:ascii="Times New Roman" w:hAnsi="Times New Roman" w:eastAsia="仿宋" w:cs="Times New Roman"/>
          <w:b/>
          <w:bCs/>
          <w:szCs w:val="21"/>
        </w:rPr>
      </w:pPr>
    </w:p>
    <w:p>
      <w:pPr>
        <w:rPr>
          <w:rFonts w:ascii="Times New Roman" w:hAnsi="Times New Roman" w:eastAsia="仿宋" w:cs="Times New Roman"/>
          <w:b/>
          <w:bCs/>
          <w:szCs w:val="21"/>
        </w:rPr>
      </w:pPr>
    </w:p>
    <w:p>
      <w:pPr>
        <w:rPr>
          <w:rFonts w:ascii="Times New Roman" w:hAnsi="Times New Roman" w:eastAsia="仿宋" w:cs="Times New Roman"/>
          <w:b/>
          <w:bCs/>
          <w:szCs w:val="21"/>
        </w:rPr>
      </w:pPr>
    </w:p>
    <w:p>
      <w:pPr>
        <w:rPr>
          <w:rFonts w:ascii="Times New Roman" w:hAnsi="Times New Roman" w:eastAsia="仿宋" w:cs="Times New Roman"/>
          <w:b/>
          <w:bCs/>
          <w:szCs w:val="21"/>
        </w:rPr>
      </w:pPr>
    </w:p>
    <w:p>
      <w:pPr>
        <w:rPr>
          <w:rFonts w:ascii="Times New Roman" w:hAnsi="Times New Roman" w:eastAsia="仿宋" w:cs="Times New Roman"/>
          <w:b/>
          <w:bCs/>
          <w:szCs w:val="21"/>
        </w:rPr>
      </w:pPr>
    </w:p>
    <w:p>
      <w:pPr>
        <w:rPr>
          <w:rFonts w:ascii="Times New Roman" w:hAnsi="Times New Roman" w:eastAsia="仿宋" w:cs="Times New Roman"/>
          <w:b/>
          <w:bCs/>
          <w:szCs w:val="21"/>
        </w:rPr>
      </w:pPr>
    </w:p>
    <w:p>
      <w:pPr>
        <w:rPr>
          <w:rFonts w:ascii="Times New Roman" w:hAnsi="Times New Roman" w:eastAsia="仿宋" w:cs="Times New Roman"/>
          <w:b/>
          <w:bCs/>
          <w:szCs w:val="21"/>
        </w:rPr>
      </w:pPr>
    </w:p>
    <w:p>
      <w:pPr>
        <w:rPr>
          <w:rFonts w:ascii="Times New Roman" w:hAnsi="Times New Roman" w:eastAsia="仿宋" w:cs="Times New Roman"/>
          <w:b/>
          <w:bCs/>
          <w:szCs w:val="21"/>
        </w:rPr>
      </w:pPr>
    </w:p>
    <w:p>
      <w:pPr>
        <w:rPr>
          <w:rFonts w:ascii="Times New Roman" w:hAnsi="Times New Roman" w:eastAsia="仿宋" w:cs="Times New Roman"/>
          <w:b/>
          <w:bCs/>
          <w:szCs w:val="21"/>
        </w:rPr>
      </w:pPr>
    </w:p>
    <w:p>
      <w:pPr>
        <w:rPr>
          <w:rFonts w:ascii="Times New Roman" w:hAnsi="Times New Roman" w:eastAsia="仿宋" w:cs="Times New Roman"/>
          <w:b/>
          <w:bCs/>
          <w:szCs w:val="21"/>
        </w:rPr>
      </w:pPr>
    </w:p>
    <w:p>
      <w:pPr>
        <w:rPr>
          <w:rFonts w:ascii="Times New Roman" w:hAnsi="Times New Roman" w:eastAsia="仿宋" w:cs="Times New Roman"/>
          <w:b/>
          <w:bCs/>
          <w:szCs w:val="21"/>
        </w:rPr>
      </w:pPr>
    </w:p>
    <w:p>
      <w:pPr>
        <w:rPr>
          <w:rFonts w:ascii="Times New Roman" w:hAnsi="Times New Roman" w:eastAsia="仿宋" w:cs="Times New Roman"/>
          <w:b/>
          <w:bCs/>
          <w:szCs w:val="21"/>
        </w:rPr>
      </w:pPr>
    </w:p>
    <w:p>
      <w:pPr>
        <w:rPr>
          <w:rFonts w:ascii="Arial" w:hAnsi="Arial" w:eastAsia="仿宋" w:cs="Times New Roman"/>
        </w:rPr>
      </w:pPr>
      <w:r>
        <w:rPr>
          <w:rFonts w:ascii="Times New Roman" w:hAnsi="Times New Roman" w:eastAsia="仿宋" w:cs="Times New Roman"/>
          <w:b/>
          <w:bCs/>
          <w:szCs w:val="21"/>
        </w:rPr>
        <w:t>Table S</w:t>
      </w:r>
      <w:r>
        <w:rPr>
          <w:rFonts w:hint="eastAsia" w:ascii="Times New Roman" w:hAnsi="Times New Roman" w:eastAsia="仿宋" w:cs="Times New Roman"/>
          <w:b/>
          <w:bCs/>
          <w:szCs w:val="21"/>
        </w:rPr>
        <w:t>3</w:t>
      </w:r>
      <w:r>
        <w:rPr>
          <w:rFonts w:ascii="Times New Roman" w:hAnsi="Times New Roman" w:eastAsia="仿宋" w:cs="Times New Roman"/>
          <w:b/>
          <w:bCs/>
          <w:szCs w:val="21"/>
        </w:rPr>
        <w:t xml:space="preserve"> </w:t>
      </w:r>
      <w:r>
        <w:rPr>
          <w:rFonts w:ascii="Times New Roman" w:hAnsi="Times New Roman" w:eastAsia="仿宋" w:cs="Times New Roman"/>
          <w:szCs w:val="21"/>
        </w:rPr>
        <w:t xml:space="preserve">GO </w:t>
      </w:r>
      <w:r>
        <w:rPr>
          <w:rFonts w:ascii="Times New Roman" w:hAnsi="Times New Roman" w:cs="Times New Roman"/>
          <w:szCs w:val="21"/>
        </w:rPr>
        <w:t xml:space="preserve">enrichment </w:t>
      </w:r>
      <w:r>
        <w:rPr>
          <w:rFonts w:ascii="Times New Roman" w:hAnsi="Times New Roman" w:eastAsia="仿宋" w:cs="Times New Roman"/>
          <w:szCs w:val="21"/>
        </w:rPr>
        <w:t>analysis in scRNA-seq</w:t>
      </w:r>
    </w:p>
    <w:tbl>
      <w:tblPr>
        <w:tblStyle w:val="5"/>
        <w:tblW w:w="8510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324"/>
        <w:gridCol w:w="3970"/>
        <w:gridCol w:w="430"/>
        <w:gridCol w:w="712"/>
        <w:gridCol w:w="112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48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ONTOLOGY</w:t>
            </w:r>
          </w:p>
        </w:tc>
        <w:tc>
          <w:tcPr>
            <w:tcW w:w="1324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ID</w:t>
            </w:r>
          </w:p>
        </w:tc>
        <w:tc>
          <w:tcPr>
            <w:tcW w:w="3970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Description</w:t>
            </w:r>
          </w:p>
        </w:tc>
        <w:tc>
          <w:tcPr>
            <w:tcW w:w="1142" w:type="dxa"/>
            <w:gridSpan w:val="2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Count</w:t>
            </w:r>
          </w:p>
        </w:tc>
        <w:tc>
          <w:tcPr>
            <w:tcW w:w="1126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pvalue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48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BP</w:t>
            </w:r>
          </w:p>
        </w:tc>
        <w:tc>
          <w:tcPr>
            <w:tcW w:w="1324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GO:0010498</w:t>
            </w:r>
          </w:p>
        </w:tc>
        <w:tc>
          <w:tcPr>
            <w:tcW w:w="4400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proteasomal protein catabolic process</w:t>
            </w:r>
          </w:p>
        </w:tc>
        <w:tc>
          <w:tcPr>
            <w:tcW w:w="71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370</w:t>
            </w:r>
          </w:p>
        </w:tc>
        <w:tc>
          <w:tcPr>
            <w:tcW w:w="112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6.92E-44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48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BP</w:t>
            </w:r>
          </w:p>
        </w:tc>
        <w:tc>
          <w:tcPr>
            <w:tcW w:w="1324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GO:0043161</w:t>
            </w:r>
          </w:p>
        </w:tc>
        <w:tc>
          <w:tcPr>
            <w:tcW w:w="4400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proteasome-mediated</w:t>
            </w:r>
            <w:r>
              <w:rPr>
                <w:rFonts w:hint="eastAsia" w:ascii="Times New Roman" w:hAnsi="Times New Roman" w:eastAsia="仿宋" w:cs="Times New Roman"/>
                <w:szCs w:val="21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仿宋" w:cs="Times New Roman"/>
                <w:szCs w:val="21"/>
              </w:rPr>
              <w:t>ubiquitin-dependent protein catabolic process</w:t>
            </w:r>
          </w:p>
        </w:tc>
        <w:tc>
          <w:tcPr>
            <w:tcW w:w="71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308</w:t>
            </w:r>
          </w:p>
        </w:tc>
        <w:tc>
          <w:tcPr>
            <w:tcW w:w="112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2.76E-36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48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BP</w:t>
            </w:r>
          </w:p>
        </w:tc>
        <w:tc>
          <w:tcPr>
            <w:tcW w:w="1324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GO:0016032</w:t>
            </w:r>
          </w:p>
        </w:tc>
        <w:tc>
          <w:tcPr>
            <w:tcW w:w="4400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viral process</w:t>
            </w:r>
          </w:p>
        </w:tc>
        <w:tc>
          <w:tcPr>
            <w:tcW w:w="71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303</w:t>
            </w:r>
          </w:p>
        </w:tc>
        <w:tc>
          <w:tcPr>
            <w:tcW w:w="112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3.31E-32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48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BP</w:t>
            </w:r>
          </w:p>
        </w:tc>
        <w:tc>
          <w:tcPr>
            <w:tcW w:w="1324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GO:0016236</w:t>
            </w:r>
          </w:p>
        </w:tc>
        <w:tc>
          <w:tcPr>
            <w:tcW w:w="4400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macroautophagy</w:t>
            </w:r>
          </w:p>
        </w:tc>
        <w:tc>
          <w:tcPr>
            <w:tcW w:w="71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235</w:t>
            </w:r>
          </w:p>
        </w:tc>
        <w:tc>
          <w:tcPr>
            <w:tcW w:w="112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1.58E-31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48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BP</w:t>
            </w:r>
          </w:p>
        </w:tc>
        <w:tc>
          <w:tcPr>
            <w:tcW w:w="1324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GO:0031331</w:t>
            </w:r>
          </w:p>
        </w:tc>
        <w:tc>
          <w:tcPr>
            <w:tcW w:w="4400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Positive regulation of cellular catabolic process</w:t>
            </w:r>
          </w:p>
        </w:tc>
        <w:tc>
          <w:tcPr>
            <w:tcW w:w="71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319</w:t>
            </w:r>
          </w:p>
        </w:tc>
        <w:tc>
          <w:tcPr>
            <w:tcW w:w="112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3.60E-31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48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CC</w:t>
            </w:r>
          </w:p>
        </w:tc>
        <w:tc>
          <w:tcPr>
            <w:tcW w:w="1324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GO:0005925</w:t>
            </w:r>
          </w:p>
        </w:tc>
        <w:tc>
          <w:tcPr>
            <w:tcW w:w="4400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focal adhesion</w:t>
            </w:r>
          </w:p>
        </w:tc>
        <w:tc>
          <w:tcPr>
            <w:tcW w:w="71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360</w:t>
            </w:r>
          </w:p>
        </w:tc>
        <w:tc>
          <w:tcPr>
            <w:tcW w:w="112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3.06E-72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48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CC</w:t>
            </w:r>
          </w:p>
        </w:tc>
        <w:tc>
          <w:tcPr>
            <w:tcW w:w="1324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GO:0030055</w:t>
            </w:r>
          </w:p>
        </w:tc>
        <w:tc>
          <w:tcPr>
            <w:tcW w:w="4400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cell-substrate junction</w:t>
            </w:r>
          </w:p>
        </w:tc>
        <w:tc>
          <w:tcPr>
            <w:tcW w:w="71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362</w:t>
            </w:r>
          </w:p>
        </w:tc>
        <w:tc>
          <w:tcPr>
            <w:tcW w:w="112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9.54E-69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48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CC</w:t>
            </w:r>
          </w:p>
        </w:tc>
        <w:tc>
          <w:tcPr>
            <w:tcW w:w="1324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GO:0044391</w:t>
            </w:r>
          </w:p>
        </w:tc>
        <w:tc>
          <w:tcPr>
            <w:tcW w:w="4400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ribosomal subunit</w:t>
            </w:r>
          </w:p>
        </w:tc>
        <w:tc>
          <w:tcPr>
            <w:tcW w:w="71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161</w:t>
            </w:r>
          </w:p>
        </w:tc>
        <w:tc>
          <w:tcPr>
            <w:tcW w:w="112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3.71E-39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48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CC</w:t>
            </w:r>
          </w:p>
        </w:tc>
        <w:tc>
          <w:tcPr>
            <w:tcW w:w="1324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GO:0005774</w:t>
            </w:r>
          </w:p>
        </w:tc>
        <w:tc>
          <w:tcPr>
            <w:tcW w:w="4400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vacuolar membrane</w:t>
            </w:r>
          </w:p>
        </w:tc>
        <w:tc>
          <w:tcPr>
            <w:tcW w:w="71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323</w:t>
            </w:r>
          </w:p>
        </w:tc>
        <w:tc>
          <w:tcPr>
            <w:tcW w:w="112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1.42E-33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48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CC</w:t>
            </w:r>
          </w:p>
        </w:tc>
        <w:tc>
          <w:tcPr>
            <w:tcW w:w="1324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GO:0101002</w:t>
            </w:r>
          </w:p>
        </w:tc>
        <w:tc>
          <w:tcPr>
            <w:tcW w:w="4400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ficolin-1-rich granule</w:t>
            </w:r>
          </w:p>
        </w:tc>
        <w:tc>
          <w:tcPr>
            <w:tcW w:w="71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160</w:t>
            </w:r>
          </w:p>
        </w:tc>
        <w:tc>
          <w:tcPr>
            <w:tcW w:w="112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2.19E-33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48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MF</w:t>
            </w:r>
          </w:p>
        </w:tc>
        <w:tc>
          <w:tcPr>
            <w:tcW w:w="1324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GO:0045296</w:t>
            </w:r>
          </w:p>
        </w:tc>
        <w:tc>
          <w:tcPr>
            <w:tcW w:w="4400" w:type="dxa"/>
            <w:gridSpan w:val="2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cadherin binding</w:t>
            </w:r>
          </w:p>
        </w:tc>
        <w:tc>
          <w:tcPr>
            <w:tcW w:w="712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267</w:t>
            </w:r>
          </w:p>
        </w:tc>
        <w:tc>
          <w:tcPr>
            <w:tcW w:w="1126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4.01E-37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48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MF</w:t>
            </w:r>
          </w:p>
        </w:tc>
        <w:tc>
          <w:tcPr>
            <w:tcW w:w="1324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GO:0044389</w:t>
            </w:r>
          </w:p>
        </w:tc>
        <w:tc>
          <w:tcPr>
            <w:tcW w:w="4400" w:type="dxa"/>
            <w:gridSpan w:val="2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ubiquitin-like protein ligase binding</w:t>
            </w:r>
          </w:p>
        </w:tc>
        <w:tc>
          <w:tcPr>
            <w:tcW w:w="712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239</w:t>
            </w:r>
          </w:p>
        </w:tc>
        <w:tc>
          <w:tcPr>
            <w:tcW w:w="1126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4.65E-26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48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MF</w:t>
            </w:r>
          </w:p>
        </w:tc>
        <w:tc>
          <w:tcPr>
            <w:tcW w:w="1324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GO:0031625</w:t>
            </w:r>
          </w:p>
        </w:tc>
        <w:tc>
          <w:tcPr>
            <w:tcW w:w="4400" w:type="dxa"/>
            <w:gridSpan w:val="2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ubiquitin protein ligase binding</w:t>
            </w:r>
          </w:p>
        </w:tc>
        <w:tc>
          <w:tcPr>
            <w:tcW w:w="712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227</w:t>
            </w:r>
          </w:p>
        </w:tc>
        <w:tc>
          <w:tcPr>
            <w:tcW w:w="1126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6.93E-26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48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MF</w:t>
            </w:r>
          </w:p>
        </w:tc>
        <w:tc>
          <w:tcPr>
            <w:tcW w:w="1324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GO:0003735</w:t>
            </w:r>
          </w:p>
        </w:tc>
        <w:tc>
          <w:tcPr>
            <w:tcW w:w="4400" w:type="dxa"/>
            <w:gridSpan w:val="2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structural constituent of ribosome</w:t>
            </w:r>
          </w:p>
        </w:tc>
        <w:tc>
          <w:tcPr>
            <w:tcW w:w="712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152</w:t>
            </w:r>
          </w:p>
        </w:tc>
        <w:tc>
          <w:tcPr>
            <w:tcW w:w="1126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9.50E-26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48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MF</w:t>
            </w:r>
          </w:p>
        </w:tc>
        <w:tc>
          <w:tcPr>
            <w:tcW w:w="1324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GO:0140297</w:t>
            </w:r>
          </w:p>
        </w:tc>
        <w:tc>
          <w:tcPr>
            <w:tcW w:w="4400" w:type="dxa"/>
            <w:gridSpan w:val="2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DNA-binding transcription factor binding</w:t>
            </w:r>
          </w:p>
        </w:tc>
        <w:tc>
          <w:tcPr>
            <w:tcW w:w="712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329</w:t>
            </w:r>
          </w:p>
        </w:tc>
        <w:tc>
          <w:tcPr>
            <w:tcW w:w="1126" w:type="dxa"/>
            <w:noWrap/>
            <w:vAlign w:val="center"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color w:val="000000"/>
                <w:szCs w:val="21"/>
              </w:rPr>
              <w:t>1.85E-25</w:t>
            </w:r>
          </w:p>
        </w:tc>
      </w:tr>
    </w:tbl>
    <w:p>
      <w:pPr>
        <w:rPr>
          <w:rFonts w:ascii="Arial" w:hAnsi="Arial" w:eastAsia="仿宋" w:cs="Times New Roman"/>
        </w:rPr>
      </w:pPr>
    </w:p>
    <w:p>
      <w:pPr>
        <w:rPr>
          <w:rFonts w:ascii="Arial" w:hAnsi="Arial" w:eastAsia="仿宋" w:cs="Times New Roman"/>
          <w:b/>
          <w:bCs/>
          <w:sz w:val="18"/>
          <w:szCs w:val="18"/>
        </w:rPr>
      </w:pPr>
      <w:r>
        <w:rPr>
          <w:rFonts w:ascii="Arial" w:hAnsi="Arial" w:eastAsia="仿宋" w:cs="Times New Roman"/>
          <w:b/>
          <w:bCs/>
          <w:sz w:val="18"/>
          <w:szCs w:val="18"/>
        </w:rPr>
        <w:br w:type="page"/>
      </w:r>
    </w:p>
    <w:p>
      <w:pPr>
        <w:rPr>
          <w:rFonts w:ascii="Arial" w:hAnsi="Arial" w:eastAsia="仿宋" w:cs="Times New Roman"/>
        </w:rPr>
      </w:pPr>
      <w:r>
        <w:rPr>
          <w:rFonts w:ascii="Times New Roman" w:hAnsi="Times New Roman" w:eastAsia="仿宋" w:cs="Times New Roman"/>
          <w:b/>
          <w:bCs/>
          <w:szCs w:val="21"/>
        </w:rPr>
        <w:t>Table</w:t>
      </w:r>
      <w:r>
        <w:rPr>
          <w:rFonts w:hint="eastAsia" w:ascii="Times New Roman" w:hAnsi="Times New Roman" w:eastAsia="仿宋" w:cs="Times New Roman"/>
          <w:b/>
          <w:bCs/>
          <w:szCs w:val="21"/>
        </w:rPr>
        <w:t xml:space="preserve"> S4</w:t>
      </w:r>
      <w:r>
        <w:rPr>
          <w:rFonts w:ascii="Times New Roman" w:hAnsi="Times New Roman" w:eastAsia="仿宋" w:cs="Times New Roman"/>
          <w:szCs w:val="21"/>
        </w:rPr>
        <w:t xml:space="preserve"> KEGG </w:t>
      </w:r>
      <w:r>
        <w:rPr>
          <w:rFonts w:ascii="Times New Roman" w:hAnsi="Times New Roman" w:cs="Times New Roman"/>
          <w:szCs w:val="21"/>
        </w:rPr>
        <w:t xml:space="preserve">enrichment </w:t>
      </w:r>
      <w:r>
        <w:rPr>
          <w:rFonts w:ascii="Times New Roman" w:hAnsi="Times New Roman" w:eastAsia="仿宋" w:cs="Times New Roman"/>
          <w:szCs w:val="21"/>
        </w:rPr>
        <w:t>analysis in scRNA-seq</w:t>
      </w:r>
    </w:p>
    <w:tbl>
      <w:tblPr>
        <w:tblStyle w:val="5"/>
        <w:tblW w:w="8364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2"/>
        <w:gridCol w:w="4350"/>
        <w:gridCol w:w="1137"/>
        <w:gridCol w:w="139"/>
        <w:gridCol w:w="127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62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ONTOLOGY</w:t>
            </w:r>
          </w:p>
        </w:tc>
        <w:tc>
          <w:tcPr>
            <w:tcW w:w="4350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Description</w:t>
            </w:r>
          </w:p>
        </w:tc>
        <w:tc>
          <w:tcPr>
            <w:tcW w:w="1137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Count</w:t>
            </w:r>
          </w:p>
        </w:tc>
        <w:tc>
          <w:tcPr>
            <w:tcW w:w="1415" w:type="dxa"/>
            <w:gridSpan w:val="2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pvalue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6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hsa04141</w:t>
            </w:r>
          </w:p>
        </w:tc>
        <w:tc>
          <w:tcPr>
            <w:tcW w:w="4350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Protein processing in endoplasmic reticulum</w:t>
            </w:r>
          </w:p>
        </w:tc>
        <w:tc>
          <w:tcPr>
            <w:tcW w:w="1276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146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6.86E-22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6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hsa05132</w:t>
            </w:r>
          </w:p>
        </w:tc>
        <w:tc>
          <w:tcPr>
            <w:tcW w:w="4350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Salmonella infection</w:t>
            </w:r>
          </w:p>
        </w:tc>
        <w:tc>
          <w:tcPr>
            <w:tcW w:w="1276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196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2.20E-20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6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hsa04932</w:t>
            </w:r>
          </w:p>
        </w:tc>
        <w:tc>
          <w:tcPr>
            <w:tcW w:w="4350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Non-alcoholic fatty liver disease</w:t>
            </w:r>
          </w:p>
        </w:tc>
        <w:tc>
          <w:tcPr>
            <w:tcW w:w="1276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130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3.17E-18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6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hsa04144</w:t>
            </w:r>
          </w:p>
        </w:tc>
        <w:tc>
          <w:tcPr>
            <w:tcW w:w="4350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Endocytosis</w:t>
            </w:r>
          </w:p>
        </w:tc>
        <w:tc>
          <w:tcPr>
            <w:tcW w:w="1276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188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1.58E-15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6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hsa03010</w:t>
            </w:r>
          </w:p>
        </w:tc>
        <w:tc>
          <w:tcPr>
            <w:tcW w:w="4350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Ribosome</w:t>
            </w:r>
          </w:p>
        </w:tc>
        <w:tc>
          <w:tcPr>
            <w:tcW w:w="1276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127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6.48E-15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6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hsa04510</w:t>
            </w:r>
          </w:p>
        </w:tc>
        <w:tc>
          <w:tcPr>
            <w:tcW w:w="4350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Focal adhesion</w:t>
            </w:r>
          </w:p>
        </w:tc>
        <w:tc>
          <w:tcPr>
            <w:tcW w:w="1276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153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7.07E-14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6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hsa03040</w:t>
            </w:r>
          </w:p>
        </w:tc>
        <w:tc>
          <w:tcPr>
            <w:tcW w:w="4350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Spliceosome</w:t>
            </w:r>
          </w:p>
        </w:tc>
        <w:tc>
          <w:tcPr>
            <w:tcW w:w="1276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118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7.22E-14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6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hsa05130</w:t>
            </w:r>
          </w:p>
        </w:tc>
        <w:tc>
          <w:tcPr>
            <w:tcW w:w="4350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Pathogenic Escherichia coli infection</w:t>
            </w:r>
          </w:p>
        </w:tc>
        <w:tc>
          <w:tcPr>
            <w:tcW w:w="1276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149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3.77E-13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6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hsa05135</w:t>
            </w:r>
          </w:p>
        </w:tc>
        <w:tc>
          <w:tcPr>
            <w:tcW w:w="4350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Yersinia infection</w:t>
            </w:r>
          </w:p>
        </w:tc>
        <w:tc>
          <w:tcPr>
            <w:tcW w:w="1276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110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5.00E-13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6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hsa04210</w:t>
            </w:r>
          </w:p>
        </w:tc>
        <w:tc>
          <w:tcPr>
            <w:tcW w:w="4350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Apoptosis</w:t>
            </w:r>
          </w:p>
        </w:tc>
        <w:tc>
          <w:tcPr>
            <w:tcW w:w="1276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109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8.01E-13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6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hsa05171</w:t>
            </w:r>
          </w:p>
        </w:tc>
        <w:tc>
          <w:tcPr>
            <w:tcW w:w="4350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Coronavirus disease - COVID-19</w:t>
            </w:r>
          </w:p>
        </w:tc>
        <w:tc>
          <w:tcPr>
            <w:tcW w:w="1276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170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1.02E-12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6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hsa04142</w:t>
            </w:r>
          </w:p>
        </w:tc>
        <w:tc>
          <w:tcPr>
            <w:tcW w:w="4350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Lysosome</w:t>
            </w:r>
          </w:p>
        </w:tc>
        <w:tc>
          <w:tcPr>
            <w:tcW w:w="1276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106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1.31E-12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6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hsa05169</w:t>
            </w:r>
          </w:p>
        </w:tc>
        <w:tc>
          <w:tcPr>
            <w:tcW w:w="4350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Epstein-Barr virus infection</w:t>
            </w:r>
          </w:p>
        </w:tc>
        <w:tc>
          <w:tcPr>
            <w:tcW w:w="1276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151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1.36E-12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6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hsa04140</w:t>
            </w:r>
          </w:p>
        </w:tc>
        <w:tc>
          <w:tcPr>
            <w:tcW w:w="4350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Autophagy - animal</w:t>
            </w:r>
          </w:p>
        </w:tc>
        <w:tc>
          <w:tcPr>
            <w:tcW w:w="1276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111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4.48E-12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462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hsa05163</w:t>
            </w:r>
          </w:p>
        </w:tc>
        <w:tc>
          <w:tcPr>
            <w:tcW w:w="4350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Human cytomegalovirus infection</w:t>
            </w:r>
          </w:p>
        </w:tc>
        <w:tc>
          <w:tcPr>
            <w:tcW w:w="1276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164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5.43E-12</w:t>
            </w:r>
          </w:p>
        </w:tc>
      </w:tr>
    </w:tbl>
    <w:p>
      <w:pPr>
        <w:spacing w:before="78" w:beforeLines="25" w:after="78" w:afterLines="25"/>
        <w:contextualSpacing/>
        <w:rPr>
          <w:rFonts w:ascii="Arial" w:hAnsi="Arial" w:eastAsia="仿宋" w:cs="Times New Roman"/>
          <w:sz w:val="18"/>
          <w:szCs w:val="18"/>
        </w:rPr>
      </w:pPr>
    </w:p>
    <w:p>
      <w:pPr>
        <w:rPr>
          <w:rFonts w:ascii="Arial" w:hAnsi="Arial" w:eastAsia="仿宋" w:cs="Times New Roman"/>
          <w:b/>
          <w:bCs/>
          <w:sz w:val="18"/>
          <w:szCs w:val="18"/>
        </w:rPr>
      </w:pPr>
      <w:r>
        <w:rPr>
          <w:rFonts w:ascii="Arial" w:hAnsi="Arial" w:eastAsia="仿宋" w:cs="Times New Roman"/>
          <w:b/>
          <w:bCs/>
          <w:sz w:val="18"/>
          <w:szCs w:val="18"/>
        </w:rPr>
        <w:br w:type="page"/>
      </w:r>
    </w:p>
    <w:p>
      <w:pPr>
        <w:rPr>
          <w:rFonts w:ascii="Times New Roman" w:hAnsi="Times New Roman" w:eastAsia="仿宋" w:cs="Times New Roman"/>
          <w:b/>
          <w:bCs/>
          <w:szCs w:val="21"/>
        </w:rPr>
      </w:pPr>
      <w:r>
        <w:rPr>
          <w:rFonts w:ascii="Times New Roman" w:hAnsi="Times New Roman" w:eastAsia="仿宋" w:cs="Times New Roman"/>
          <w:b/>
          <w:bCs/>
          <w:szCs w:val="21"/>
        </w:rPr>
        <w:t xml:space="preserve">Table </w:t>
      </w:r>
      <w:r>
        <w:rPr>
          <w:rFonts w:hint="eastAsia" w:ascii="Times New Roman" w:hAnsi="Times New Roman" w:eastAsia="仿宋" w:cs="Times New Roman"/>
          <w:b/>
          <w:bCs/>
          <w:szCs w:val="21"/>
        </w:rPr>
        <w:t>S5</w:t>
      </w:r>
      <w:r>
        <w:rPr>
          <w:rFonts w:ascii="Times New Roman" w:hAnsi="Times New Roman" w:eastAsia="仿宋" w:cs="Times New Roman"/>
          <w:b/>
          <w:bCs/>
          <w:szCs w:val="21"/>
        </w:rPr>
        <w:t xml:space="preserve"> </w:t>
      </w:r>
      <w:r>
        <w:rPr>
          <w:rFonts w:hint="eastAsia" w:ascii="Times New Roman" w:hAnsi="Times New Roman" w:eastAsia="仿宋" w:cs="Times New Roman"/>
          <w:szCs w:val="21"/>
        </w:rPr>
        <w:t>T</w:t>
      </w:r>
      <w:r>
        <w:rPr>
          <w:rFonts w:ascii="Times New Roman" w:hAnsi="Times New Roman" w:eastAsia="仿宋" w:cs="Times New Roman"/>
          <w:szCs w:val="21"/>
        </w:rPr>
        <w:t xml:space="preserve">he intersection of </w:t>
      </w:r>
      <w:r>
        <w:rPr>
          <w:rFonts w:hint="eastAsia" w:ascii="Times New Roman" w:hAnsi="Times New Roman" w:eastAsia="仿宋" w:cs="Times New Roman"/>
          <w:szCs w:val="21"/>
        </w:rPr>
        <w:t>129</w:t>
      </w:r>
      <w:r>
        <w:rPr>
          <w:rFonts w:ascii="Times New Roman" w:hAnsi="Times New Roman" w:eastAsia="仿宋" w:cs="Times New Roman"/>
          <w:szCs w:val="21"/>
        </w:rPr>
        <w:t xml:space="preserve"> </w:t>
      </w:r>
      <w:r>
        <w:rPr>
          <w:rFonts w:hint="eastAsia" w:ascii="Times New Roman" w:hAnsi="Times New Roman" w:eastAsia="仿宋" w:cs="Times New Roman"/>
          <w:szCs w:val="21"/>
        </w:rPr>
        <w:t>DEGs</w:t>
      </w:r>
      <w:r>
        <w:rPr>
          <w:rFonts w:ascii="Times New Roman" w:hAnsi="Times New Roman" w:eastAsia="仿宋" w:cs="Times New Roman"/>
          <w:szCs w:val="21"/>
        </w:rPr>
        <w:t xml:space="preserve"> </w:t>
      </w:r>
      <w:r>
        <w:rPr>
          <w:rFonts w:hint="eastAsia" w:ascii="Times New Roman" w:hAnsi="Times New Roman" w:eastAsia="仿宋" w:cs="Times New Roman"/>
          <w:szCs w:val="21"/>
        </w:rPr>
        <w:t xml:space="preserve">between TCGA-LUAD and sing-cell </w:t>
      </w:r>
      <w:r>
        <w:rPr>
          <w:rFonts w:hint="eastAsia" w:ascii="Times New Roman" w:hAnsi="Times New Roman" w:eastAsia="Cambria" w:cs="Times New Roman"/>
          <w:color w:val="212121"/>
          <w:kern w:val="0"/>
          <w:szCs w:val="21"/>
          <w:lang w:bidi="ar"/>
        </w:rPr>
        <w:t>RNA-seq</w:t>
      </w:r>
      <w:r>
        <w:rPr>
          <w:rFonts w:hint="eastAsia" w:ascii="Times New Roman" w:hAnsi="Times New Roman" w:eastAsia="仿宋" w:cs="Times New Roman"/>
          <w:i/>
          <w:iCs/>
          <w:szCs w:val="21"/>
        </w:rPr>
        <w:t xml:space="preserve"> </w:t>
      </w:r>
    </w:p>
    <w:tbl>
      <w:tblPr>
        <w:tblStyle w:val="5"/>
        <w:tblW w:w="8221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5"/>
        <w:gridCol w:w="2055"/>
        <w:gridCol w:w="2055"/>
        <w:gridCol w:w="205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Gene</w:t>
            </w:r>
          </w:p>
        </w:tc>
        <w:tc>
          <w:tcPr>
            <w:tcW w:w="2055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logFC</w:t>
            </w:r>
          </w:p>
        </w:tc>
        <w:tc>
          <w:tcPr>
            <w:tcW w:w="2055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adj.P.Val</w:t>
            </w:r>
          </w:p>
        </w:tc>
        <w:tc>
          <w:tcPr>
            <w:tcW w:w="2056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Change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MSR1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-2.57743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1.81702E-61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PHLDA2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2.235373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4.63241E-17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VSIG4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-2.73029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1.02737E-58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KLF4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-2.62059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1.92657E-59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MS4A7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-2.35204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3.48476E-65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MDK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2.628591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2.15971E-21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A2M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-2.00813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6.74051E-46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FOSB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-3.86461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1.20266E-50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FABP5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-2.2256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6.32857E-45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C15orf48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2.391566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4.03341E-13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CFD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-2.91585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5.15995E-57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MARCO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-3.99169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5.65465E-70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CXCL2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-2.15363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2.87135E-28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SLPI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-2.44314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9.7753E-26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SFTPA1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-4.298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8.17306E-45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SFTPA2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-4.19356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1.47878E-43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SFTPD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-3.74735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5.34494E-51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SCGB3A1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-3.09706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2.35973E-17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MCEMP1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-5.10912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5.7434E-106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SFTPC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-7.8762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2.3783E-117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COL1A1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2.793641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1.27287E-15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TPSB2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-2.47231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3.16944E-24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RETN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-4.22416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3.86723E-61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SCGB3A2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-3.07597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6.63155E-18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SPP1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4.686821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4.48239E-21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FABP4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-6.18696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7.7732E-150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TPSAB1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-2.37014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2.26749E-29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IGKC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2.258634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8.967E-10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SCGB1A1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-5.94834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2.89599E-52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IGHG4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3.281216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1.45699E-12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IGHG1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2.747299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3.27768E-10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IGHG3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2.352727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1.2477E-09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ALOX5AP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-2.21214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1.58219E-47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MRC1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-2.8644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8.86148E-55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OLR1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-2.95435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6.8752E-65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ALOX5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-2.01903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3.12291E-48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GLIPR2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-2.3438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2.14875E-78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PHACTR1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-2.5267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4.92174E-70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C5AR1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-2.1215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1.39937E-57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DOK2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-2.15465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5.39828E-44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RBP4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-3.40296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7.47563E-47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HBEGF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-2.69864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2.17363E-77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CD52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-2.58152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2.8162E-60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EMP2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-2.86281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1.696E-121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C4BPA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-2.23079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2.4354E-15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CDKN2A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2.048906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1.72788E-07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CRABP2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4.499874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8.63825E-17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SFTA1P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-3.20616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2.2946E-39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ABCC3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2.197018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3.19907E-17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C11orf96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-2.00789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5.00969E-33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SPINK1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4.6055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1.03787E-09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AQP1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-2.69454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3.79645E-41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PLPP2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2.630466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5.43642E-34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SLC39A8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-2.7821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3.2848E-99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NME1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2.068511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8.90904E-32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LRRK2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-3.04957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1.68338E-43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CEACAM5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3.621131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9.14189E-08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TPPP3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-3.07832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1.56885E-51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RGCC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-2.96204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1.9787E-124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FGFBP2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-3.96752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3.30306E-77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IGHG2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2.512744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7.56751E-11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IGHGP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2.560037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2.45632E-09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DERL3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2.019533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3.76478E-15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IGLV6-57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2.092183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1.14966E-07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VPREB3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2.112666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5.94996E-14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CPA3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-2.33767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5.68228E-28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MS4A2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-2.52912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8.50213E-33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CTSG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-2.38194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2.99417E-20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RGS13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-2.0162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8.16163E-27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CLDN5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-3.09133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1.96105E-68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SPARCL1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-2.11417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1.05478E-58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GNG11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-2.07938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4.99987E-45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RAMP2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-3.05053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2.2467E-103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ACKR1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-2.96011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6.07869E-37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VWF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-2.54043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4.43325E-71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CAV1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-4.03179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2.8941E-140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CLEC14A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-2.41458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1.18219E-90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ECSCR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-2.35055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3.27596E-68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PECAM1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-2.41053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3.5642E-122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EPAS1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-2.63739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5.764E-120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RAMP3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-3.26226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5.9031E-99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FCN3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-4.8548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3.8646E-106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CD93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-2.30333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2.00086E-79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ESAM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-2.23229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5.20385E-65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LDB2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-2.69933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1.8703E-114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CALCRL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-2.86929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2.9282E-101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EMCN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-2.99531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3.25147E-92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PCAT19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-2.53358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2.77076E-75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DNASE1L3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-3.88413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4.1437E-69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PTPRB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-2.74536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1.74756E-88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IL33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-2.68706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9.69397E-53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CDH5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-2.66248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5.6361E-111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TSPAN7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-2.7932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2.847E-45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PALMD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-2.26769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2.55503E-67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CAV2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-2.7766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3.37964E-79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JAM2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-2.67388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3.3516E-112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CYYR1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-2.32376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6.2588E-95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ROBO4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-2.98841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1.0827E-111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MMRN1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-2.64865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1.05577E-47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TIE1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-2.14633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7.4029E-75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ACVRL1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-2.62167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1.5455E-121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NRN1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-2.23762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2.94581E-45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HEG1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-2.26485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2.95319E-77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TIMP3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-2.14088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8.76343E-52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GPX3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-2.69037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2.58386E-77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COL3A1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2.417545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5.77692E-17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MFAP4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-3.17333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8.74546E-71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C7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-2.69566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5.79324E-30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CTHRC1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3.725019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8.06016E-33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MMP11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4.832919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8.69651E-23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ADH1B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-4.78375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1.15029E-68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PLAC9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-2.8328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3.97983E-95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FHL1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-3.93421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1.0867E-126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THBS2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2.540273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9.07484E-17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TCF21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-3.83398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6.54534E-88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PPP1R14A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-2.25152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2.01373E-40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GPC3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-3.0023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1.52601E-56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FXYD1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-3.03356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3.32236E-38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INMT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-4.15576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1.8208E-103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PDLIM2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-2.12461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1.36466E-85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FBLN5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-2.16507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1.01714E-54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FMO2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-3.63102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6.99473E-98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COL10A1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4.627847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1.31273E-29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LTBP4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-2.40373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8.53157E-67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FXYD6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-2.03505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1.70158E-57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CYBRD1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-2.1065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5.22739E-52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CRYAB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-2.35051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8.07073E-58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DOWN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COMP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2.645227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4.01552E-10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CXCL14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2.42721</w:t>
            </w:r>
          </w:p>
        </w:tc>
        <w:tc>
          <w:tcPr>
            <w:tcW w:w="2055" w:type="dxa"/>
            <w:noWrap/>
          </w:tcPr>
          <w:p>
            <w:pPr>
              <w:widowControl/>
              <w:spacing w:before="78" w:beforeLines="25" w:after="78" w:afterLines="25" w:line="400" w:lineRule="exact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6.11631E-07</w:t>
            </w:r>
          </w:p>
        </w:tc>
        <w:tc>
          <w:tcPr>
            <w:tcW w:w="2056" w:type="dxa"/>
            <w:noWrap/>
          </w:tcPr>
          <w:p>
            <w:pPr>
              <w:widowControl/>
              <w:spacing w:before="78" w:beforeLines="25" w:after="78" w:afterLines="25" w:line="400" w:lineRule="exact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UP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ascii="Times New Roman" w:hAnsi="Times New Roman" w:eastAsia="仿宋" w:cs="Times New Roman"/>
          <w:szCs w:val="21"/>
          <w:highlight w:val="yellow"/>
        </w:rPr>
      </w:pPr>
      <w:r>
        <w:rPr>
          <w:rFonts w:ascii="Times New Roman" w:hAnsi="Times New Roman" w:eastAsia="仿宋" w:cs="Times New Roman"/>
          <w:b/>
          <w:bCs/>
          <w:szCs w:val="21"/>
        </w:rPr>
        <w:t>Table</w:t>
      </w:r>
      <w:r>
        <w:rPr>
          <w:rFonts w:hint="eastAsia" w:ascii="Times New Roman" w:hAnsi="Times New Roman" w:eastAsia="仿宋" w:cs="Times New Roman"/>
          <w:b/>
          <w:bCs/>
          <w:szCs w:val="21"/>
        </w:rPr>
        <w:t xml:space="preserve"> S6</w:t>
      </w:r>
      <w:r>
        <w:rPr>
          <w:rFonts w:ascii="Times New Roman" w:hAnsi="Times New Roman" w:eastAsia="仿宋" w:cs="Times New Roman"/>
          <w:b/>
          <w:bCs/>
          <w:szCs w:val="21"/>
        </w:rPr>
        <w:t xml:space="preserve"> </w:t>
      </w:r>
      <w:r>
        <w:rPr>
          <w:rFonts w:ascii="Times New Roman" w:hAnsi="Times New Roman" w:eastAsia="仿宋" w:cs="Times New Roman"/>
          <w:szCs w:val="21"/>
        </w:rPr>
        <w:t xml:space="preserve">GO enrichment analysis of the intersecting genes between bulk and single-cell transcription </w:t>
      </w:r>
    </w:p>
    <w:tbl>
      <w:tblPr>
        <w:tblStyle w:val="5"/>
        <w:tblW w:w="8789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972"/>
        <w:gridCol w:w="587"/>
        <w:gridCol w:w="3966"/>
        <w:gridCol w:w="428"/>
        <w:gridCol w:w="709"/>
        <w:gridCol w:w="127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1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ONTOLOGY</w:t>
            </w:r>
          </w:p>
        </w:tc>
        <w:tc>
          <w:tcPr>
            <w:tcW w:w="972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ID</w:t>
            </w:r>
          </w:p>
        </w:tc>
        <w:tc>
          <w:tcPr>
            <w:tcW w:w="4553" w:type="dxa"/>
            <w:gridSpan w:val="2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Description</w:t>
            </w:r>
          </w:p>
        </w:tc>
        <w:tc>
          <w:tcPr>
            <w:tcW w:w="1137" w:type="dxa"/>
            <w:gridSpan w:val="2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Count</w:t>
            </w:r>
          </w:p>
        </w:tc>
        <w:tc>
          <w:tcPr>
            <w:tcW w:w="1276" w:type="dxa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pvalue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BP</w:t>
            </w:r>
          </w:p>
        </w:tc>
        <w:tc>
          <w:tcPr>
            <w:tcW w:w="1559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GO:0006959</w:t>
            </w:r>
          </w:p>
        </w:tc>
        <w:tc>
          <w:tcPr>
            <w:tcW w:w="4394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humoral immune response</w:t>
            </w:r>
          </w:p>
        </w:tc>
        <w:tc>
          <w:tcPr>
            <w:tcW w:w="709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19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1.75E-13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BP</w:t>
            </w:r>
          </w:p>
        </w:tc>
        <w:tc>
          <w:tcPr>
            <w:tcW w:w="1559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GO:0006956</w:t>
            </w:r>
          </w:p>
        </w:tc>
        <w:tc>
          <w:tcPr>
            <w:tcW w:w="4394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complement activation</w:t>
            </w:r>
          </w:p>
        </w:tc>
        <w:tc>
          <w:tcPr>
            <w:tcW w:w="709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13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2.58E-12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BP</w:t>
            </w:r>
          </w:p>
        </w:tc>
        <w:tc>
          <w:tcPr>
            <w:tcW w:w="1559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GO:0001894</w:t>
            </w:r>
          </w:p>
        </w:tc>
        <w:tc>
          <w:tcPr>
            <w:tcW w:w="4394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protein lipoylation</w:t>
            </w:r>
          </w:p>
        </w:tc>
        <w:tc>
          <w:tcPr>
            <w:tcW w:w="709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15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2.38E-10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BP</w:t>
            </w:r>
          </w:p>
        </w:tc>
        <w:tc>
          <w:tcPr>
            <w:tcW w:w="1559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GO:0030198</w:t>
            </w:r>
          </w:p>
        </w:tc>
        <w:tc>
          <w:tcPr>
            <w:tcW w:w="4394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cellular copper ion homeosta-sis</w:t>
            </w:r>
          </w:p>
        </w:tc>
        <w:tc>
          <w:tcPr>
            <w:tcW w:w="709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15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1.27E-09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BP</w:t>
            </w:r>
          </w:p>
        </w:tc>
        <w:tc>
          <w:tcPr>
            <w:tcW w:w="1559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GO:0043062</w:t>
            </w:r>
          </w:p>
        </w:tc>
        <w:tc>
          <w:tcPr>
            <w:tcW w:w="4394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copper ion transmembrane transport</w:t>
            </w:r>
          </w:p>
        </w:tc>
        <w:tc>
          <w:tcPr>
            <w:tcW w:w="709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15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1.33E-09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CC</w:t>
            </w:r>
          </w:p>
        </w:tc>
        <w:tc>
          <w:tcPr>
            <w:tcW w:w="1559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GO:0062023</w:t>
            </w:r>
          </w:p>
        </w:tc>
        <w:tc>
          <w:tcPr>
            <w:tcW w:w="4394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collagen-containing extracellular matrix</w:t>
            </w:r>
          </w:p>
        </w:tc>
        <w:tc>
          <w:tcPr>
            <w:tcW w:w="709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23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3.65E-15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CC</w:t>
            </w:r>
          </w:p>
        </w:tc>
        <w:tc>
          <w:tcPr>
            <w:tcW w:w="1559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GO:0005581</w:t>
            </w:r>
          </w:p>
        </w:tc>
        <w:tc>
          <w:tcPr>
            <w:tcW w:w="4394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mitochondrial pyruvate dehydrogenase complex</w:t>
            </w:r>
          </w:p>
        </w:tc>
        <w:tc>
          <w:tcPr>
            <w:tcW w:w="709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10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1.82E-10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CC</w:t>
            </w:r>
          </w:p>
        </w:tc>
        <w:tc>
          <w:tcPr>
            <w:tcW w:w="1559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GO:1903143</w:t>
            </w:r>
          </w:p>
        </w:tc>
        <w:tc>
          <w:tcPr>
            <w:tcW w:w="4394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adrenomedullin receptor complex</w:t>
            </w:r>
          </w:p>
        </w:tc>
        <w:tc>
          <w:tcPr>
            <w:tcW w:w="709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3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2.53E-07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CC</w:t>
            </w:r>
          </w:p>
        </w:tc>
        <w:tc>
          <w:tcPr>
            <w:tcW w:w="1559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GO:1903439</w:t>
            </w:r>
          </w:p>
        </w:tc>
        <w:tc>
          <w:tcPr>
            <w:tcW w:w="4394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calcitonin family receptor complex</w:t>
            </w:r>
          </w:p>
        </w:tc>
        <w:tc>
          <w:tcPr>
            <w:tcW w:w="709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3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2.51E-06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CC</w:t>
            </w:r>
          </w:p>
        </w:tc>
        <w:tc>
          <w:tcPr>
            <w:tcW w:w="1559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GO:0072562</w:t>
            </w:r>
          </w:p>
        </w:tc>
        <w:tc>
          <w:tcPr>
            <w:tcW w:w="4394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blood microparticle</w:t>
            </w:r>
          </w:p>
        </w:tc>
        <w:tc>
          <w:tcPr>
            <w:tcW w:w="709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8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4.65E-06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MF</w:t>
            </w:r>
          </w:p>
        </w:tc>
        <w:tc>
          <w:tcPr>
            <w:tcW w:w="1559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GO:0005201</w:t>
            </w:r>
          </w:p>
        </w:tc>
        <w:tc>
          <w:tcPr>
            <w:tcW w:w="4394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extracellular matrix structural constituent</w:t>
            </w:r>
          </w:p>
        </w:tc>
        <w:tc>
          <w:tcPr>
            <w:tcW w:w="709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11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1.51E-08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MF</w:t>
            </w:r>
          </w:p>
        </w:tc>
        <w:tc>
          <w:tcPr>
            <w:tcW w:w="1559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GO:0001605</w:t>
            </w:r>
          </w:p>
        </w:tc>
        <w:tc>
          <w:tcPr>
            <w:tcW w:w="4394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adrenomedullin receptor activity</w:t>
            </w:r>
          </w:p>
        </w:tc>
        <w:tc>
          <w:tcPr>
            <w:tcW w:w="709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3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2.63E-07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MF</w:t>
            </w:r>
          </w:p>
        </w:tc>
        <w:tc>
          <w:tcPr>
            <w:tcW w:w="1559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GO:0002020</w:t>
            </w:r>
          </w:p>
        </w:tc>
        <w:tc>
          <w:tcPr>
            <w:tcW w:w="4394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protease binding</w:t>
            </w:r>
          </w:p>
        </w:tc>
        <w:tc>
          <w:tcPr>
            <w:tcW w:w="709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8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2.84E-06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MF</w:t>
            </w:r>
          </w:p>
        </w:tc>
        <w:tc>
          <w:tcPr>
            <w:tcW w:w="1559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GO:0097642</w:t>
            </w:r>
          </w:p>
        </w:tc>
        <w:tc>
          <w:tcPr>
            <w:tcW w:w="4394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pyruvate dehydrogenase activity</w:t>
            </w:r>
          </w:p>
        </w:tc>
        <w:tc>
          <w:tcPr>
            <w:tcW w:w="709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3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5.19E-06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MF</w:t>
            </w:r>
          </w:p>
        </w:tc>
        <w:tc>
          <w:tcPr>
            <w:tcW w:w="1559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GO:0005178</w:t>
            </w:r>
          </w:p>
        </w:tc>
        <w:tc>
          <w:tcPr>
            <w:tcW w:w="4394" w:type="dxa"/>
            <w:gridSpan w:val="2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integrin binding</w:t>
            </w:r>
          </w:p>
        </w:tc>
        <w:tc>
          <w:tcPr>
            <w:tcW w:w="709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8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7.86E-06</w:t>
            </w:r>
          </w:p>
        </w:tc>
      </w:tr>
    </w:tbl>
    <w:p>
      <w:pPr>
        <w:rPr>
          <w:rFonts w:ascii="Arial" w:hAnsi="Arial" w:eastAsia="仿宋" w:cs="Times New Roman"/>
        </w:rPr>
      </w:pPr>
    </w:p>
    <w:p>
      <w:bookmarkStart w:id="0" w:name="_GoBack"/>
      <w:bookmarkEnd w:id="0"/>
    </w:p>
    <w:p/>
    <w:p/>
    <w:p/>
    <w:p/>
    <w:p/>
    <w:p/>
    <w:p/>
    <w:p/>
    <w:p/>
    <w:p/>
    <w:p/>
    <w:p/>
    <w:p/>
    <w:p/>
    <w:p/>
    <w:p>
      <w:pPr>
        <w:rPr>
          <w:rFonts w:ascii="Times New Roman" w:hAnsi="Times New Roman" w:eastAsia="仿宋" w:cs="Times New Roman"/>
          <w:szCs w:val="21"/>
        </w:rPr>
      </w:pPr>
      <w:r>
        <w:rPr>
          <w:rFonts w:ascii="Times New Roman" w:hAnsi="Times New Roman" w:eastAsia="仿宋" w:cs="Times New Roman"/>
          <w:b/>
          <w:bCs/>
          <w:szCs w:val="21"/>
        </w:rPr>
        <w:t>Table</w:t>
      </w:r>
      <w:r>
        <w:rPr>
          <w:rFonts w:hint="eastAsia" w:ascii="Times New Roman" w:hAnsi="Times New Roman" w:eastAsia="仿宋" w:cs="Times New Roman"/>
          <w:b/>
          <w:bCs/>
          <w:szCs w:val="21"/>
        </w:rPr>
        <w:t xml:space="preserve"> S7</w:t>
      </w:r>
      <w:r>
        <w:rPr>
          <w:rFonts w:ascii="Times New Roman" w:hAnsi="Times New Roman" w:eastAsia="仿宋" w:cs="Times New Roman"/>
          <w:szCs w:val="21"/>
        </w:rPr>
        <w:t xml:space="preserve"> </w:t>
      </w:r>
      <w:r>
        <w:rPr>
          <w:rFonts w:ascii="Times New Roman" w:hAnsi="Times New Roman" w:eastAsia="微软雅黑" w:cs="Times New Roman"/>
          <w:szCs w:val="21"/>
          <w:shd w:val="clear" w:color="auto" w:fill="FFFFFF"/>
        </w:rPr>
        <w:t>Univariate and multivariate </w:t>
      </w:r>
      <w:r>
        <w:rPr>
          <w:rFonts w:hint="eastAsia" w:ascii="Times New Roman" w:hAnsi="Times New Roman" w:eastAsia="微软雅黑" w:cs="Times New Roman"/>
          <w:szCs w:val="21"/>
          <w:shd w:val="clear" w:color="auto" w:fill="FFFFFF"/>
        </w:rPr>
        <w:t>c</w:t>
      </w:r>
      <w:r>
        <w:rPr>
          <w:rFonts w:ascii="Times New Roman" w:hAnsi="Times New Roman" w:eastAsia="微软雅黑" w:cs="Times New Roman"/>
          <w:szCs w:val="21"/>
          <w:shd w:val="clear" w:color="auto" w:fill="FFFFFF"/>
        </w:rPr>
        <w:t>ox survival analys</w:t>
      </w:r>
      <w:r>
        <w:rPr>
          <w:rFonts w:hint="eastAsia" w:ascii="Times New Roman" w:hAnsi="Times New Roman" w:eastAsia="微软雅黑" w:cs="Times New Roman"/>
          <w:szCs w:val="21"/>
          <w:shd w:val="clear" w:color="auto" w:fill="FFFFFF"/>
        </w:rPr>
        <w:t>es</w:t>
      </w:r>
    </w:p>
    <w:tbl>
      <w:tblPr>
        <w:tblStyle w:val="5"/>
        <w:tblW w:w="8212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6"/>
        <w:gridCol w:w="851"/>
        <w:gridCol w:w="1275"/>
        <w:gridCol w:w="1134"/>
        <w:gridCol w:w="1276"/>
        <w:gridCol w:w="1276"/>
        <w:gridCol w:w="113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266" w:type="dxa"/>
            <w:vMerge w:val="restart"/>
            <w:tcBorders>
              <w:top w:val="single" w:color="auto" w:sz="12" w:space="0"/>
              <w:left w:val="nil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ID</w:t>
            </w:r>
          </w:p>
        </w:tc>
        <w:tc>
          <w:tcPr>
            <w:tcW w:w="3260" w:type="dxa"/>
            <w:gridSpan w:val="3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Univariate analysis</w:t>
            </w:r>
          </w:p>
        </w:tc>
        <w:tc>
          <w:tcPr>
            <w:tcW w:w="3686" w:type="dxa"/>
            <w:gridSpan w:val="3"/>
            <w:tcBorders>
              <w:top w:val="single" w:color="auto" w:sz="12" w:space="0"/>
              <w:bottom w:val="single" w:color="auto" w:sz="6" w:space="0"/>
              <w:right w:val="nil"/>
              <w:insideH w:val="single" w:sz="6" w:space="0"/>
              <w:insideV w:val="nil"/>
              <w:tl2br w:val="nil"/>
              <w:tr2bl w:val="nil"/>
            </w:tcBorders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Multivariate analysis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266" w:type="dxa"/>
            <w:vMerge w:val="continue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HR</w:t>
            </w:r>
          </w:p>
        </w:tc>
        <w:tc>
          <w:tcPr>
            <w:tcW w:w="1275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95%CI of HR</w:t>
            </w:r>
          </w:p>
        </w:tc>
        <w:tc>
          <w:tcPr>
            <w:tcW w:w="1134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pvalue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HR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95%CI of HR</w:t>
            </w:r>
          </w:p>
        </w:tc>
        <w:tc>
          <w:tcPr>
            <w:tcW w:w="1134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pvalue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26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lef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KLF4</w:t>
            </w:r>
          </w:p>
        </w:tc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1.44</w:t>
            </w:r>
          </w:p>
        </w:tc>
        <w:tc>
          <w:tcPr>
            <w:tcW w:w="1275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1.17-1.78</w:t>
            </w:r>
          </w:p>
        </w:tc>
        <w:tc>
          <w:tcPr>
            <w:tcW w:w="1134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0.0006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1.57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1.27-1.95</w:t>
            </w:r>
          </w:p>
        </w:tc>
        <w:tc>
          <w:tcPr>
            <w:tcW w:w="1134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0.0000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26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lef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SCGB3A1</w:t>
            </w:r>
          </w:p>
        </w:tc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0.90</w:t>
            </w:r>
          </w:p>
        </w:tc>
        <w:tc>
          <w:tcPr>
            <w:tcW w:w="1275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0.84-0.97</w:t>
            </w:r>
          </w:p>
        </w:tc>
        <w:tc>
          <w:tcPr>
            <w:tcW w:w="1134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0.0099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0.90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0.83-0.97</w:t>
            </w:r>
          </w:p>
        </w:tc>
        <w:tc>
          <w:tcPr>
            <w:tcW w:w="1134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0.0079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26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lef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COL1A1</w:t>
            </w:r>
          </w:p>
        </w:tc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1.26</w:t>
            </w:r>
          </w:p>
        </w:tc>
        <w:tc>
          <w:tcPr>
            <w:tcW w:w="1275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1.07-1.47</w:t>
            </w:r>
          </w:p>
        </w:tc>
        <w:tc>
          <w:tcPr>
            <w:tcW w:w="1134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0.0044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1.17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1.00-1.38</w:t>
            </w:r>
          </w:p>
        </w:tc>
        <w:tc>
          <w:tcPr>
            <w:tcW w:w="1134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0.0492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26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lef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SPP1</w:t>
            </w:r>
          </w:p>
        </w:tc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1.19</w:t>
            </w:r>
          </w:p>
        </w:tc>
        <w:tc>
          <w:tcPr>
            <w:tcW w:w="1275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1.05-1.34</w:t>
            </w:r>
          </w:p>
        </w:tc>
        <w:tc>
          <w:tcPr>
            <w:tcW w:w="1134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0.0064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26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lef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C4BPA</w:t>
            </w:r>
          </w:p>
        </w:tc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0.86</w:t>
            </w:r>
          </w:p>
        </w:tc>
        <w:tc>
          <w:tcPr>
            <w:tcW w:w="1275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0.78-0.96</w:t>
            </w:r>
          </w:p>
        </w:tc>
        <w:tc>
          <w:tcPr>
            <w:tcW w:w="1134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0.0057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26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lef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TSPAN7</w:t>
            </w:r>
          </w:p>
        </w:tc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0.80</w:t>
            </w:r>
          </w:p>
        </w:tc>
        <w:tc>
          <w:tcPr>
            <w:tcW w:w="1275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0.67-0.96</w:t>
            </w:r>
          </w:p>
        </w:tc>
        <w:tc>
          <w:tcPr>
            <w:tcW w:w="1134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0.0155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0.83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0.68-1.00</w:t>
            </w:r>
          </w:p>
        </w:tc>
        <w:tc>
          <w:tcPr>
            <w:tcW w:w="1134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0.0521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26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lef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CAV2</w:t>
            </w:r>
          </w:p>
        </w:tc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1.32</w:t>
            </w:r>
          </w:p>
        </w:tc>
        <w:tc>
          <w:tcPr>
            <w:tcW w:w="1275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1.07-1.62</w:t>
            </w:r>
          </w:p>
        </w:tc>
        <w:tc>
          <w:tcPr>
            <w:tcW w:w="1134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0.0103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26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lef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CTHRC1</w:t>
            </w:r>
          </w:p>
        </w:tc>
        <w:tc>
          <w:tcPr>
            <w:tcW w:w="851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1.29</w:t>
            </w:r>
          </w:p>
        </w:tc>
        <w:tc>
          <w:tcPr>
            <w:tcW w:w="1275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1.07-1.55</w:t>
            </w:r>
          </w:p>
        </w:tc>
        <w:tc>
          <w:tcPr>
            <w:tcW w:w="1134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Arial" w:cs="Times New Roman"/>
                <w:szCs w:val="21"/>
              </w:rPr>
              <w:t>0.0073</w:t>
            </w: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276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noWrap/>
          </w:tcPr>
          <w:p>
            <w:pPr>
              <w:spacing w:before="78" w:beforeLines="25" w:after="78" w:afterLines="25" w:line="240" w:lineRule="atLeast"/>
              <w:contextualSpacing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dvOT1ef757c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Pro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RWPalladioL-Rom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mZWIzNDg2MmIzZjExOTIzMmViNTBmYTMwYTk0ZWYifQ=="/>
  </w:docVars>
  <w:rsids>
    <w:rsidRoot w:val="256841FA"/>
    <w:rsid w:val="002917C2"/>
    <w:rsid w:val="00AC603B"/>
    <w:rsid w:val="05200170"/>
    <w:rsid w:val="0526123E"/>
    <w:rsid w:val="0943468F"/>
    <w:rsid w:val="0B364788"/>
    <w:rsid w:val="0B5378FC"/>
    <w:rsid w:val="0D584C9D"/>
    <w:rsid w:val="0F6A2357"/>
    <w:rsid w:val="0FCB4179"/>
    <w:rsid w:val="0FF51ED4"/>
    <w:rsid w:val="118E7282"/>
    <w:rsid w:val="13D72EDF"/>
    <w:rsid w:val="159C4690"/>
    <w:rsid w:val="1900015D"/>
    <w:rsid w:val="19A33FBC"/>
    <w:rsid w:val="1D516863"/>
    <w:rsid w:val="1DF365E4"/>
    <w:rsid w:val="1EA4104F"/>
    <w:rsid w:val="20B54F52"/>
    <w:rsid w:val="255512CF"/>
    <w:rsid w:val="256841FA"/>
    <w:rsid w:val="27220408"/>
    <w:rsid w:val="29C864AF"/>
    <w:rsid w:val="2AA95C48"/>
    <w:rsid w:val="2D5A7801"/>
    <w:rsid w:val="33327AA4"/>
    <w:rsid w:val="34AB6B45"/>
    <w:rsid w:val="3CA15938"/>
    <w:rsid w:val="44B8655F"/>
    <w:rsid w:val="4C5A23E7"/>
    <w:rsid w:val="51420511"/>
    <w:rsid w:val="56DA7F90"/>
    <w:rsid w:val="59E95E77"/>
    <w:rsid w:val="5A6812C6"/>
    <w:rsid w:val="5A6F1245"/>
    <w:rsid w:val="5AA07162"/>
    <w:rsid w:val="5E9346ED"/>
    <w:rsid w:val="64D57B77"/>
    <w:rsid w:val="64E5060C"/>
    <w:rsid w:val="659E6486"/>
    <w:rsid w:val="662B13BF"/>
    <w:rsid w:val="66400AB2"/>
    <w:rsid w:val="69E85F21"/>
    <w:rsid w:val="6BAE6054"/>
    <w:rsid w:val="6BCC20CA"/>
    <w:rsid w:val="6C631D69"/>
    <w:rsid w:val="6CBA4D6E"/>
    <w:rsid w:val="6DDF784E"/>
    <w:rsid w:val="71045EEC"/>
    <w:rsid w:val="71095E7A"/>
    <w:rsid w:val="718676DE"/>
    <w:rsid w:val="72A0203C"/>
    <w:rsid w:val="72AA6CC5"/>
    <w:rsid w:val="72B1538F"/>
    <w:rsid w:val="75487A08"/>
    <w:rsid w:val="791F6624"/>
    <w:rsid w:val="7A03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customStyle="1" w:styleId="5">
    <w:name w:val="三线表"/>
    <w:basedOn w:val="3"/>
    <w:qFormat/>
    <w:uiPriority w:val="99"/>
    <w:pPr>
      <w:spacing w:before="25" w:beforeLines="25" w:after="25" w:afterLines="25" w:line="400" w:lineRule="exact"/>
    </w:pPr>
    <w:rPr>
      <w:rFonts w:ascii="Arial" w:hAnsi="Arial" w:eastAsia="Arial"/>
      <w:szCs w:val="24"/>
    </w:rPr>
    <w:tblPr>
      <w:tblBorders>
        <w:top w:val="single" w:color="auto" w:sz="12" w:space="0"/>
        <w:bottom w:val="single" w:color="auto" w:sz="12" w:space="0"/>
      </w:tblBorders>
    </w:tblPr>
    <w:tblStylePr w:type="firstRow">
      <w:tcPr>
        <w:tcBorders>
          <w:top w:val="single" w:color="auto" w:sz="12" w:space="0"/>
          <w:left w:val="nil"/>
          <w:bottom w:val="single" w:color="auto" w:sz="6" w:space="0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1560</Words>
  <Characters>8897</Characters>
  <Lines>74</Lines>
  <Paragraphs>20</Paragraphs>
  <TotalTime>21</TotalTime>
  <ScaleCrop>false</ScaleCrop>
  <LinksUpToDate>false</LinksUpToDate>
  <CharactersWithSpaces>10437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2022-12-10T09:04:00Z</dcterms:created>
  <dc:creator>笨笨熊</dc:creator>
  <cp:lastModifiedBy>笨笨熊</cp:lastModifiedBy>
  <dcterms:modified xsi:type="dcterms:W3CDTF">2023-04-06T15:57:41Z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F91ADE4FF56B41C8B0B60223216F84EF</vt:lpwstr>
  </property>
</Properties>
</file>