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Times New Roman" w:hAnsi="Times New Roman" w:cs="Times New Roman" w:eastAsiaTheme="minorEastAsia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Supplemental Material</w:t>
      </w:r>
      <w:r>
        <w:rPr>
          <w:rFonts w:hint="eastAsia" w:ascii="Times New Roman" w:hAnsi="Times New Roman" w:cs="Times New Roman"/>
          <w:b/>
          <w:sz w:val="32"/>
          <w:szCs w:val="32"/>
          <w:lang w:val="en-US" w:eastAsia="zh-CN"/>
        </w:rPr>
        <w:t>s</w:t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sz w:val="32"/>
          <w:szCs w:val="32"/>
        </w:rPr>
        <w:t>Evaluation and development of deep neural networks for RNA 5-Methyluridine classifications using autoBioSeqpy</w:t>
      </w:r>
    </w:p>
    <w:p>
      <w:pPr>
        <w:suppressLineNumbers/>
        <w:spacing w:line="360" w:lineRule="auto"/>
        <w:jc w:val="both"/>
        <w:rPr>
          <w:rFonts w:ascii="Times New Roman" w:hAnsi="Times New Roman"/>
          <w:i w:val="0"/>
          <w:iCs w:val="0"/>
          <w:sz w:val="24"/>
          <w:szCs w:val="24"/>
          <w:lang w:eastAsia="zh-CN"/>
        </w:rPr>
      </w:pPr>
      <w:r>
        <w:rPr>
          <w:rFonts w:hint="eastAsia" w:ascii="Times New Roman" w:hAnsi="Times New Roman"/>
          <w:i w:val="0"/>
          <w:iCs w:val="0"/>
          <w:sz w:val="24"/>
          <w:szCs w:val="24"/>
        </w:rPr>
        <w:t>Lezheng Yu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</w:rPr>
        <w:t>,</w:t>
      </w:r>
      <w:r>
        <w:rPr>
          <w:rFonts w:hint="default" w:ascii="Times New Roman" w:hAnsi="Times New Roman"/>
          <w:i w:val="0"/>
          <w:iCs w:val="0"/>
          <w:sz w:val="24"/>
          <w:szCs w:val="24"/>
          <w:vertAlign w:val="superscript"/>
        </w:rPr>
        <w:t>†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, </w:t>
      </w:r>
      <w:bookmarkStart w:id="0" w:name="OLE_LINK284"/>
      <w:r>
        <w:rPr>
          <w:rFonts w:hint="eastAsia" w:ascii="Times New Roman" w:hAnsi="Times New Roman"/>
          <w:i w:val="0"/>
          <w:iCs w:val="0"/>
          <w:sz w:val="24"/>
          <w:szCs w:val="24"/>
        </w:rPr>
        <w:t>Yonglin Zhang</w:t>
      </w:r>
      <w:bookmarkEnd w:id="0"/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2,</w:t>
      </w:r>
      <w:r>
        <w:rPr>
          <w:rFonts w:hint="default" w:ascii="Times New Roman" w:hAnsi="Times New Roman"/>
          <w:i w:val="0"/>
          <w:iCs w:val="0"/>
          <w:sz w:val="24"/>
          <w:szCs w:val="24"/>
          <w:vertAlign w:val="superscript"/>
        </w:rPr>
        <w:t>†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/>
          <w:i w:val="0"/>
          <w:iCs w:val="0"/>
          <w:sz w:val="24"/>
          <w:szCs w:val="24"/>
        </w:rPr>
        <w:t>Li Xue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3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, </w:t>
      </w:r>
      <w:r>
        <w:rPr>
          <w:rFonts w:hint="eastAsia" w:ascii="Times New Roman" w:hAnsi="Times New Roman"/>
          <w:i w:val="0"/>
          <w:iCs w:val="0"/>
          <w:sz w:val="24"/>
          <w:szCs w:val="24"/>
        </w:rPr>
        <w:t>Fengjuan Liu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4</w:t>
      </w:r>
      <w:r>
        <w:rPr>
          <w:rFonts w:ascii="Times New Roman" w:hAnsi="Times New Roman"/>
          <w:i w:val="0"/>
          <w:iCs w:val="0"/>
          <w:sz w:val="24"/>
          <w:szCs w:val="24"/>
        </w:rPr>
        <w:t>, Runyu Jing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5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/>
          <w:i w:val="0"/>
          <w:iCs w:val="0"/>
          <w:sz w:val="24"/>
          <w:szCs w:val="24"/>
        </w:rPr>
        <w:t>*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and </w:t>
      </w:r>
      <w:r>
        <w:rPr>
          <w:rFonts w:ascii="Times New Roman" w:hAnsi="Times New Roman"/>
          <w:i w:val="0"/>
          <w:iCs w:val="0"/>
          <w:sz w:val="24"/>
          <w:szCs w:val="24"/>
        </w:rPr>
        <w:t>Jiesi Luo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6,7,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</w:rPr>
        <w:t>*</w:t>
      </w:r>
    </w:p>
    <w:p>
      <w:pPr>
        <w:suppressLineNumbers/>
        <w:spacing w:line="360" w:lineRule="auto"/>
        <w:jc w:val="both"/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</w:pPr>
    </w:p>
    <w:p>
      <w:pPr>
        <w:suppressLineNumbers/>
        <w:spacing w:line="360" w:lineRule="auto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1</w:t>
      </w:r>
      <w:r>
        <w:rPr>
          <w:rFonts w:ascii="Times New Roman" w:hAnsi="Times New Roman"/>
          <w:i w:val="0"/>
          <w:iCs w:val="0"/>
          <w:sz w:val="24"/>
          <w:szCs w:val="24"/>
        </w:rPr>
        <w:t>School of Chemistry and Materials Science, Guizhou Education University, Guiyang, China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ascii="Times New Roman" w:hAnsi="Times New Roman"/>
          <w:i w:val="0"/>
          <w:iCs w:val="0"/>
          <w:sz w:val="24"/>
          <w:szCs w:val="24"/>
        </w:rPr>
        <w:t>Department of Pharmacy, Affiliated Hospital of North Sichuan Medical College, Nanchong, China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3</w:t>
      </w:r>
      <w:r>
        <w:rPr>
          <w:rFonts w:ascii="Times New Roman" w:hAnsi="Times New Roman"/>
          <w:i w:val="0"/>
          <w:iCs w:val="0"/>
          <w:sz w:val="24"/>
          <w:szCs w:val="24"/>
        </w:rPr>
        <w:t>School of Public Health, Southwest Medical University, Luzhou, China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4</w:t>
      </w:r>
      <w:r>
        <w:rPr>
          <w:rFonts w:ascii="Times New Roman" w:hAnsi="Times New Roman"/>
          <w:i w:val="0"/>
          <w:iCs w:val="0"/>
          <w:sz w:val="24"/>
          <w:szCs w:val="24"/>
        </w:rPr>
        <w:t>School of Geography and Resources, Guizhou Education University, Guiyang, China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5</w:t>
      </w:r>
      <w:r>
        <w:rPr>
          <w:rFonts w:ascii="Times New Roman" w:hAnsi="Times New Roman"/>
          <w:i w:val="0"/>
          <w:iCs w:val="0"/>
          <w:sz w:val="24"/>
          <w:szCs w:val="24"/>
        </w:rPr>
        <w:t>School of Cyber Science and Engineering, Sichuan University, Chengdu, China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6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 xml:space="preserve">Basic Medical College, Southwest Medical University, Luzhou 646000, China, </w:t>
      </w:r>
      <w:r>
        <w:rPr>
          <w:rFonts w:hint="eastAsia" w:ascii="Times New Roman" w:hAnsi="Times New Roman"/>
          <w:i w:val="0"/>
          <w:iCs w:val="0"/>
          <w:sz w:val="24"/>
          <w:szCs w:val="24"/>
          <w:vertAlign w:val="superscript"/>
          <w:lang w:val="en-US" w:eastAsia="zh-CN"/>
        </w:rPr>
        <w:t>7</w:t>
      </w:r>
      <w:r>
        <w:rPr>
          <w:rFonts w:hint="eastAsia" w:ascii="Times New Roman" w:hAnsi="Times New Roman"/>
          <w:i w:val="0"/>
          <w:iCs w:val="0"/>
          <w:sz w:val="24"/>
          <w:szCs w:val="24"/>
          <w:lang w:val="en-US" w:eastAsia="zh-CN"/>
        </w:rPr>
        <w:t>Sichuan Key Medical Laboratory of New Drug Discovery and Druggability Evaluation, Luzhou Key Laboratory of Activity Screening and Druggability Evaluation for Chinese Materia Medica, Southwest Medical University, Luzhou 646000, China</w:t>
      </w:r>
    </w:p>
    <w:p>
      <w:pPr>
        <w:suppressLineNumbers/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</w:p>
    <w:p>
      <w:pPr>
        <w:suppressLineNumbers/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*C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orrspondence: </w:t>
      </w:r>
    </w:p>
    <w:p>
      <w:pPr>
        <w:suppressLineNumbers/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Runyu Jing</w:t>
      </w:r>
    </w:p>
    <w:p>
      <w:pPr>
        <w:suppressLineNumbers/>
        <w:spacing w:line="360" w:lineRule="auto"/>
        <w:rPr>
          <w:rFonts w:hint="default"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u w:val="none"/>
        </w:rPr>
        <w:t>jingryedu@gmail.com</w:t>
      </w:r>
    </w:p>
    <w:p>
      <w:pPr>
        <w:suppressLineNumbers/>
        <w:spacing w:line="360" w:lineRule="auto"/>
        <w:rPr>
          <w:rFonts w:hint="default" w:ascii="Times New Roman" w:hAnsi="Times New Roman" w:cs="Times New Roman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u w:val="none"/>
          <w:lang w:val="en-US" w:eastAsia="zh-CN"/>
        </w:rPr>
        <w:t>Jiesi Luo</w:t>
      </w:r>
    </w:p>
    <w:p>
      <w:pPr>
        <w:suppressLineNumbers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de-DE"/>
        </w:rPr>
        <w:t>ljs@swmu.edu.cn</w:t>
      </w:r>
    </w:p>
    <w:p>
      <w:pPr>
        <w:suppressLineNumbers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hint="default" w:ascii="Times New Roman" w:hAnsi="Times New Roman" w:cs="Times New Roman"/>
          <w:sz w:val="24"/>
          <w:szCs w:val="24"/>
        </w:rPr>
        <w:t xml:space="preserve">These authors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have contributed equally to this work and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share first authorship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rPr>
          <w:rFonts w:ascii="Times New Roman" w:hAnsi="Times New Roman" w:cs="Times New Roman"/>
          <w:sz w:val="24"/>
        </w:rPr>
      </w:pPr>
    </w:p>
    <w:p>
      <w:pPr>
        <w:spacing w:line="360" w:lineRule="auto"/>
        <w:jc w:val="left"/>
        <w:rPr>
          <w:rFonts w:ascii="Times New Roman" w:hAnsi="Times New Roman" w:cs="Times New Roman"/>
          <w:b w:val="0"/>
          <w:bCs w:val="0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</w:rPr>
        <w:t>Base datasets used for building our m</w:t>
      </w:r>
      <w:r>
        <w:rPr>
          <w:rFonts w:hint="eastAsia" w:ascii="Times New Roman" w:hAnsi="Times New Roman" w:cs="Times New Roman"/>
          <w:b w:val="0"/>
          <w:bCs w:val="0"/>
          <w:sz w:val="24"/>
          <w:vertAlign w:val="superscript"/>
        </w:rPr>
        <w:t>5</w:t>
      </w:r>
      <w:r>
        <w:rPr>
          <w:rFonts w:hint="eastAsia" w:ascii="Times New Roman" w:hAnsi="Times New Roman" w:cs="Times New Roman"/>
          <w:b w:val="0"/>
          <w:bCs w:val="0"/>
          <w:sz w:val="24"/>
        </w:rPr>
        <w:t>U site predictor</w:t>
      </w:r>
    </w:p>
    <w:tbl>
      <w:tblPr>
        <w:tblStyle w:val="3"/>
        <w:tblW w:w="85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1772"/>
        <w:gridCol w:w="1754"/>
        <w:gridCol w:w="1763"/>
        <w:gridCol w:w="1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5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1772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</w:t>
            </w:r>
          </w:p>
        </w:tc>
        <w:tc>
          <w:tcPr>
            <w:tcW w:w="1754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 samples</w:t>
            </w:r>
          </w:p>
        </w:tc>
        <w:tc>
          <w:tcPr>
            <w:tcW w:w="1763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Negative samples</w:t>
            </w:r>
          </w:p>
        </w:tc>
        <w:tc>
          <w:tcPr>
            <w:tcW w:w="1537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5" w:type="dxa"/>
            <w:vMerge w:val="restart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Training dataset</w:t>
            </w:r>
          </w:p>
        </w:tc>
        <w:tc>
          <w:tcPr>
            <w:tcW w:w="1772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Full transcript</w:t>
            </w:r>
          </w:p>
        </w:tc>
        <w:tc>
          <w:tcPr>
            <w:tcW w:w="1754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2956</w:t>
            </w:r>
          </w:p>
        </w:tc>
        <w:tc>
          <w:tcPr>
            <w:tcW w:w="1763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2956</w:t>
            </w:r>
          </w:p>
        </w:tc>
        <w:tc>
          <w:tcPr>
            <w:tcW w:w="1537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Full_train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Mature mRNA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985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Mature_train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Full transcript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Full_test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5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Mature mRNA</w:t>
            </w:r>
          </w:p>
        </w:tc>
        <w:tc>
          <w:tcPr>
            <w:tcW w:w="1754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763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537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bookmarkStart w:id="1" w:name="OLE_LINK1"/>
            <w:r>
              <w:rPr>
                <w:rFonts w:ascii="Times New Roman" w:hAnsi="Times New Roman" w:cs="Times New Roman"/>
                <w:i/>
                <w:iCs/>
              </w:rPr>
              <w:t>Mature_test</w:t>
            </w:r>
            <w:bookmarkEnd w:id="1"/>
          </w:p>
        </w:tc>
      </w:tr>
    </w:tbl>
    <w:p/>
    <w:p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</w:rPr>
        <w:t>Validation datasets used for evaluating the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</w:rPr>
        <w:t>performance of Deepm5U</w:t>
      </w:r>
    </w:p>
    <w:tbl>
      <w:tblPr>
        <w:tblStyle w:val="3"/>
        <w:tblW w:w="1097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283"/>
        <w:gridCol w:w="1366"/>
        <w:gridCol w:w="2271"/>
        <w:gridCol w:w="1652"/>
        <w:gridCol w:w="1708"/>
        <w:gridCol w:w="16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</w:t>
            </w:r>
          </w:p>
        </w:tc>
        <w:tc>
          <w:tcPr>
            <w:tcW w:w="1283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Cross</w:t>
            </w:r>
            <w:r>
              <w:rPr>
                <w:rFonts w:hint="eastAsia" w:ascii="Times New Roman" w:hAnsi="Times New Roman" w:cs="Times New Roman"/>
              </w:rPr>
              <w:t xml:space="preserve"> t</w:t>
            </w:r>
            <w:r>
              <w:rPr>
                <w:rFonts w:ascii="Times New Roman" w:hAnsi="Times New Roman" w:cs="Times New Roman"/>
              </w:rPr>
              <w:t>ype</w:t>
            </w:r>
          </w:p>
        </w:tc>
        <w:tc>
          <w:tcPr>
            <w:tcW w:w="1366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Specific type</w:t>
            </w:r>
          </w:p>
        </w:tc>
        <w:tc>
          <w:tcPr>
            <w:tcW w:w="2271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Testing Method</w:t>
            </w:r>
          </w:p>
        </w:tc>
        <w:tc>
          <w:tcPr>
            <w:tcW w:w="1652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 samples</w:t>
            </w:r>
          </w:p>
        </w:tc>
        <w:tc>
          <w:tcPr>
            <w:tcW w:w="1708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Negative samples</w:t>
            </w:r>
          </w:p>
        </w:tc>
        <w:tc>
          <w:tcPr>
            <w:tcW w:w="1633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restart"/>
            <w:tcBorders>
              <w:top w:val="single" w:color="000000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Full transcript</w:t>
            </w:r>
          </w:p>
        </w:tc>
        <w:tc>
          <w:tcPr>
            <w:tcW w:w="1283" w:type="dxa"/>
            <w:vMerge w:val="restart"/>
            <w:tcBorders>
              <w:top w:val="single" w:color="000000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Cell line</w:t>
            </w:r>
          </w:p>
        </w:tc>
        <w:tc>
          <w:tcPr>
            <w:tcW w:w="1366" w:type="dxa"/>
            <w:vMerge w:val="restart"/>
            <w:tcBorders>
              <w:top w:val="single" w:color="000000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HAP1</w:t>
            </w:r>
          </w:p>
        </w:tc>
        <w:tc>
          <w:tcPr>
            <w:tcW w:w="2271" w:type="dxa"/>
            <w:tcBorders>
              <w:top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  <w:tcBorders>
              <w:top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1229</w:t>
            </w:r>
          </w:p>
        </w:tc>
        <w:tc>
          <w:tcPr>
            <w:tcW w:w="1708" w:type="dxa"/>
            <w:tcBorders>
              <w:top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1229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  <w:tcBorders>
              <w:top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HAP_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2467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2467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HEK_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HEK293</w:t>
            </w: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2467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2467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HEK_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1229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1229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HAP_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Technique</w:t>
            </w:r>
          </w:p>
        </w:tc>
        <w:tc>
          <w:tcPr>
            <w:tcW w:w="1366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FICC-Seq</w:t>
            </w: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1471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1471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FICC_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2225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2225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hint="eastAsia" w:ascii="Times New Roman" w:hAnsi="Times New Roman" w:cs="Times New Roman"/>
                <w:i/>
                <w:iCs/>
                <w:szCs w:val="21"/>
              </w:rPr>
              <w:t>miCLIP</w:t>
            </w:r>
            <w:r>
              <w:rPr>
                <w:rFonts w:ascii="Times New Roman" w:hAnsi="Times New Roman" w:cs="Times New Roman"/>
                <w:i/>
                <w:iCs/>
              </w:rPr>
              <w:t>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6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miCLIP-Seq</w:t>
            </w: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2225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2225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hint="eastAsia" w:ascii="Times New Roman" w:hAnsi="Times New Roman" w:cs="Times New Roman"/>
                <w:i/>
                <w:iCs/>
                <w:szCs w:val="21"/>
              </w:rPr>
              <w:t>miCLIP</w:t>
            </w:r>
            <w:r>
              <w:rPr>
                <w:rFonts w:ascii="Times New Roman" w:hAnsi="Times New Roman" w:cs="Times New Roman"/>
                <w:i/>
                <w:iCs/>
              </w:rPr>
              <w:t>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tcBorders>
              <w:bottom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vMerge w:val="continue"/>
            <w:tcBorders>
              <w:bottom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1471</w:t>
            </w:r>
          </w:p>
        </w:tc>
        <w:tc>
          <w:tcPr>
            <w:tcW w:w="1708" w:type="dxa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1471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FICC_</w:t>
            </w:r>
            <w:r>
              <w:rPr>
                <w:rFonts w:hint="eastAsia" w:ascii="Times New Roman" w:hAnsi="Times New Roman" w:cs="Times New Roman"/>
                <w:i/>
                <w:iCs/>
              </w:rPr>
              <w:t>full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Mature mRNA</w:t>
            </w:r>
          </w:p>
        </w:tc>
        <w:tc>
          <w:tcPr>
            <w:tcW w:w="1283" w:type="dxa"/>
            <w:vMerge w:val="restart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Cell line</w:t>
            </w:r>
          </w:p>
        </w:tc>
        <w:tc>
          <w:tcPr>
            <w:tcW w:w="1366" w:type="dxa"/>
            <w:vMerge w:val="restart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HAP1</w:t>
            </w:r>
          </w:p>
        </w:tc>
        <w:tc>
          <w:tcPr>
            <w:tcW w:w="2271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1708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HAP_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HEK_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HEK293</w:t>
            </w: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HEK_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HAP_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Technique</w:t>
            </w:r>
          </w:p>
        </w:tc>
        <w:tc>
          <w:tcPr>
            <w:tcW w:w="1366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FICC-Seq</w:t>
            </w: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FICC_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6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823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823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hint="eastAsia" w:ascii="Times New Roman" w:hAnsi="Times New Roman" w:cs="Times New Roman"/>
                <w:i/>
                <w:iCs/>
                <w:szCs w:val="21"/>
              </w:rPr>
              <w:t>miCLIP</w:t>
            </w:r>
            <w:r>
              <w:rPr>
                <w:rFonts w:ascii="Times New Roman" w:hAnsi="Times New Roman" w:cs="Times New Roman"/>
                <w:i/>
                <w:iCs/>
              </w:rPr>
              <w:t>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6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miCLIP-Seq</w:t>
            </w:r>
          </w:p>
        </w:tc>
        <w:tc>
          <w:tcPr>
            <w:tcW w:w="2271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Cross validation</w:t>
            </w:r>
          </w:p>
        </w:tc>
        <w:tc>
          <w:tcPr>
            <w:tcW w:w="1652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823</w:t>
            </w:r>
          </w:p>
        </w:tc>
        <w:tc>
          <w:tcPr>
            <w:tcW w:w="170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823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</w:tcPr>
          <w:p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hint="eastAsia" w:ascii="Times New Roman" w:hAnsi="Times New Roman" w:cs="Times New Roman"/>
                <w:i/>
                <w:iCs/>
                <w:szCs w:val="21"/>
              </w:rPr>
              <w:t>miCLIP</w:t>
            </w:r>
            <w:r>
              <w:rPr>
                <w:rFonts w:ascii="Times New Roman" w:hAnsi="Times New Roman" w:cs="Times New Roman"/>
                <w:i/>
                <w:iCs/>
              </w:rPr>
              <w:t>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7" w:type="dxa"/>
            <w:vMerge w:val="continue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vMerge w:val="continue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vMerge w:val="continue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Independent test set</w:t>
            </w:r>
          </w:p>
        </w:tc>
        <w:tc>
          <w:tcPr>
            <w:tcW w:w="1652" w:type="dxa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1708" w:type="dxa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</w:t>
            </w:r>
            <w:r>
              <w:rPr>
                <w:rFonts w:hint="eastAsia" w:ascii="Times New Roman" w:hAnsi="Times New Roman" w:cs="Times New Roman"/>
              </w:rPr>
              <w:t>0</w:t>
            </w:r>
          </w:p>
        </w:tc>
        <w:tc>
          <w:tcPr>
            <w:tcW w:w="1633" w:type="dxa"/>
            <w:tcBorders>
              <w:bottom w:val="single" w:color="000000" w:sz="12" w:space="0"/>
            </w:tcBorders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FICC_</w:t>
            </w:r>
            <w:r>
              <w:rPr>
                <w:rFonts w:hint="eastAsia" w:ascii="Times New Roman" w:hAnsi="Times New Roman" w:cs="Times New Roman"/>
                <w:i/>
                <w:iCs/>
              </w:rPr>
              <w:t>m</w:t>
            </w:r>
            <w:r>
              <w:rPr>
                <w:rFonts w:ascii="Times New Roman" w:hAnsi="Times New Roman" w:cs="Times New Roman"/>
                <w:i/>
                <w:iCs/>
              </w:rPr>
              <w:t>ature</w:t>
            </w:r>
          </w:p>
        </w:tc>
      </w:tr>
    </w:tbl>
    <w:p/>
    <w:p>
      <w:r>
        <w:br w:type="page"/>
      </w: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Hyperparameter optimization </w:t>
      </w:r>
      <w:r>
        <w:rPr>
          <w:rFonts w:hint="eastAsia" w:ascii="Times New Roman" w:hAnsi="Times New Roman" w:cs="Times New Roman"/>
          <w:b w:val="0"/>
          <w:bCs w:val="0"/>
          <w:sz w:val="24"/>
        </w:rPr>
        <w:t xml:space="preserve">of the CNN and CNN+BiLSTM models on </w:t>
      </w:r>
      <w:bookmarkStart w:id="2" w:name="OLE_LINK5"/>
      <w:r>
        <w:rPr>
          <w:rFonts w:ascii="Times New Roman" w:hAnsi="Times New Roman" w:cs="Times New Roman"/>
          <w:b w:val="0"/>
          <w:bCs w:val="0"/>
          <w:sz w:val="24"/>
        </w:rPr>
        <w:t xml:space="preserve">the </w:t>
      </w:r>
      <w:bookmarkEnd w:id="2"/>
      <w:r>
        <w:rPr>
          <w:rFonts w:hint="eastAsia" w:ascii="Times New Roman" w:hAnsi="Times New Roman" w:cs="Times New Roman"/>
          <w:b w:val="0"/>
          <w:bCs w:val="0"/>
          <w:i/>
          <w:iCs/>
          <w:sz w:val="24"/>
        </w:rPr>
        <w:t>Full_train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 dataset</w:t>
      </w:r>
    </w:p>
    <w:tbl>
      <w:tblPr>
        <w:tblStyle w:val="3"/>
        <w:tblW w:w="4997" w:type="pct"/>
        <w:tblInd w:w="0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1488"/>
        <w:gridCol w:w="1190"/>
        <w:gridCol w:w="1310"/>
        <w:gridCol w:w="1167"/>
        <w:gridCol w:w="1203"/>
        <w:gridCol w:w="865"/>
      </w:tblGrid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Value</w:t>
            </w:r>
          </w:p>
        </w:tc>
        <w:tc>
          <w:tcPr>
            <w:tcW w:w="873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Architecture</w:t>
            </w:r>
          </w:p>
        </w:tc>
        <w:tc>
          <w:tcPr>
            <w:tcW w:w="699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ACC (%)</w:t>
            </w:r>
          </w:p>
        </w:tc>
        <w:tc>
          <w:tcPr>
            <w:tcW w:w="769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-value (%)</w:t>
            </w:r>
          </w:p>
        </w:tc>
        <w:tc>
          <w:tcPr>
            <w:tcW w:w="685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Recall (%)</w:t>
            </w:r>
          </w:p>
        </w:tc>
        <w:tc>
          <w:tcPr>
            <w:tcW w:w="706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PRE (%)</w:t>
            </w:r>
          </w:p>
        </w:tc>
        <w:tc>
          <w:tcPr>
            <w:tcW w:w="506" w:type="pct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MCC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7"/>
            <w:tcBorders>
              <w:top w:val="single" w:color="000000" w:themeColor="text1" w:sz="12" w:space="0"/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Filter number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873" w:type="pct"/>
            <w:vMerge w:val="restar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</w:t>
            </w:r>
          </w:p>
        </w:tc>
        <w:tc>
          <w:tcPr>
            <w:tcW w:w="69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88.77</w:t>
            </w:r>
          </w:p>
        </w:tc>
        <w:tc>
          <w:tcPr>
            <w:tcW w:w="76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88.73</w:t>
            </w:r>
          </w:p>
        </w:tc>
        <w:tc>
          <w:tcPr>
            <w:tcW w:w="685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88.59</w:t>
            </w:r>
          </w:p>
        </w:tc>
        <w:tc>
          <w:tcPr>
            <w:tcW w:w="7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88.97</w:t>
            </w:r>
          </w:p>
        </w:tc>
        <w:tc>
          <w:tcPr>
            <w:tcW w:w="5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0.7764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150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88.49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88.37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87.75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89.13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0.7709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250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89.10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89.21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88.91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89.31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0.7831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873" w:type="pct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CNN-BiLSTM</w:t>
            </w: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87.88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88.21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87.52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88.97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0.7580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150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88.06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88.09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88.03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88.42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0.7630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250</w:t>
            </w:r>
          </w:p>
        </w:tc>
        <w:tc>
          <w:tcPr>
            <w:tcW w:w="1488" w:type="dxa"/>
            <w:vMerge w:val="restart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CNN-BiGRU</w:t>
            </w:r>
          </w:p>
        </w:tc>
        <w:tc>
          <w:tcPr>
            <w:tcW w:w="1190" w:type="dxa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88.84</w:t>
            </w:r>
          </w:p>
        </w:tc>
        <w:tc>
          <w:tcPr>
            <w:tcW w:w="1310" w:type="dxa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88.75</w:t>
            </w:r>
          </w:p>
        </w:tc>
        <w:tc>
          <w:tcPr>
            <w:tcW w:w="1167" w:type="dxa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88.41</w:t>
            </w:r>
          </w:p>
        </w:tc>
        <w:tc>
          <w:tcPr>
            <w:tcW w:w="1203" w:type="dxa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89.20</w:t>
            </w:r>
          </w:p>
        </w:tc>
        <w:tc>
          <w:tcPr>
            <w:tcW w:w="865" w:type="dxa"/>
            <w:tcBorders>
              <w:bottom w:val="single" w:color="FFFFFF" w:themeColor="background1" w:sz="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0.7777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873" w:type="pct"/>
            <w:vMerge w:val="continue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88.42</w:t>
            </w:r>
          </w:p>
        </w:tc>
        <w:tc>
          <w:tcPr>
            <w:tcW w:w="769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88.52</w:t>
            </w:r>
          </w:p>
        </w:tc>
        <w:tc>
          <w:tcPr>
            <w:tcW w:w="685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89.93</w:t>
            </w:r>
          </w:p>
        </w:tc>
        <w:tc>
          <w:tcPr>
            <w:tcW w:w="706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87.22</w:t>
            </w:r>
          </w:p>
        </w:tc>
        <w:tc>
          <w:tcPr>
            <w:tcW w:w="506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0.7695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150</w:t>
            </w:r>
          </w:p>
        </w:tc>
        <w:tc>
          <w:tcPr>
            <w:tcW w:w="873" w:type="pct"/>
            <w:vMerge w:val="continue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88.86</w:t>
            </w:r>
          </w:p>
        </w:tc>
        <w:tc>
          <w:tcPr>
            <w:tcW w:w="769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89.03</w:t>
            </w:r>
          </w:p>
        </w:tc>
        <w:tc>
          <w:tcPr>
            <w:tcW w:w="685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89.36</w:t>
            </w:r>
          </w:p>
        </w:tc>
        <w:tc>
          <w:tcPr>
            <w:tcW w:w="706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88.75</w:t>
            </w:r>
          </w:p>
        </w:tc>
        <w:tc>
          <w:tcPr>
            <w:tcW w:w="506" w:type="pct"/>
            <w:tcBorders>
              <w:top w:val="single" w:color="FFFFFF" w:themeColor="background1" w:sz="2" w:space="0"/>
              <w:bottom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0.7776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250</w:t>
            </w:r>
          </w:p>
        </w:tc>
        <w:tc>
          <w:tcPr>
            <w:tcW w:w="873" w:type="pct"/>
            <w:vMerge w:val="continue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88.98</w:t>
            </w:r>
          </w:p>
        </w:tc>
        <w:tc>
          <w:tcPr>
            <w:tcW w:w="769" w:type="pct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88.90</w:t>
            </w:r>
          </w:p>
        </w:tc>
        <w:tc>
          <w:tcPr>
            <w:tcW w:w="685" w:type="pct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88.48</w:t>
            </w:r>
          </w:p>
        </w:tc>
        <w:tc>
          <w:tcPr>
            <w:tcW w:w="706" w:type="pct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89.47</w:t>
            </w:r>
          </w:p>
        </w:tc>
        <w:tc>
          <w:tcPr>
            <w:tcW w:w="506" w:type="pct"/>
            <w:tcBorders>
              <w:top w:val="single" w:color="FFFFFF" w:themeColor="background1" w:sz="2" w:space="0"/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0.7807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Kernel size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73" w:type="pct"/>
            <w:vMerge w:val="restar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</w:t>
            </w:r>
          </w:p>
        </w:tc>
        <w:tc>
          <w:tcPr>
            <w:tcW w:w="69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89.10</w:t>
            </w:r>
          </w:p>
        </w:tc>
        <w:tc>
          <w:tcPr>
            <w:tcW w:w="76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89.21</w:t>
            </w:r>
          </w:p>
        </w:tc>
        <w:tc>
          <w:tcPr>
            <w:tcW w:w="685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88.91</w:t>
            </w:r>
          </w:p>
        </w:tc>
        <w:tc>
          <w:tcPr>
            <w:tcW w:w="7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89.31</w:t>
            </w:r>
          </w:p>
        </w:tc>
        <w:tc>
          <w:tcPr>
            <w:tcW w:w="5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0.7831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88.18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87.96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88.19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87.79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0.7638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88.62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88.74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88.43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89.07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0.7723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88.96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89.05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88.36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89.77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0.7795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11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89.21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89.31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88.96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89.68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0.7843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73" w:type="pct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CNN-BiLSTM</w:t>
            </w: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88.84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88.75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88.41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89.20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0.7777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88.94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88.91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89.96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88.03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0.7804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7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90.13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90.10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91.46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89.01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0.8050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89.04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88.85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87.45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90.95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0.7864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1488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CNN-BiGRU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89.89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88.85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87.45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90.95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0.7864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88.98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88.90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88.48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89.47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0.7807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89.74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89.56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88.49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90.74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0.7957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7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90.28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90.32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90.92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89.76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0.8059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90.89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91.06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90.86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91.29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0.8181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11</w:t>
            </w:r>
          </w:p>
        </w:tc>
        <w:tc>
          <w:tcPr>
            <w:tcW w:w="873" w:type="pct"/>
            <w:vMerge w:val="continue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90.94</w:t>
            </w:r>
          </w:p>
        </w:tc>
        <w:tc>
          <w:tcPr>
            <w:tcW w:w="769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90.98</w:t>
            </w:r>
          </w:p>
        </w:tc>
        <w:tc>
          <w:tcPr>
            <w:tcW w:w="685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90.59</w:t>
            </w:r>
          </w:p>
        </w:tc>
        <w:tc>
          <w:tcPr>
            <w:tcW w:w="706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91.44</w:t>
            </w:r>
          </w:p>
        </w:tc>
        <w:tc>
          <w:tcPr>
            <w:tcW w:w="506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0.8193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Pooling size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73" w:type="pct"/>
            <w:vMerge w:val="restar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</w:t>
            </w:r>
          </w:p>
        </w:tc>
        <w:tc>
          <w:tcPr>
            <w:tcW w:w="69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89.21</w:t>
            </w:r>
          </w:p>
        </w:tc>
        <w:tc>
          <w:tcPr>
            <w:tcW w:w="76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89.31</w:t>
            </w:r>
          </w:p>
        </w:tc>
        <w:tc>
          <w:tcPr>
            <w:tcW w:w="685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88.96</w:t>
            </w:r>
          </w:p>
        </w:tc>
        <w:tc>
          <w:tcPr>
            <w:tcW w:w="7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89.68</w:t>
            </w:r>
          </w:p>
        </w:tc>
        <w:tc>
          <w:tcPr>
            <w:tcW w:w="5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0.7843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89.23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89.22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88.75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89.72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0.7848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90.35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90.29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90.46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90.18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0.8073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89.70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89.64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88.68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90.64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0.7945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10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91.07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91.10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90.61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92.03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0.8216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73" w:type="pct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CNN-BiLSTM</w:t>
            </w: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90.13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90.10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91.46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89.01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0.8050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4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90.45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90.29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89.36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91.29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0.8095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89.40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89.48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90.51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88.55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0.7889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89.28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89.67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92.21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87.47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0.7887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1488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CNN-BiGRU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89.08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89.42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90.81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88.14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0.7825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90.94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90.98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90.59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91.44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0.8193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90.96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91.04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91.32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90.78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0.8190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6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90.96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91.08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92.24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90.00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0.8199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89.25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89.09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87.88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90.33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0.7853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10</w:t>
            </w:r>
          </w:p>
        </w:tc>
        <w:tc>
          <w:tcPr>
            <w:tcW w:w="873" w:type="pct"/>
            <w:vMerge w:val="continue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91.21</w:t>
            </w:r>
          </w:p>
        </w:tc>
        <w:tc>
          <w:tcPr>
            <w:tcW w:w="769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91.23</w:t>
            </w:r>
          </w:p>
        </w:tc>
        <w:tc>
          <w:tcPr>
            <w:tcW w:w="685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90.35</w:t>
            </w:r>
          </w:p>
        </w:tc>
        <w:tc>
          <w:tcPr>
            <w:tcW w:w="706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92.16</w:t>
            </w:r>
          </w:p>
        </w:tc>
        <w:tc>
          <w:tcPr>
            <w:tcW w:w="506" w:type="pct"/>
            <w:tcBorders>
              <w:bottom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0.8245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onvolution layer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Cs w:val="21"/>
              </w:rPr>
              <w:t>number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73" w:type="pct"/>
            <w:vMerge w:val="restar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</w:t>
            </w:r>
          </w:p>
        </w:tc>
        <w:tc>
          <w:tcPr>
            <w:tcW w:w="69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91.07</w:t>
            </w:r>
          </w:p>
        </w:tc>
        <w:tc>
          <w:tcPr>
            <w:tcW w:w="769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91.10</w:t>
            </w:r>
          </w:p>
        </w:tc>
        <w:tc>
          <w:tcPr>
            <w:tcW w:w="685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90.61</w:t>
            </w:r>
          </w:p>
        </w:tc>
        <w:tc>
          <w:tcPr>
            <w:tcW w:w="7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92.03</w:t>
            </w:r>
          </w:p>
        </w:tc>
        <w:tc>
          <w:tcPr>
            <w:tcW w:w="506" w:type="pct"/>
            <w:tcBorders>
              <w:top w:val="single" w:color="000000" w:themeColor="text1" w:sz="12" w:space="0"/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0.8216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91.56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91.50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90.04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93.04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0.8319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89.15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88.77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86.84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90.98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0.7851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73" w:type="pct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CNN-BiLSTM</w:t>
            </w: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90.45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90.29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89.36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91.29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0.8095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92.32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92.29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91.93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92.65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0.8465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488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CNN-BiGRU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90.87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91.00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91.74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90.29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0.8176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91.85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91.94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92.46</w:t>
            </w:r>
          </w:p>
        </w:tc>
        <w:tc>
          <w:tcPr>
            <w:tcW w:w="120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91.44</w:t>
            </w:r>
          </w:p>
        </w:tc>
        <w:tc>
          <w:tcPr>
            <w:tcW w:w="8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0.8370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</w:p>
        </w:tc>
        <w:tc>
          <w:tcPr>
            <w:tcW w:w="873" w:type="pct"/>
            <w:vMerge w:val="continue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90.87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90.67</w:t>
            </w:r>
          </w:p>
        </w:tc>
        <w:tc>
          <w:tcPr>
            <w:tcW w:w="685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90.70</w:t>
            </w:r>
          </w:p>
        </w:tc>
        <w:tc>
          <w:tcPr>
            <w:tcW w:w="7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90.64</w:t>
            </w:r>
          </w:p>
        </w:tc>
        <w:tc>
          <w:tcPr>
            <w:tcW w:w="506" w:type="pct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0.8173</w:t>
            </w:r>
          </w:p>
        </w:tc>
      </w:tr>
      <w:tr>
        <w:tblPrEx>
          <w:tblBorders>
            <w:top w:val="single" w:color="FFFFFF" w:themeColor="background1" w:sz="2" w:space="0"/>
            <w:left w:val="single" w:color="FFFFFF" w:themeColor="background1" w:sz="2" w:space="0"/>
            <w:bottom w:val="single" w:color="FFFFFF" w:themeColor="background1" w:sz="2" w:space="0"/>
            <w:right w:val="single" w:color="FFFFFF" w:themeColor="background1" w:sz="2" w:space="0"/>
            <w:insideH w:val="single" w:color="FFFFFF" w:themeColor="background1" w:sz="2" w:space="0"/>
            <w:insideV w:val="single" w:color="FFFFFF" w:themeColor="background1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</w:p>
        </w:tc>
        <w:tc>
          <w:tcPr>
            <w:tcW w:w="873" w:type="pct"/>
            <w:vMerge w:val="continue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9" w:type="pct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89.97</w:t>
            </w:r>
          </w:p>
        </w:tc>
        <w:tc>
          <w:tcPr>
            <w:tcW w:w="769" w:type="pct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89.45</w:t>
            </w:r>
          </w:p>
        </w:tc>
        <w:tc>
          <w:tcPr>
            <w:tcW w:w="685" w:type="pct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87.57</w:t>
            </w:r>
          </w:p>
        </w:tc>
        <w:tc>
          <w:tcPr>
            <w:tcW w:w="706" w:type="pct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91.48</w:t>
            </w:r>
          </w:p>
        </w:tc>
        <w:tc>
          <w:tcPr>
            <w:tcW w:w="506" w:type="pct"/>
            <w:tcBorders>
              <w:bottom w:val="single" w:color="000000" w:themeColor="text1" w:sz="12" w:space="0"/>
            </w:tcBorders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0.8002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  <w:b/>
          <w:bCs/>
          <w:sz w:val="24"/>
        </w:rPr>
      </w:pPr>
      <w:bookmarkStart w:id="3" w:name="OLE_LINK4"/>
      <w:r>
        <w:rPr>
          <w:rFonts w:hint="eastAsia" w:ascii="Times New Roman" w:hAnsi="Times New Roman" w:cs="Times New Roman"/>
          <w:b/>
          <w:bCs/>
          <w:sz w:val="24"/>
        </w:rPr>
        <w:t>Supplementary Table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Hyperparameter optimization </w:t>
      </w:r>
      <w:r>
        <w:rPr>
          <w:rFonts w:hint="eastAsia" w:ascii="Times New Roman" w:hAnsi="Times New Roman" w:cs="Times New Roman"/>
          <w:b w:val="0"/>
          <w:bCs w:val="0"/>
          <w:sz w:val="24"/>
        </w:rPr>
        <w:t xml:space="preserve">of the BiLSTM and CNN+BiLSTM </w:t>
      </w:r>
      <w:bookmarkEnd w:id="3"/>
      <w:r>
        <w:rPr>
          <w:rFonts w:hint="eastAsia" w:ascii="Times New Roman" w:hAnsi="Times New Roman" w:cs="Times New Roman"/>
          <w:b w:val="0"/>
          <w:bCs w:val="0"/>
          <w:sz w:val="24"/>
        </w:rPr>
        <w:t xml:space="preserve">models on 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the </w:t>
      </w:r>
      <w:r>
        <w:rPr>
          <w:rFonts w:hint="eastAsia" w:ascii="Times New Roman" w:hAnsi="Times New Roman" w:cs="Times New Roman"/>
          <w:b w:val="0"/>
          <w:bCs w:val="0"/>
          <w:i/>
          <w:sz w:val="24"/>
        </w:rPr>
        <w:t>Full_train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 dataset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1537"/>
        <w:gridCol w:w="1088"/>
        <w:gridCol w:w="1245"/>
        <w:gridCol w:w="1167"/>
        <w:gridCol w:w="1155"/>
        <w:gridCol w:w="116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Value</w:t>
            </w:r>
          </w:p>
        </w:tc>
        <w:tc>
          <w:tcPr>
            <w:tcW w:w="1537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Architecture</w:t>
            </w:r>
          </w:p>
        </w:tc>
        <w:tc>
          <w:tcPr>
            <w:tcW w:w="1088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ACC (%)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-value (%)</w:t>
            </w:r>
          </w:p>
        </w:tc>
        <w:tc>
          <w:tcPr>
            <w:tcW w:w="1167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Recall (%)</w:t>
            </w:r>
          </w:p>
        </w:tc>
        <w:tc>
          <w:tcPr>
            <w:tcW w:w="115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PRE (%)</w:t>
            </w:r>
          </w:p>
        </w:tc>
        <w:tc>
          <w:tcPr>
            <w:tcW w:w="1161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MCC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LSTM size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32</w:t>
            </w:r>
          </w:p>
        </w:tc>
        <w:tc>
          <w:tcPr>
            <w:tcW w:w="1537" w:type="dxa"/>
            <w:vMerge w:val="restart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BiLSTM</w:t>
            </w:r>
          </w:p>
        </w:tc>
        <w:tc>
          <w:tcPr>
            <w:tcW w:w="1088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78.58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82.34</w:t>
            </w:r>
          </w:p>
        </w:tc>
        <w:tc>
          <w:tcPr>
            <w:tcW w:w="1167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84.38</w:t>
            </w:r>
          </w:p>
        </w:tc>
        <w:tc>
          <w:tcPr>
            <w:tcW w:w="115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80.48</w:t>
            </w:r>
          </w:p>
        </w:tc>
        <w:tc>
          <w:tcPr>
            <w:tcW w:w="1161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0.6412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64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83.42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83.67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86.89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80.77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0.6714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128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84.92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84.56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81.31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88.30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0.7019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256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88.08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87.95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87.75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88.20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0.7620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32</w:t>
            </w:r>
          </w:p>
        </w:tc>
        <w:tc>
          <w:tcPr>
            <w:tcW w:w="1537" w:type="dxa"/>
            <w:vMerge w:val="restart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CNN+BiLSTM</w:t>
            </w: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89.28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89.67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92.21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87.47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0.7887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64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90.45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90.29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89.36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91.29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0.8095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128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89.74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89.47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89.23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89.90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0.7958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256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90.48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90.60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89.61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91.73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0.8108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BiLSTM</w:t>
            </w:r>
            <w:r>
              <w:rPr>
                <w:rFonts w:ascii="Times New Roman" w:hAnsi="Times New Roman" w:cs="Times New Roman"/>
                <w:szCs w:val="21"/>
              </w:rPr>
              <w:t xml:space="preserve"> layer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Cs w:val="21"/>
              </w:rPr>
              <w:t>number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</w:p>
        </w:tc>
        <w:tc>
          <w:tcPr>
            <w:tcW w:w="1537" w:type="dxa"/>
            <w:vMerge w:val="restart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BiLSTM</w:t>
            </w:r>
          </w:p>
        </w:tc>
        <w:tc>
          <w:tcPr>
            <w:tcW w:w="1088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88.08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87.95</w:t>
            </w:r>
          </w:p>
        </w:tc>
        <w:tc>
          <w:tcPr>
            <w:tcW w:w="1167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87.75</w:t>
            </w:r>
          </w:p>
        </w:tc>
        <w:tc>
          <w:tcPr>
            <w:tcW w:w="115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88.20</w:t>
            </w:r>
          </w:p>
        </w:tc>
        <w:tc>
          <w:tcPr>
            <w:tcW w:w="1161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0.7620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88.59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88.55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87.58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89.65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0.7730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88.17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88.05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87.80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88.33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0.7634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</w:t>
            </w:r>
          </w:p>
        </w:tc>
        <w:tc>
          <w:tcPr>
            <w:tcW w:w="1537" w:type="dxa"/>
            <w:vMerge w:val="restart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CNN+BiLSTM</w:t>
            </w: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90.45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90.29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89.36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91.29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0.8095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92.32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92.29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91.93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92.65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0.8465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90.87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91.00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91.74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90.29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0.8176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Hyperparameter optimization </w:t>
      </w:r>
      <w:r>
        <w:rPr>
          <w:rFonts w:hint="eastAsia" w:ascii="Times New Roman" w:hAnsi="Times New Roman" w:cs="Times New Roman"/>
          <w:b w:val="0"/>
          <w:bCs w:val="0"/>
          <w:sz w:val="24"/>
        </w:rPr>
        <w:t xml:space="preserve">of the BiGRU and CNN+BiGRU models on 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the </w:t>
      </w:r>
      <w:r>
        <w:rPr>
          <w:rFonts w:hint="eastAsia" w:ascii="Times New Roman" w:hAnsi="Times New Roman" w:cs="Times New Roman"/>
          <w:b w:val="0"/>
          <w:bCs w:val="0"/>
          <w:i/>
          <w:sz w:val="24"/>
        </w:rPr>
        <w:t>Full_train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 dataset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1537"/>
        <w:gridCol w:w="1088"/>
        <w:gridCol w:w="1245"/>
        <w:gridCol w:w="1167"/>
        <w:gridCol w:w="1155"/>
        <w:gridCol w:w="116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Value</w:t>
            </w:r>
          </w:p>
        </w:tc>
        <w:tc>
          <w:tcPr>
            <w:tcW w:w="1537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Architecture</w:t>
            </w:r>
          </w:p>
        </w:tc>
        <w:tc>
          <w:tcPr>
            <w:tcW w:w="1088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ACC (%)</w:t>
            </w:r>
          </w:p>
        </w:tc>
        <w:tc>
          <w:tcPr>
            <w:tcW w:w="1245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-value (%)</w:t>
            </w:r>
          </w:p>
        </w:tc>
        <w:tc>
          <w:tcPr>
            <w:tcW w:w="1167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Recall (%)</w:t>
            </w:r>
          </w:p>
        </w:tc>
        <w:tc>
          <w:tcPr>
            <w:tcW w:w="1155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PRE (%)</w:t>
            </w:r>
          </w:p>
        </w:tc>
        <w:tc>
          <w:tcPr>
            <w:tcW w:w="1161" w:type="dxa"/>
            <w:tcBorders>
              <w:top w:val="single" w:color="auto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MCC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LSTM size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32</w:t>
            </w:r>
          </w:p>
        </w:tc>
        <w:tc>
          <w:tcPr>
            <w:tcW w:w="1537" w:type="dxa"/>
            <w:vMerge w:val="restart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BiGRU</w:t>
            </w:r>
          </w:p>
        </w:tc>
        <w:tc>
          <w:tcPr>
            <w:tcW w:w="1088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86.64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86.68</w:t>
            </w:r>
          </w:p>
        </w:tc>
        <w:tc>
          <w:tcPr>
            <w:tcW w:w="1167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87.80</w:t>
            </w:r>
          </w:p>
        </w:tc>
        <w:tc>
          <w:tcPr>
            <w:tcW w:w="115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85.67</w:t>
            </w:r>
          </w:p>
        </w:tc>
        <w:tc>
          <w:tcPr>
            <w:tcW w:w="1161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0.7337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64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87.39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87.64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88.17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87.15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0.7479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128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87.40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87.45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87.18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87.77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0.7485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256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87.22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87.27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87.04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87.60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0.7820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32</w:t>
            </w:r>
          </w:p>
        </w:tc>
        <w:tc>
          <w:tcPr>
            <w:tcW w:w="1537" w:type="dxa"/>
            <w:vMerge w:val="restart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CNN+BiGRU</w:t>
            </w: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90.99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90.98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91.25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90.72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64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91.21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91.23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90.35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92.16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0.8245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128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91.85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91.69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91.85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91.53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0.8369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256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91.85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91.94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92.46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91.44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0.8370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BiGRU</w:t>
            </w:r>
            <w:r>
              <w:rPr>
                <w:rFonts w:ascii="Times New Roman" w:hAnsi="Times New Roman" w:cs="Times New Roman"/>
                <w:szCs w:val="21"/>
              </w:rPr>
              <w:t xml:space="preserve"> layer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Cs w:val="21"/>
              </w:rPr>
              <w:t>number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</w:t>
            </w:r>
          </w:p>
        </w:tc>
        <w:tc>
          <w:tcPr>
            <w:tcW w:w="1537" w:type="dxa"/>
            <w:vMerge w:val="restart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BiGRU</w:t>
            </w:r>
          </w:p>
        </w:tc>
        <w:tc>
          <w:tcPr>
            <w:tcW w:w="1088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87.22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87.27</w:t>
            </w:r>
          </w:p>
        </w:tc>
        <w:tc>
          <w:tcPr>
            <w:tcW w:w="1167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87.04</w:t>
            </w:r>
          </w:p>
        </w:tc>
        <w:tc>
          <w:tcPr>
            <w:tcW w:w="1155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87.60</w:t>
            </w:r>
          </w:p>
        </w:tc>
        <w:tc>
          <w:tcPr>
            <w:tcW w:w="1161" w:type="dxa"/>
            <w:tcBorders>
              <w:top w:val="single" w:color="000000" w:themeColor="text1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0.7820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87.90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87.66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86.87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88.53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0.7584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88.20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88.17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90.01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86.44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0.7651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1</w:t>
            </w:r>
          </w:p>
        </w:tc>
        <w:tc>
          <w:tcPr>
            <w:tcW w:w="1537" w:type="dxa"/>
            <w:vMerge w:val="restart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CNN+BiGRU</w:t>
            </w: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91.85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91.94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92.46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91.44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0.8370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90.89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90.84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90.97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90.90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0.8191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</w:t>
            </w:r>
          </w:p>
        </w:tc>
        <w:tc>
          <w:tcPr>
            <w:tcW w:w="1537" w:type="dxa"/>
            <w:vMerge w:val="continue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8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90.21</w:t>
            </w:r>
          </w:p>
        </w:tc>
        <w:tc>
          <w:tcPr>
            <w:tcW w:w="124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90.20</w:t>
            </w:r>
          </w:p>
        </w:tc>
        <w:tc>
          <w:tcPr>
            <w:tcW w:w="116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91.11</w:t>
            </w:r>
          </w:p>
        </w:tc>
        <w:tc>
          <w:tcPr>
            <w:tcW w:w="115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89.55</w:t>
            </w:r>
          </w:p>
        </w:tc>
        <w:tc>
          <w:tcPr>
            <w:tcW w:w="116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0.8067</w:t>
            </w:r>
          </w:p>
        </w:tc>
      </w:tr>
    </w:tbl>
    <w:p/>
    <w:p>
      <w:pPr>
        <w:jc w:val="left"/>
        <w:rPr>
          <w:rFonts w:hint="eastAsia" w:ascii="Times New Roman" w:hAnsi="Times New Roman" w:cs="Times New Roman"/>
          <w:b/>
          <w:bCs/>
          <w:sz w:val="24"/>
        </w:rPr>
      </w:pPr>
    </w:p>
    <w:p>
      <w:pPr>
        <w:jc w:val="left"/>
        <w:rPr>
          <w:rFonts w:ascii="Times New Roman" w:hAnsi="Times New Roman" w:cs="Times New Roman"/>
          <w:i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6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>Prediction results of the CNN-BiLSTM model on</w:t>
      </w:r>
      <w:r>
        <w:rPr>
          <w:rFonts w:ascii="Times New Roman" w:hAnsi="Times New Roman" w:cs="Times New Roman"/>
          <w:b/>
          <w:bCs/>
          <w:sz w:val="24"/>
        </w:rPr>
        <w:t xml:space="preserve"> the</w:t>
      </w:r>
      <w:bookmarkStart w:id="4" w:name="OLE_LINK23"/>
      <w:r>
        <w:rPr>
          <w:rFonts w:ascii="Times New Roman" w:hAnsi="Times New Roman" w:cs="Times New Roman"/>
          <w:b/>
          <w:bCs/>
          <w:sz w:val="24"/>
        </w:rPr>
        <w:t xml:space="preserve"> </w:t>
      </w:r>
      <w:bookmarkEnd w:id="4"/>
      <w:r>
        <w:rPr>
          <w:rFonts w:ascii="Times New Roman" w:hAnsi="Times New Roman" w:cs="Times New Roman"/>
          <w:b/>
          <w:bCs/>
          <w:iCs/>
          <w:sz w:val="24"/>
        </w:rPr>
        <w:t>mature mRNA mode</w:t>
      </w:r>
    </w:p>
    <w:tbl>
      <w:tblPr>
        <w:tblStyle w:val="3"/>
        <w:tblpPr w:leftFromText="180" w:rightFromText="180" w:vertAnchor="page" w:horzAnchor="page" w:tblpX="1753" w:tblpY="6562"/>
        <w:tblW w:w="9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3"/>
        <w:gridCol w:w="1344"/>
        <w:gridCol w:w="1357"/>
        <w:gridCol w:w="84"/>
        <w:gridCol w:w="1266"/>
        <w:gridCol w:w="1341"/>
        <w:gridCol w:w="13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3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Dataset</w:t>
            </w:r>
          </w:p>
        </w:tc>
        <w:tc>
          <w:tcPr>
            <w:tcW w:w="1344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ACC (%)</w:t>
            </w:r>
          </w:p>
        </w:tc>
        <w:tc>
          <w:tcPr>
            <w:tcW w:w="1441" w:type="dxa"/>
            <w:gridSpan w:val="2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F</w:t>
            </w:r>
            <w:r>
              <w:rPr>
                <w:rFonts w:ascii="Times New Roman" w:hAnsi="Times New Roman" w:cs="Times New Roman"/>
                <w:sz w:val="24"/>
              </w:rPr>
              <w:t>-value (%)</w:t>
            </w:r>
          </w:p>
        </w:tc>
        <w:tc>
          <w:tcPr>
            <w:tcW w:w="1266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Recall (%)</w:t>
            </w:r>
          </w:p>
        </w:tc>
        <w:tc>
          <w:tcPr>
            <w:tcW w:w="1341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5" w:name="OLE_LINK29"/>
            <w:r>
              <w:rPr>
                <w:rFonts w:ascii="Times New Roman" w:hAnsi="Times New Roman" w:cs="Times New Roman"/>
                <w:sz w:val="24"/>
              </w:rPr>
              <w:t>PRE</w:t>
            </w:r>
            <w:bookmarkEnd w:id="5"/>
            <w:r>
              <w:rPr>
                <w:rFonts w:ascii="Times New Roman" w:hAnsi="Times New Roman" w:cs="Times New Roman"/>
                <w:sz w:val="24"/>
              </w:rPr>
              <w:t xml:space="preserve"> (%)</w:t>
            </w:r>
          </w:p>
        </w:tc>
        <w:tc>
          <w:tcPr>
            <w:tcW w:w="1385" w:type="dxa"/>
            <w:tcBorders>
              <w:top w:val="single" w:color="auto" w:sz="12" w:space="0"/>
              <w:left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MCC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3" w:type="dxa"/>
            <w:tcBorders>
              <w:top w:val="single" w:color="auto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Training dataset</w:t>
            </w:r>
          </w:p>
        </w:tc>
        <w:tc>
          <w:tcPr>
            <w:tcW w:w="1344" w:type="dxa"/>
            <w:tcBorders>
              <w:top w:val="single" w:color="auto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91.12</w:t>
            </w:r>
          </w:p>
        </w:tc>
        <w:tc>
          <w:tcPr>
            <w:tcW w:w="1357" w:type="dxa"/>
            <w:tcBorders>
              <w:top w:val="single" w:color="auto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91.00</w:t>
            </w:r>
          </w:p>
        </w:tc>
        <w:tc>
          <w:tcPr>
            <w:tcW w:w="1350" w:type="dxa"/>
            <w:gridSpan w:val="2"/>
            <w:tcBorders>
              <w:top w:val="single" w:color="auto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91.71</w:t>
            </w:r>
          </w:p>
        </w:tc>
        <w:tc>
          <w:tcPr>
            <w:tcW w:w="1341" w:type="dxa"/>
            <w:tcBorders>
              <w:top w:val="single" w:color="auto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90.31</w:t>
            </w:r>
          </w:p>
        </w:tc>
        <w:tc>
          <w:tcPr>
            <w:tcW w:w="1385" w:type="dxa"/>
            <w:tcBorders>
              <w:top w:val="single" w:color="auto" w:sz="1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0.8224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Independent test set</w:t>
            </w:r>
          </w:p>
        </w:tc>
        <w:tc>
          <w:tcPr>
            <w:tcW w:w="1344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92.07</w:t>
            </w:r>
          </w:p>
        </w:tc>
        <w:tc>
          <w:tcPr>
            <w:tcW w:w="1357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91.75</w:t>
            </w:r>
          </w:p>
        </w:tc>
        <w:tc>
          <w:tcPr>
            <w:tcW w:w="1350" w:type="dxa"/>
            <w:gridSpan w:val="2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88.57</w:t>
            </w:r>
          </w:p>
        </w:tc>
        <w:tc>
          <w:tcPr>
            <w:tcW w:w="1341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95.18</w:t>
            </w:r>
          </w:p>
        </w:tc>
        <w:tc>
          <w:tcPr>
            <w:tcW w:w="1385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000000" w:themeColor="text1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0.8434</w:t>
            </w:r>
          </w:p>
        </w:tc>
      </w:tr>
    </w:tbl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bCs/>
          <w:color w:val="FF0000"/>
          <w:sz w:val="24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</w:rPr>
        <w:t>Supplementary Table S</w:t>
      </w:r>
      <w:r>
        <w:rPr>
          <w:rFonts w:hint="eastAsia" w:ascii="Times New Roman" w:hAnsi="Times New Roman" w:cs="Times New Roman"/>
          <w:b/>
          <w:bCs/>
          <w:color w:val="FF0000"/>
          <w:sz w:val="24"/>
          <w:lang w:val="en-US" w:eastAsia="zh-CN"/>
        </w:rPr>
        <w:t>7</w:t>
      </w:r>
      <w:r>
        <w:rPr>
          <w:rFonts w:ascii="Times New Roman" w:hAnsi="Times New Roman" w:cs="Times New Roman"/>
          <w:b/>
          <w:bCs/>
          <w:color w:val="FF0000"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 xml:space="preserve">Prediction results of the CNN-BiLSTM model </w:t>
      </w:r>
      <w:r>
        <w:rPr>
          <w:rFonts w:hint="eastAsia" w:ascii="Times New Roman" w:hAnsi="Times New Roman" w:cs="Times New Roman"/>
          <w:b/>
          <w:bCs/>
          <w:color w:val="FF0000"/>
          <w:sz w:val="24"/>
          <w:lang w:val="en-US" w:eastAsia="zh-CN"/>
        </w:rPr>
        <w:t>on</w:t>
      </w:r>
      <w:r>
        <w:rPr>
          <w:rFonts w:ascii="Times New Roman" w:hAnsi="Times New Roman" w:cs="Times New Roman"/>
          <w:b/>
          <w:bCs/>
          <w:color w:val="FF0000"/>
          <w:sz w:val="24"/>
        </w:rPr>
        <w:t xml:space="preserve"> the </w:t>
      </w:r>
      <w:r>
        <w:rPr>
          <w:rFonts w:hint="eastAsia" w:ascii="Times New Roman" w:hAnsi="Times New Roman" w:cs="Times New Roman"/>
          <w:b/>
          <w:bCs/>
          <w:iCs/>
          <w:color w:val="FF0000"/>
          <w:sz w:val="24"/>
          <w:lang w:val="en-US" w:eastAsia="zh-CN"/>
        </w:rPr>
        <w:t>second independent test set</w:t>
      </w:r>
    </w:p>
    <w:p>
      <w:pPr>
        <w:jc w:val="left"/>
        <w:rPr>
          <w:rFonts w:hint="default" w:ascii="Times New Roman" w:hAnsi="Times New Roman" w:cs="Times New Roman" w:eastAsiaTheme="minorEastAsia"/>
          <w:iCs/>
          <w:color w:val="FF0000"/>
          <w:sz w:val="24"/>
          <w:lang w:val="en-US" w:eastAsia="zh-CN"/>
        </w:rPr>
      </w:pPr>
    </w:p>
    <w:tbl>
      <w:tblPr>
        <w:tblStyle w:val="3"/>
        <w:tblpPr w:leftFromText="180" w:rightFromText="180" w:vertAnchor="page" w:horzAnchor="page" w:tblpXSpec="center" w:tblpY="1602"/>
        <w:tblW w:w="50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1956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4"/>
              </w:rPr>
              <w:t>Number</w:t>
            </w:r>
          </w:p>
        </w:tc>
        <w:tc>
          <w:tcPr>
            <w:tcW w:w="1956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4"/>
              </w:rPr>
              <w:t>Probability</w:t>
            </w:r>
          </w:p>
        </w:tc>
        <w:tc>
          <w:tcPr>
            <w:tcW w:w="1306" w:type="dxa"/>
            <w:tcBorders>
              <w:top w:val="single" w:color="auto" w:sz="12" w:space="0"/>
              <w:left w:val="single" w:color="FFFFFF" w:themeColor="background1" w:sz="2" w:space="0"/>
              <w:bottom w:val="single" w:color="auto" w:sz="1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24"/>
                <w:lang w:val="en-US" w:eastAsia="zh-CN"/>
              </w:rPr>
              <w:t>Prediction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</w:t>
            </w:r>
          </w:p>
        </w:tc>
        <w:tc>
          <w:tcPr>
            <w:tcW w:w="1956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0.70572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306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FF000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nil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</w:t>
            </w:r>
          </w:p>
        </w:tc>
        <w:tc>
          <w:tcPr>
            <w:tcW w:w="1956" w:type="dxa"/>
            <w:tcBorders>
              <w:top w:val="nil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0.999997</w:t>
            </w:r>
          </w:p>
        </w:tc>
        <w:tc>
          <w:tcPr>
            <w:tcW w:w="1306" w:type="dxa"/>
            <w:tcBorders>
              <w:top w:val="nil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0.724142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4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0.868581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5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0.739882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6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0.999946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7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0.000108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8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0.999999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9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0.999193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10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11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0.998471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12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0.993151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13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0.999161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14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0.993382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15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0.990964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16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0.999985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17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0.999893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18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0.001282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19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20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0.999926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21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22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23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0.999029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24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0.999507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25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0.999663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26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0.999663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27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28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0.179193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29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0.734869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30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0.284077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31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0.999486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32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33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0.512879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34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0.99879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35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0.999998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36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0.992671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37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0.999999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38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0.032318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iCs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39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.000000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nil"/>
              <w:right w:val="single" w:color="FFFFFF" w:themeColor="background1" w:sz="2" w:space="0"/>
            </w:tcBorders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iCs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40</w:t>
            </w:r>
          </w:p>
        </w:tc>
        <w:tc>
          <w:tcPr>
            <w:tcW w:w="195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nil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0.991149</w:t>
            </w:r>
          </w:p>
        </w:tc>
        <w:tc>
          <w:tcPr>
            <w:tcW w:w="1306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nil"/>
              <w:right w:val="single" w:color="FFFFFF" w:themeColor="background1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76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Cs/>
                <w:color w:val="FF0000"/>
                <w:sz w:val="24"/>
                <w:lang w:val="en-US" w:eastAsia="zh-CN"/>
              </w:rPr>
              <w:t>41</w:t>
            </w: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0.996424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jc w:val="left"/>
        <w:rPr>
          <w:rFonts w:hint="default" w:ascii="Times New Roman" w:hAnsi="Times New Roman" w:cs="Times New Roman" w:eastAsiaTheme="minorEastAsia"/>
          <w:iCs/>
          <w:color w:val="FF0000"/>
          <w:sz w:val="24"/>
          <w:lang w:val="en-US" w:eastAsia="zh-CN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/>
          <w:b/>
          <w:sz w:val="32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Table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8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</w:rPr>
        <w:t>Performance comparison of Deepm5U and m5UPred on the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Cross-Techniques and Cross-Cell-Type datasets</w:t>
      </w:r>
    </w:p>
    <w:tbl>
      <w:tblPr>
        <w:tblStyle w:val="3"/>
        <w:tblW w:w="10247" w:type="dxa"/>
        <w:jc w:val="center"/>
        <w:tblBorders>
          <w:top w:val="single" w:color="000000" w:sz="2" w:space="0"/>
          <w:left w:val="none" w:color="auto" w:sz="0" w:space="0"/>
          <w:bottom w:val="single" w:color="000000" w:sz="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1276"/>
        <w:gridCol w:w="1407"/>
        <w:gridCol w:w="1407"/>
        <w:gridCol w:w="1189"/>
        <w:gridCol w:w="111"/>
        <w:gridCol w:w="1093"/>
        <w:gridCol w:w="1278"/>
        <w:gridCol w:w="1209"/>
      </w:tblGrid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Mode</w:t>
            </w:r>
          </w:p>
        </w:tc>
        <w:tc>
          <w:tcPr>
            <w:tcW w:w="1276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Testing Method</w:t>
            </w:r>
          </w:p>
        </w:tc>
        <w:tc>
          <w:tcPr>
            <w:tcW w:w="1407" w:type="dxa"/>
            <w:vMerge w:val="restart"/>
            <w:tcBorders>
              <w:top w:val="single" w:color="000000" w:sz="1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Method</w:t>
            </w:r>
          </w:p>
        </w:tc>
        <w:tc>
          <w:tcPr>
            <w:tcW w:w="1407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Evaluation Metric</w:t>
            </w:r>
          </w:p>
        </w:tc>
        <w:tc>
          <w:tcPr>
            <w:tcW w:w="2393" w:type="dxa"/>
            <w:gridSpan w:val="3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Cross-Technique Validation</w:t>
            </w:r>
          </w:p>
        </w:tc>
        <w:tc>
          <w:tcPr>
            <w:tcW w:w="2487" w:type="dxa"/>
            <w:gridSpan w:val="2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Cross-Cell-Type Validation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77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00" w:type="dxa"/>
            <w:gridSpan w:val="2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miCLIP-Seq</w:t>
            </w:r>
          </w:p>
        </w:tc>
        <w:tc>
          <w:tcPr>
            <w:tcW w:w="1093" w:type="dxa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FICC-Seq</w:t>
            </w:r>
          </w:p>
        </w:tc>
        <w:tc>
          <w:tcPr>
            <w:tcW w:w="1278" w:type="dxa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HEK293</w:t>
            </w:r>
          </w:p>
        </w:tc>
        <w:tc>
          <w:tcPr>
            <w:tcW w:w="1209" w:type="dxa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HAP1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Full transcript</w:t>
            </w:r>
          </w:p>
        </w:tc>
        <w:tc>
          <w:tcPr>
            <w:tcW w:w="1276" w:type="dxa"/>
            <w:vMerge w:val="restart"/>
            <w:tcBorders>
              <w:top w:val="single" w:color="000000" w:sz="12" w:space="0"/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intra-dataset evaluation</w:t>
            </w:r>
          </w:p>
        </w:tc>
        <w:tc>
          <w:tcPr>
            <w:tcW w:w="1407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000000" w:sz="1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ACC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98.31</w:t>
            </w:r>
          </w:p>
        </w:tc>
        <w:tc>
          <w:tcPr>
            <w:tcW w:w="1204" w:type="dxa"/>
            <w:gridSpan w:val="2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97.41</w:t>
            </w:r>
          </w:p>
        </w:tc>
        <w:tc>
          <w:tcPr>
            <w:tcW w:w="1278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98.21</w:t>
            </w:r>
          </w:p>
        </w:tc>
        <w:tc>
          <w:tcPr>
            <w:tcW w:w="1209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97.61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  <w:jc w:val="center"/>
        </w:trPr>
        <w:tc>
          <w:tcPr>
            <w:tcW w:w="1277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86.76</w:t>
            </w:r>
          </w:p>
        </w:tc>
        <w:tc>
          <w:tcPr>
            <w:tcW w:w="1204" w:type="dxa"/>
            <w:gridSpan w:val="2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90.58</w:t>
            </w:r>
          </w:p>
        </w:tc>
        <w:tc>
          <w:tcPr>
            <w:tcW w:w="1278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86.72</w:t>
            </w:r>
          </w:p>
        </w:tc>
        <w:tc>
          <w:tcPr>
            <w:tcW w:w="1209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80.15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Recall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87.09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79.90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87.01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81.50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86.70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89.80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86.26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89.67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MCC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0.8932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0.8362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0.8886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0.8478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FF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0.735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kern w:val="0"/>
                <w:szCs w:val="21"/>
                <w:lang w:bidi="ar"/>
              </w:rPr>
              <w:t>0.812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0.735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0.901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auROC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.9769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.9729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.9858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.9770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0.946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0.966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0.942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0.969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inter-dataset evaluation</w:t>
            </w: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ACC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95</w:t>
            </w:r>
            <w:r>
              <w:rPr>
                <w:rFonts w:hint="eastAsia" w:ascii="Times New Roman" w:hAnsi="Times New Roman" w:cs="Times New Roman"/>
                <w:kern w:val="0"/>
                <w:szCs w:val="21"/>
                <w:lang w:bidi="ar"/>
              </w:rPr>
              <w:t>.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64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93.90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97.10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94.33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82.29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73.29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86.20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73.99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Recall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61.05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39.44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74.29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44.13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75.36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56.48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82.79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57.77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MCC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0.7093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0.5574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0.8135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0.5967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FF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0.652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0.495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0.726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0.507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auROC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.9324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.8332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.9727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.8700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0.910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0.853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0.941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0.857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Mature mRNA</w:t>
            </w:r>
          </w:p>
        </w:tc>
        <w:tc>
          <w:tcPr>
            <w:tcW w:w="1276" w:type="dxa"/>
            <w:vMerge w:val="restart"/>
            <w:tcBorders>
              <w:top w:val="single" w:color="000000" w:sz="12" w:space="0"/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intra-dataset evaluation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000000" w:sz="1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ACC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99.36</w:t>
            </w:r>
          </w:p>
        </w:tc>
        <w:tc>
          <w:tcPr>
            <w:tcW w:w="1204" w:type="dxa"/>
            <w:gridSpan w:val="2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98.30</w:t>
            </w:r>
          </w:p>
        </w:tc>
        <w:tc>
          <w:tcPr>
            <w:tcW w:w="1278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99.38</w:t>
            </w:r>
          </w:p>
        </w:tc>
        <w:tc>
          <w:tcPr>
            <w:tcW w:w="1209" w:type="dxa"/>
            <w:tcBorders>
              <w:top w:val="single" w:color="000000" w:sz="12" w:space="0"/>
              <w:left w:val="single" w:color="FFFFFF" w:sz="2" w:space="0"/>
              <w:bottom w:val="single" w:color="FFFFFF" w:themeColor="background1" w:sz="4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98.22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89.43</w:t>
            </w:r>
          </w:p>
        </w:tc>
        <w:tc>
          <w:tcPr>
            <w:tcW w:w="1204" w:type="dxa"/>
            <w:gridSpan w:val="2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96.09</w:t>
            </w:r>
          </w:p>
        </w:tc>
        <w:tc>
          <w:tcPr>
            <w:tcW w:w="1278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90.50</w:t>
            </w:r>
          </w:p>
        </w:tc>
        <w:tc>
          <w:tcPr>
            <w:tcW w:w="1209" w:type="dxa"/>
            <w:tcBorders>
              <w:top w:val="single" w:color="FFFFFF" w:themeColor="background1" w:sz="4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96.02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Recall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94.62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87.80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94.89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89.04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88.34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94.14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89.86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95.32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MCC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0.9621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0.8913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0.9619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0.8922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0.789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0.922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0.810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0.920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auROC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.9999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.9820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.9928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.9856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0.962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0.992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0.964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0.987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inter-dataset evaluation</w:t>
            </w: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ACC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98.28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95.06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98.62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94.88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90.46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68.16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92.17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68.57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Recall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89.14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48.41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93.90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44.77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90.07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38.81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95.41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39.01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MCC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0.8945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0.6574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0.9181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0.6408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0.809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0.449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0.845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0.461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000000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Deepm5U</w:t>
            </w:r>
          </w:p>
        </w:tc>
        <w:tc>
          <w:tcPr>
            <w:tcW w:w="1407" w:type="dxa"/>
            <w:vMerge w:val="restart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auROC</w:t>
            </w: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.9931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.8893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.9943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.8733</w:t>
            </w:r>
          </w:p>
        </w:tc>
      </w:tr>
      <w:tr>
        <w:tblPrEx>
          <w:tblBorders>
            <w:top w:val="single" w:color="0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277" w:type="dxa"/>
            <w:vMerge w:val="continue"/>
            <w:tcBorders>
              <w:top w:val="single" w:color="FFFFFF" w:sz="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1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</w:p>
        </w:tc>
        <w:tc>
          <w:tcPr>
            <w:tcW w:w="1407" w:type="dxa"/>
            <w:tcBorders>
              <w:top w:val="single" w:color="FFFFFF" w:sz="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m5UPred</w:t>
            </w:r>
          </w:p>
        </w:tc>
        <w:tc>
          <w:tcPr>
            <w:tcW w:w="1407" w:type="dxa"/>
            <w:vMerge w:val="continue"/>
            <w:tcBorders>
              <w:left w:val="single" w:color="FFFFFF" w:sz="2" w:space="0"/>
              <w:bottom w:val="single" w:color="auto" w:sz="1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FF0000"/>
                <w:kern w:val="0"/>
                <w:szCs w:val="21"/>
                <w:lang w:bidi="ar"/>
              </w:rPr>
            </w:pPr>
          </w:p>
        </w:tc>
        <w:tc>
          <w:tcPr>
            <w:tcW w:w="1189" w:type="dxa"/>
            <w:tcBorders>
              <w:top w:val="single" w:color="FFFFFF" w:sz="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0.970</w:t>
            </w:r>
          </w:p>
        </w:tc>
        <w:tc>
          <w:tcPr>
            <w:tcW w:w="1204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0.873</w:t>
            </w:r>
          </w:p>
        </w:tc>
        <w:tc>
          <w:tcPr>
            <w:tcW w:w="1278" w:type="dxa"/>
            <w:tcBorders>
              <w:top w:val="single" w:color="FFFFFF" w:sz="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0.981</w:t>
            </w:r>
          </w:p>
        </w:tc>
        <w:tc>
          <w:tcPr>
            <w:tcW w:w="1209" w:type="dxa"/>
            <w:tcBorders>
              <w:top w:val="single" w:color="FFFFFF" w:sz="2" w:space="0"/>
              <w:left w:val="single" w:color="FFFFFF" w:sz="2" w:space="0"/>
              <w:bottom w:val="single" w:color="auto" w:sz="12" w:space="0"/>
              <w:right w:val="single" w:color="FFFFFF" w:sz="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0.871</w:t>
            </w:r>
          </w:p>
        </w:tc>
      </w:tr>
    </w:tbl>
    <w:p/>
    <w:p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87495"/>
            <wp:effectExtent l="0" t="0" r="3175" b="8255"/>
            <wp:docPr id="4" name="图片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/>
          <w:bCs/>
          <w:color w:val="FF0000"/>
          <w:sz w:val="24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color w:val="FF0000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</w:rPr>
        <w:t>S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1</w:t>
      </w:r>
    </w:p>
    <w:p>
      <w:pPr>
        <w:rPr>
          <w:rFonts w:hint="default" w:ascii="Times New Roman" w:hAnsi="Times New Roman" w:cs="Times New Roman" w:eastAsiaTheme="minorEastAsia"/>
          <w:color w:val="FF0000"/>
          <w:sz w:val="24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 xml:space="preserve">Workflow of all the deep learning model. </w:t>
      </w:r>
    </w:p>
    <w:p/>
    <w:p/>
    <w:p/>
    <w:p/>
    <w:p/>
    <w:p/>
    <w:p/>
    <w:p/>
    <w:p/>
    <w:p/>
    <w:p/>
    <w:p/>
    <w:p/>
    <w:p/>
    <w:p/>
    <w:p/>
    <w:p/>
    <w:p/>
    <w:p/>
    <w:p/>
    <w:p>
      <w:bookmarkStart w:id="7" w:name="_GoBack"/>
      <w:bookmarkEnd w:id="7"/>
    </w:p>
    <w:p/>
    <w:p>
      <w:pPr>
        <w:rPr>
          <w:rFonts w:hint="eastAsia" w:eastAsiaTheme="minorEastAsia"/>
          <w:lang w:eastAsia="zh-CN"/>
        </w:rPr>
      </w:pPr>
      <w:r>
        <w:rPr>
          <w:bCs/>
          <w:lang w:val="en-US" w:eastAsia="zh-CN"/>
        </w:rPr>
        <w:drawing>
          <wp:inline distT="0" distB="0" distL="114300" distR="114300">
            <wp:extent cx="5266690" cy="4740275"/>
            <wp:effectExtent l="0" t="0" r="6350" b="14605"/>
            <wp:docPr id="6" name="图片 6" descr="Figu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2</w:t>
      </w:r>
    </w:p>
    <w:p>
      <w:pPr>
        <w:spacing w:line="360" w:lineRule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Receiver operating characteristic (ROC) curves and precision-recall curves (PR) for candidate m5U sites identified by five deep learning models using the set of full transcript mode as ground truth.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 w:val="0"/>
          <w:sz w:val="24"/>
          <w:lang w:val="en-US" w:eastAsia="zh-CN"/>
        </w:rPr>
        <w:t>(A)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Training dataset, </w:t>
      </w:r>
      <w:r>
        <w:rPr>
          <w:rFonts w:hint="eastAsia" w:ascii="Times New Roman" w:hAnsi="Times New Roman" w:cs="Times New Roman"/>
          <w:b/>
          <w:bCs w:val="0"/>
          <w:sz w:val="24"/>
          <w:lang w:val="en-US" w:eastAsia="zh-CN"/>
        </w:rPr>
        <w:t>(B)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Independent test set.</w:t>
      </w:r>
    </w:p>
    <w:p>
      <w:pPr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br w:type="page"/>
      </w:r>
    </w:p>
    <w:p>
      <w:r>
        <w:rPr>
          <w:rFonts w:hint="eastAsia"/>
        </w:rPr>
        <w:drawing>
          <wp:inline distT="0" distB="0" distL="114300" distR="114300">
            <wp:extent cx="5264150" cy="5264150"/>
            <wp:effectExtent l="0" t="0" r="8890" b="8890"/>
            <wp:docPr id="1" name="图片 1" descr="Supple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 Fig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24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3</w:t>
      </w:r>
    </w:p>
    <w:p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 w:val="0"/>
          <w:bCs/>
          <w:sz w:val="24"/>
        </w:rPr>
        <w:t xml:space="preserve">ROC and PR curves of </w:t>
      </w:r>
      <w:bookmarkStart w:id="6" w:name="OLE_LINK153"/>
      <w:r>
        <w:rPr>
          <w:rFonts w:ascii="Times New Roman" w:hAnsi="Times New Roman" w:cs="Times New Roman"/>
          <w:b w:val="0"/>
          <w:bCs/>
          <w:sz w:val="24"/>
        </w:rPr>
        <w:t xml:space="preserve">the </w:t>
      </w:r>
      <w:bookmarkEnd w:id="6"/>
      <w:r>
        <w:rPr>
          <w:rFonts w:hint="eastAsia" w:ascii="Times New Roman" w:hAnsi="Times New Roman" w:cs="Times New Roman"/>
          <w:b w:val="0"/>
          <w:bCs/>
          <w:sz w:val="24"/>
        </w:rPr>
        <w:t xml:space="preserve">CNN-BiLSTM model </w:t>
      </w:r>
      <w:r>
        <w:rPr>
          <w:rFonts w:ascii="Times New Roman" w:hAnsi="Times New Roman" w:cs="Times New Roman"/>
          <w:b w:val="0"/>
          <w:bCs/>
          <w:sz w:val="24"/>
        </w:rPr>
        <w:t xml:space="preserve">for </w:t>
      </w:r>
      <w:r>
        <w:rPr>
          <w:rFonts w:hint="eastAsia" w:ascii="Times New Roman" w:hAnsi="Times New Roman" w:cs="Times New Roman"/>
          <w:b w:val="0"/>
          <w:bCs/>
          <w:sz w:val="24"/>
        </w:rPr>
        <w:t>the</w:t>
      </w:r>
      <w:r>
        <w:rPr>
          <w:rFonts w:ascii="Times New Roman" w:hAnsi="Times New Roman" w:cs="Times New Roman"/>
          <w:b w:val="0"/>
          <w:bCs/>
          <w:sz w:val="24"/>
        </w:rPr>
        <w:t xml:space="preserve"> mature mRNA mode. </w:t>
      </w:r>
      <w:r>
        <w:rPr>
          <w:rFonts w:ascii="Times New Roman" w:hAnsi="Times New Roman" w:cs="Times New Roman"/>
          <w:b/>
          <w:bCs w:val="0"/>
          <w:sz w:val="24"/>
        </w:rPr>
        <w:t>(A)</w:t>
      </w:r>
      <w:r>
        <w:rPr>
          <w:rFonts w:ascii="Times New Roman" w:hAnsi="Times New Roman" w:cs="Times New Roman"/>
          <w:bCs/>
          <w:sz w:val="24"/>
        </w:rPr>
        <w:t xml:space="preserve"> Training dataset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,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 w:val="0"/>
          <w:sz w:val="24"/>
        </w:rPr>
        <w:t>(B)</w:t>
      </w:r>
      <w:r>
        <w:rPr>
          <w:rFonts w:ascii="Times New Roman" w:hAnsi="Times New Roman" w:cs="Times New Roman"/>
          <w:bCs/>
          <w:sz w:val="24"/>
        </w:rPr>
        <w:t xml:space="preserve"> Independent test set.</w:t>
      </w:r>
    </w:p>
    <w:p>
      <w:pPr>
        <w:spacing w:line="360" w:lineRule="auto"/>
        <w:rPr>
          <w:rFonts w:hint="eastAsia" w:ascii="Times New Roman" w:hAnsi="Times New Roman" w:cs="Times New Roman"/>
          <w:bCs/>
          <w:sz w:val="24"/>
          <w:lang w:val="en-US" w:eastAsia="zh-CN"/>
        </w:rPr>
      </w:pPr>
    </w:p>
    <w:p>
      <w:pPr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br w:type="page"/>
      </w:r>
    </w:p>
    <w:p>
      <w:pPr>
        <w:spacing w:line="360" w:lineRule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bCs/>
          <w:lang w:val="en-US" w:eastAsia="zh-CN"/>
        </w:rPr>
        <w:drawing>
          <wp:inline distT="0" distB="0" distL="114300" distR="114300">
            <wp:extent cx="5273040" cy="5433695"/>
            <wp:effectExtent l="0" t="0" r="0" b="6985"/>
            <wp:docPr id="5" name="图片 5" descr="Figur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uppressLineNumbers/>
        <w:spacing w:line="360" w:lineRule="auto"/>
        <w:jc w:val="both"/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4</w:t>
      </w:r>
    </w:p>
    <w:p>
      <w:pPr>
        <w:suppressLineNumbers/>
        <w:spacing w:line="360" w:lineRule="auto"/>
        <w:jc w:val="both"/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auto"/>
          <w:sz w:val="24"/>
          <w:lang w:val="en-US" w:eastAsia="zh-CN"/>
        </w:rPr>
        <w:t xml:space="preserve">ROC and PR curves of Deepm5U for the intra-dataset evaluation across technologies and cell types. </w:t>
      </w:r>
      <w:r>
        <w:rPr>
          <w:rFonts w:hint="eastAsia" w:ascii="Times New Roman" w:hAnsi="Times New Roman" w:cs="Times New Roman"/>
          <w:b/>
          <w:bCs w:val="0"/>
          <w:color w:val="auto"/>
          <w:sz w:val="24"/>
          <w:lang w:val="en-US" w:eastAsia="zh-CN"/>
        </w:rPr>
        <w:t>(A)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 xml:space="preserve"> Full transcript mode, </w:t>
      </w:r>
      <w:r>
        <w:rPr>
          <w:rFonts w:hint="eastAsia" w:ascii="Times New Roman" w:hAnsi="Times New Roman" w:cs="Times New Roman"/>
          <w:b/>
          <w:bCs w:val="0"/>
          <w:color w:val="auto"/>
          <w:sz w:val="24"/>
          <w:lang w:val="en-US" w:eastAsia="zh-CN"/>
        </w:rPr>
        <w:t>(B)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 xml:space="preserve"> Mature mRNA mode.</w:t>
      </w:r>
    </w:p>
    <w:p>
      <w:pPr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br w:type="page"/>
      </w:r>
    </w:p>
    <w:p>
      <w:pPr>
        <w:suppressLineNumbers/>
        <w:spacing w:line="360" w:lineRule="auto"/>
        <w:jc w:val="both"/>
        <w:rPr>
          <w:bCs/>
          <w:lang w:val="en-US" w:eastAsia="zh-CN"/>
        </w:rPr>
      </w:pPr>
      <w:r>
        <w:rPr>
          <w:bCs/>
          <w:lang w:val="en-US" w:eastAsia="zh-CN"/>
        </w:rPr>
        <w:drawing>
          <wp:inline distT="0" distB="0" distL="114300" distR="114300">
            <wp:extent cx="5271135" cy="3123565"/>
            <wp:effectExtent l="0" t="0" r="1905" b="635"/>
            <wp:docPr id="3" name="图片 3" descr="Figur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-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uppressLineNumbers/>
        <w:spacing w:line="360" w:lineRule="auto"/>
        <w:jc w:val="both"/>
        <w:rPr>
          <w:rFonts w:hint="eastAsia" w:ascii="Times New Roman" w:hAnsi="Times New Roman" w:cs="Times New Roman"/>
          <w:b/>
          <w:bCs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</w:rPr>
        <w:t>S</w:t>
      </w:r>
      <w:r>
        <w:rPr>
          <w:rFonts w:hint="eastAsia" w:ascii="Times New Roman" w:hAnsi="Times New Roman" w:cs="Times New Roman"/>
          <w:b/>
          <w:bCs w:val="0"/>
          <w:sz w:val="24"/>
          <w:lang w:val="en-US" w:eastAsia="zh-CN"/>
        </w:rPr>
        <w:t xml:space="preserve">5 </w:t>
      </w:r>
    </w:p>
    <w:p>
      <w:pPr>
        <w:suppressLineNumbers/>
        <w:spacing w:line="360" w:lineRule="auto"/>
        <w:jc w:val="both"/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UMAP visualization of the features learned by Deepm5U from the cross-technique and cross-cell-type datasets.</w:t>
      </w:r>
    </w:p>
    <w:p>
      <w:pPr>
        <w:suppressLineNumbers/>
        <w:spacing w:line="360" w:lineRule="auto"/>
        <w:jc w:val="both"/>
        <w:rPr>
          <w:rFonts w:hint="eastAsia" w:ascii="Times New Roman" w:hAnsi="Times New Roman" w:cs="Times New Roman"/>
          <w:bCs/>
          <w:sz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</w:pPr>
      <w:r>
        <w:drawing>
          <wp:inline distT="0" distB="0" distL="114300" distR="114300">
            <wp:extent cx="5264150" cy="5422900"/>
            <wp:effectExtent l="0" t="0" r="8890" b="2540"/>
            <wp:docPr id="2" name="图片 3" descr="Supple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Supplement Fig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24"/>
        </w:rPr>
        <w:t>Supplementary Figure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4"/>
          <w:lang w:val="en-US" w:eastAsia="zh-CN"/>
        </w:rPr>
        <w:t>6</w:t>
      </w:r>
    </w:p>
    <w:p>
      <w:pPr>
        <w:spacing w:line="360" w:lineRule="auto"/>
        <w:rPr>
          <w:rFonts w:hint="eastAsia" w:ascii="Times New Roman" w:hAnsi="Times New Roman" w:cs="Times New Roman"/>
          <w:b/>
          <w:bCs w:val="0"/>
          <w:sz w:val="24"/>
          <w:lang w:val="en-US" w:eastAsia="zh-CN"/>
        </w:rPr>
      </w:pPr>
      <w:r>
        <w:rPr>
          <w:rFonts w:ascii="Times New Roman" w:hAnsi="Times New Roman" w:cs="Times New Roman"/>
          <w:b w:val="0"/>
          <w:bCs/>
          <w:color w:val="auto"/>
          <w:sz w:val="24"/>
        </w:rPr>
        <w:t xml:space="preserve">ROC and PR curves of </w:t>
      </w:r>
      <w:r>
        <w:rPr>
          <w:rFonts w:hint="eastAsia" w:ascii="Times New Roman" w:hAnsi="Times New Roman" w:cs="Times New Roman"/>
          <w:b w:val="0"/>
          <w:bCs/>
          <w:color w:val="auto"/>
          <w:sz w:val="24"/>
        </w:rPr>
        <w:t>Deepm5U</w:t>
      </w:r>
      <w:r>
        <w:rPr>
          <w:rFonts w:ascii="Times New Roman" w:hAnsi="Times New Roman" w:cs="Times New Roman"/>
          <w:b w:val="0"/>
          <w:bCs/>
          <w:color w:val="auto"/>
          <w:sz w:val="24"/>
        </w:rPr>
        <w:t xml:space="preserve"> for </w:t>
      </w:r>
      <w:r>
        <w:rPr>
          <w:rFonts w:hint="eastAsia" w:ascii="Times New Roman" w:hAnsi="Times New Roman" w:cs="Times New Roman"/>
          <w:b w:val="0"/>
          <w:bCs/>
          <w:color w:val="auto"/>
          <w:sz w:val="24"/>
        </w:rPr>
        <w:t xml:space="preserve">the </w:t>
      </w:r>
      <w:r>
        <w:rPr>
          <w:rFonts w:ascii="Times New Roman" w:hAnsi="Times New Roman" w:cs="Times New Roman"/>
          <w:b w:val="0"/>
          <w:bCs/>
          <w:color w:val="auto"/>
          <w:sz w:val="24"/>
        </w:rPr>
        <w:t xml:space="preserve">inter-dataset evaluation across technologies and cell types. </w:t>
      </w:r>
      <w:r>
        <w:rPr>
          <w:rFonts w:ascii="Times New Roman" w:hAnsi="Times New Roman" w:cs="Times New Roman"/>
          <w:b/>
          <w:bCs w:val="0"/>
          <w:color w:val="auto"/>
          <w:sz w:val="24"/>
        </w:rPr>
        <w:t>(A)</w:t>
      </w:r>
      <w:r>
        <w:rPr>
          <w:rFonts w:ascii="Times New Roman" w:hAnsi="Times New Roman" w:cs="Times New Roman"/>
          <w:bCs/>
          <w:color w:val="auto"/>
          <w:sz w:val="24"/>
        </w:rPr>
        <w:t xml:space="preserve"> Full transcript mode</w:t>
      </w:r>
      <w:r>
        <w:rPr>
          <w:rFonts w:hint="eastAsia" w:ascii="Times New Roman" w:hAnsi="Times New Roman" w:cs="Times New Roman"/>
          <w:bCs/>
          <w:color w:val="auto"/>
          <w:sz w:val="24"/>
          <w:lang w:val="en-US" w:eastAsia="zh-CN"/>
        </w:rPr>
        <w:t>,</w:t>
      </w:r>
      <w:r>
        <w:rPr>
          <w:rFonts w:ascii="Times New Roman" w:hAnsi="Times New Roman" w:cs="Times New Roman"/>
          <w:bCs/>
          <w:color w:val="auto"/>
          <w:sz w:val="24"/>
        </w:rPr>
        <w:t xml:space="preserve"> </w:t>
      </w:r>
      <w:r>
        <w:rPr>
          <w:rFonts w:ascii="Times New Roman" w:hAnsi="Times New Roman" w:cs="Times New Roman"/>
          <w:b/>
          <w:bCs w:val="0"/>
          <w:color w:val="auto"/>
          <w:sz w:val="24"/>
        </w:rPr>
        <w:t>(B)</w:t>
      </w:r>
      <w:r>
        <w:rPr>
          <w:rFonts w:ascii="Times New Roman" w:hAnsi="Times New Roman" w:cs="Times New Roman"/>
          <w:bCs/>
          <w:color w:val="auto"/>
          <w:sz w:val="24"/>
        </w:rPr>
        <w:t xml:space="preserve"> Mature mRNA mode.</w:t>
      </w:r>
    </w:p>
    <w:p>
      <w:pPr>
        <w:suppressLineNumbers/>
        <w:spacing w:line="360" w:lineRule="auto"/>
        <w:jc w:val="both"/>
        <w:rPr>
          <w:rFonts w:hint="eastAsia" w:ascii="Times New Roman" w:hAnsi="Times New Roman" w:cs="Times New Roman"/>
          <w:b/>
          <w:bCs w:val="0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4ZGM3Nzk5NDhhOThkYTIxMTgxODBlY2FlNzA4NTcifQ=="/>
  </w:docVars>
  <w:rsids>
    <w:rsidRoot w:val="44D122F7"/>
    <w:rsid w:val="0254525B"/>
    <w:rsid w:val="1505553D"/>
    <w:rsid w:val="1C1F2DC0"/>
    <w:rsid w:val="1F5D7D23"/>
    <w:rsid w:val="217E4AC3"/>
    <w:rsid w:val="2DAE00BF"/>
    <w:rsid w:val="2EC1261A"/>
    <w:rsid w:val="2F536C54"/>
    <w:rsid w:val="30D33065"/>
    <w:rsid w:val="38DF5FF4"/>
    <w:rsid w:val="3BE42C82"/>
    <w:rsid w:val="4035347E"/>
    <w:rsid w:val="404129BB"/>
    <w:rsid w:val="42C13A57"/>
    <w:rsid w:val="44D122F7"/>
    <w:rsid w:val="463B22D1"/>
    <w:rsid w:val="46684B75"/>
    <w:rsid w:val="4CCD6939"/>
    <w:rsid w:val="50C01D3C"/>
    <w:rsid w:val="5AEC29EC"/>
    <w:rsid w:val="5B466303"/>
    <w:rsid w:val="5BAC183B"/>
    <w:rsid w:val="5EBF36C8"/>
    <w:rsid w:val="60342A78"/>
    <w:rsid w:val="607C7302"/>
    <w:rsid w:val="61E57855"/>
    <w:rsid w:val="62F1458C"/>
    <w:rsid w:val="6D145E32"/>
    <w:rsid w:val="6D510216"/>
    <w:rsid w:val="6E815015"/>
    <w:rsid w:val="736B1B84"/>
    <w:rsid w:val="7A4F3FE8"/>
    <w:rsid w:val="7BE6477C"/>
    <w:rsid w:val="7E68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Author-Group"/>
    <w:basedOn w:val="1"/>
    <w:qFormat/>
    <w:uiPriority w:val="0"/>
    <w:pPr>
      <w:spacing w:before="100" w:line="300" w:lineRule="exact"/>
      <w:jc w:val="both"/>
    </w:pPr>
    <w:rPr>
      <w:rFonts w:ascii="Helvetica-Light" w:hAnsi="Helvetica-Light"/>
      <w:iCs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1430</Words>
  <Characters>7721</Characters>
  <Lines>0</Lines>
  <Paragraphs>0</Paragraphs>
  <TotalTime>5</TotalTime>
  <ScaleCrop>false</ScaleCrop>
  <LinksUpToDate>false</LinksUpToDate>
  <CharactersWithSpaces>8175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2022-12-11T08:11:00Z</dcterms:created>
  <dc:creator>心言</dc:creator>
  <cp:lastModifiedBy>林荫里的尘埃</cp:lastModifiedBy>
  <dcterms:modified xsi:type="dcterms:W3CDTF">2023-04-23T11:31:34Z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13DAE612F2D34FE7991B1A30222E33F6</vt:lpwstr>
  </property>
</Properties>
</file>