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E341" w14:textId="3BD663F6" w:rsidR="00A10987" w:rsidRPr="00A10987" w:rsidRDefault="00A10987" w:rsidP="00A10987">
      <w:pPr>
        <w:jc w:val="center"/>
        <w:rPr>
          <w:b/>
          <w:i/>
          <w:iCs/>
          <w:spacing w:val="-2"/>
          <w:sz w:val="36"/>
          <w:szCs w:val="36"/>
        </w:rPr>
      </w:pPr>
      <w:r w:rsidRPr="00A10987">
        <w:rPr>
          <w:b/>
          <w:i/>
          <w:iCs/>
          <w:spacing w:val="-2"/>
          <w:sz w:val="36"/>
          <w:szCs w:val="36"/>
        </w:rPr>
        <w:t>Supplementary Material</w:t>
      </w:r>
    </w:p>
    <w:p w14:paraId="67EB5984" w14:textId="77777777" w:rsidR="00A10987" w:rsidRDefault="00A10987" w:rsidP="00963195">
      <w:pPr>
        <w:rPr>
          <w:b/>
          <w:spacing w:val="-2"/>
          <w:sz w:val="20"/>
          <w:szCs w:val="20"/>
        </w:rPr>
      </w:pPr>
    </w:p>
    <w:p w14:paraId="1320B998" w14:textId="77777777" w:rsidR="00A10987" w:rsidRDefault="00A10987" w:rsidP="00963195">
      <w:pPr>
        <w:rPr>
          <w:b/>
          <w:spacing w:val="-2"/>
          <w:sz w:val="20"/>
          <w:szCs w:val="20"/>
        </w:rPr>
      </w:pPr>
    </w:p>
    <w:p w14:paraId="29A48D8B" w14:textId="4AD61CEE" w:rsidR="00963195" w:rsidRPr="00A10987" w:rsidRDefault="00963195" w:rsidP="00963195">
      <w:pPr>
        <w:rPr>
          <w:b/>
          <w:spacing w:val="-2"/>
        </w:rPr>
      </w:pPr>
      <w:r w:rsidRPr="00A10987">
        <w:rPr>
          <w:b/>
          <w:spacing w:val="-2"/>
        </w:rPr>
        <w:t xml:space="preserve">Table </w:t>
      </w:r>
      <w:r w:rsidR="00A10987" w:rsidRPr="00A10987">
        <w:rPr>
          <w:b/>
          <w:spacing w:val="-2"/>
        </w:rPr>
        <w:t>S1</w:t>
      </w:r>
      <w:r w:rsidRPr="00A10987">
        <w:rPr>
          <w:b/>
          <w:spacing w:val="-2"/>
        </w:rPr>
        <w:t xml:space="preserve">. </w:t>
      </w:r>
      <w:r w:rsidRPr="00A10987">
        <w:rPr>
          <w:bCs/>
          <w:spacing w:val="-2"/>
        </w:rPr>
        <w:t>Summary of highlighted strategies, best practices, and relevant projects in terms of impact</w:t>
      </w:r>
    </w:p>
    <w:p w14:paraId="28D6CD56" w14:textId="77777777" w:rsidR="005F0D7B" w:rsidRPr="00A10987" w:rsidRDefault="005F0D7B">
      <w:pPr>
        <w:rPr>
          <w:sz w:val="32"/>
          <w:szCs w:val="32"/>
        </w:rPr>
      </w:pPr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3260"/>
      </w:tblGrid>
      <w:tr w:rsidR="0020297E" w:rsidRPr="00A10987" w14:paraId="1896D8DF" w14:textId="77777777" w:rsidTr="0020297E">
        <w:tc>
          <w:tcPr>
            <w:tcW w:w="3256" w:type="dxa"/>
          </w:tcPr>
          <w:p w14:paraId="53902CCA" w14:textId="77777777" w:rsidR="0020297E" w:rsidRPr="00A10987" w:rsidRDefault="0020297E" w:rsidP="00F74B3C">
            <w:pPr>
              <w:pStyle w:val="PARA"/>
              <w:rPr>
                <w:rFonts w:cs="Times New Roman"/>
                <w:b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b/>
                <w:sz w:val="18"/>
                <w:szCs w:val="18"/>
                <w:lang w:val="es-CO"/>
              </w:rPr>
              <w:t>STRATEGIES</w:t>
            </w:r>
          </w:p>
        </w:tc>
        <w:tc>
          <w:tcPr>
            <w:tcW w:w="1417" w:type="dxa"/>
          </w:tcPr>
          <w:p w14:paraId="5D132556" w14:textId="77777777" w:rsidR="0020297E" w:rsidRPr="00A10987" w:rsidRDefault="0020297E" w:rsidP="00F74B3C">
            <w:pPr>
              <w:pStyle w:val="PARA"/>
              <w:rPr>
                <w:rFonts w:cs="Times New Roman"/>
                <w:b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b/>
                <w:sz w:val="18"/>
                <w:szCs w:val="18"/>
                <w:lang w:val="es-CO"/>
              </w:rPr>
              <w:t xml:space="preserve">AUTHOR/DATE </w:t>
            </w:r>
          </w:p>
        </w:tc>
        <w:tc>
          <w:tcPr>
            <w:tcW w:w="3260" w:type="dxa"/>
          </w:tcPr>
          <w:p w14:paraId="428C39EC" w14:textId="77777777" w:rsidR="0020297E" w:rsidRPr="00A10987" w:rsidRDefault="0020297E" w:rsidP="00F74B3C">
            <w:pPr>
              <w:pStyle w:val="PARA"/>
              <w:rPr>
                <w:rFonts w:cs="Times New Roman"/>
                <w:b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b/>
                <w:sz w:val="18"/>
                <w:szCs w:val="18"/>
                <w:lang w:val="es-CO"/>
              </w:rPr>
              <w:t xml:space="preserve">COUNTRY/REGION/SECTOR </w:t>
            </w:r>
          </w:p>
        </w:tc>
      </w:tr>
      <w:tr w:rsidR="0020297E" w:rsidRPr="00A10987" w14:paraId="1139047C" w14:textId="77777777" w:rsidTr="0020297E">
        <w:tc>
          <w:tcPr>
            <w:tcW w:w="3256" w:type="dxa"/>
          </w:tcPr>
          <w:p w14:paraId="6E0A9716" w14:textId="77777777" w:rsidR="0020297E" w:rsidRPr="00A10987" w:rsidRDefault="0020297E" w:rsidP="00F74B3C">
            <w:pPr>
              <w:rPr>
                <w:spacing w:val="-2"/>
                <w:sz w:val="18"/>
                <w:szCs w:val="18"/>
              </w:rPr>
            </w:pPr>
            <w:proofErr w:type="spellStart"/>
            <w:r w:rsidRPr="00A10987">
              <w:rPr>
                <w:spacing w:val="-2"/>
                <w:sz w:val="18"/>
                <w:szCs w:val="18"/>
              </w:rPr>
              <w:t>AeIS</w:t>
            </w:r>
            <w:proofErr w:type="spellEnd"/>
            <w:r w:rsidRPr="00A10987">
              <w:rPr>
                <w:spacing w:val="-2"/>
                <w:sz w:val="18"/>
                <w:szCs w:val="18"/>
              </w:rPr>
              <w:t xml:space="preserve"> (agroecological innovation systems) is defined as learning organizations.</w:t>
            </w:r>
          </w:p>
          <w:p w14:paraId="27530A0D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B54D4B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Castella et al. (2022).</w:t>
            </w:r>
          </w:p>
        </w:tc>
        <w:tc>
          <w:tcPr>
            <w:tcW w:w="3260" w:type="dxa"/>
          </w:tcPr>
          <w:p w14:paraId="41631568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Laos is a country in Southeast Asia.</w:t>
            </w:r>
          </w:p>
        </w:tc>
      </w:tr>
      <w:tr w:rsidR="0020297E" w:rsidRPr="00A10987" w14:paraId="3F328FBB" w14:textId="77777777" w:rsidTr="0020297E">
        <w:tc>
          <w:tcPr>
            <w:tcW w:w="3256" w:type="dxa"/>
          </w:tcPr>
          <w:p w14:paraId="536DCA62" w14:textId="77777777" w:rsidR="0020297E" w:rsidRPr="00A10987" w:rsidRDefault="0020297E" w:rsidP="00F74B3C">
            <w:pPr>
              <w:rPr>
                <w:sz w:val="18"/>
                <w:szCs w:val="18"/>
              </w:rPr>
            </w:pPr>
            <w:r w:rsidRPr="00A10987">
              <w:rPr>
                <w:spacing w:val="-2"/>
                <w:sz w:val="18"/>
                <w:szCs w:val="18"/>
              </w:rPr>
              <w:t>Sustainable Livestock Board Colombia,</w:t>
            </w:r>
            <w:r w:rsidRPr="00A10987">
              <w:rPr>
                <w:sz w:val="18"/>
                <w:szCs w:val="18"/>
              </w:rPr>
              <w:t xml:space="preserve"> zero-deforestation agreements.</w:t>
            </w:r>
          </w:p>
        </w:tc>
        <w:tc>
          <w:tcPr>
            <w:tcW w:w="1417" w:type="dxa"/>
          </w:tcPr>
          <w:p w14:paraId="35F9FA6D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>Enciso et al. (2022)</w:t>
            </w:r>
          </w:p>
        </w:tc>
        <w:tc>
          <w:tcPr>
            <w:tcW w:w="3260" w:type="dxa"/>
          </w:tcPr>
          <w:p w14:paraId="520905DB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>Colombia.</w:t>
            </w:r>
          </w:p>
        </w:tc>
      </w:tr>
      <w:tr w:rsidR="0020297E" w:rsidRPr="00A10987" w14:paraId="0671F52D" w14:textId="77777777" w:rsidTr="0020297E">
        <w:tc>
          <w:tcPr>
            <w:tcW w:w="3256" w:type="dxa"/>
          </w:tcPr>
          <w:p w14:paraId="11C0C55D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 xml:space="preserve">The contribution of farmers' organizations as the main intermediary actor facilitating the process of </w:t>
            </w:r>
            <w:proofErr w:type="spellStart"/>
            <w:r w:rsidRPr="00A10987">
              <w:rPr>
                <w:rFonts w:cs="Times New Roman"/>
                <w:sz w:val="18"/>
                <w:szCs w:val="18"/>
              </w:rPr>
              <w:t>agro</w:t>
            </w:r>
            <w:proofErr w:type="spellEnd"/>
            <w:r w:rsidRPr="00A10987">
              <w:rPr>
                <w:rFonts w:cs="Times New Roman"/>
                <w:sz w:val="18"/>
                <w:szCs w:val="18"/>
              </w:rPr>
              <w:t>-ecological innovation in Burkina Faso</w:t>
            </w:r>
          </w:p>
        </w:tc>
        <w:tc>
          <w:tcPr>
            <w:tcW w:w="1417" w:type="dxa"/>
          </w:tcPr>
          <w:p w14:paraId="2B603EC1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A10987">
              <w:rPr>
                <w:rFonts w:cs="Times New Roman"/>
                <w:sz w:val="18"/>
                <w:szCs w:val="18"/>
              </w:rPr>
              <w:t>Iyabano</w:t>
            </w:r>
            <w:proofErr w:type="spellEnd"/>
            <w:r w:rsidRPr="00A10987">
              <w:rPr>
                <w:rFonts w:cs="Times New Roman"/>
                <w:sz w:val="18"/>
                <w:szCs w:val="18"/>
              </w:rPr>
              <w:t xml:space="preserve"> et al. (2022)</w:t>
            </w:r>
          </w:p>
        </w:tc>
        <w:tc>
          <w:tcPr>
            <w:tcW w:w="3260" w:type="dxa"/>
          </w:tcPr>
          <w:p w14:paraId="26542DE8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>Burkina Faso</w:t>
            </w:r>
          </w:p>
        </w:tc>
      </w:tr>
      <w:tr w:rsidR="0020297E" w:rsidRPr="00A10987" w14:paraId="6CD6A869" w14:textId="77777777" w:rsidTr="0020297E">
        <w:tc>
          <w:tcPr>
            <w:tcW w:w="3256" w:type="dxa"/>
          </w:tcPr>
          <w:p w14:paraId="5CD7754B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Mission-oriented AIS MAIS (can be considered as an 'alternative' AIS or emerge within a country's or sector's dominant AIS) is proposed as a novel approach to analysis.</w:t>
            </w:r>
          </w:p>
        </w:tc>
        <w:tc>
          <w:tcPr>
            <w:tcW w:w="1417" w:type="dxa"/>
          </w:tcPr>
          <w:p w14:paraId="50BBB60E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A10987">
              <w:rPr>
                <w:rFonts w:cs="Times New Roman"/>
                <w:sz w:val="18"/>
                <w:szCs w:val="18"/>
              </w:rPr>
              <w:t>Klerkx</w:t>
            </w:r>
            <w:proofErr w:type="spellEnd"/>
            <w:r w:rsidRPr="00A10987">
              <w:rPr>
                <w:rFonts w:cs="Times New Roman"/>
                <w:sz w:val="18"/>
                <w:szCs w:val="18"/>
              </w:rPr>
              <w:t xml:space="preserve">, L., &amp; </w:t>
            </w:r>
            <w:proofErr w:type="spellStart"/>
            <w:r w:rsidRPr="00A10987">
              <w:rPr>
                <w:rFonts w:cs="Times New Roman"/>
                <w:sz w:val="18"/>
                <w:szCs w:val="18"/>
              </w:rPr>
              <w:t>Begemann</w:t>
            </w:r>
            <w:proofErr w:type="spellEnd"/>
            <w:r w:rsidRPr="00A10987">
              <w:rPr>
                <w:rFonts w:cs="Times New Roman"/>
                <w:sz w:val="18"/>
                <w:szCs w:val="18"/>
              </w:rPr>
              <w:t>, S. (2020)</w:t>
            </w:r>
          </w:p>
        </w:tc>
        <w:tc>
          <w:tcPr>
            <w:tcW w:w="3260" w:type="dxa"/>
          </w:tcPr>
          <w:p w14:paraId="4C4421EF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20297E" w:rsidRPr="00A10987" w14:paraId="55911741" w14:textId="77777777" w:rsidTr="0020297E">
        <w:tc>
          <w:tcPr>
            <w:tcW w:w="3256" w:type="dxa"/>
          </w:tcPr>
          <w:p w14:paraId="0207B524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The use of social capital for learning and innovation</w:t>
            </w:r>
          </w:p>
        </w:tc>
        <w:tc>
          <w:tcPr>
            <w:tcW w:w="1417" w:type="dxa"/>
          </w:tcPr>
          <w:p w14:paraId="7CBCD641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A10987">
              <w:rPr>
                <w:rFonts w:cs="Times New Roman"/>
                <w:sz w:val="18"/>
                <w:szCs w:val="18"/>
              </w:rPr>
              <w:t>Cofré</w:t>
            </w:r>
            <w:proofErr w:type="spellEnd"/>
            <w:r w:rsidRPr="00A10987">
              <w:rPr>
                <w:rFonts w:cs="Times New Roman"/>
                <w:sz w:val="18"/>
                <w:szCs w:val="18"/>
              </w:rPr>
              <w:t>-Bravo et al. (2019)</w:t>
            </w:r>
          </w:p>
        </w:tc>
        <w:tc>
          <w:tcPr>
            <w:tcW w:w="3260" w:type="dxa"/>
          </w:tcPr>
          <w:p w14:paraId="737473F3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20297E" w:rsidRPr="00A10987" w14:paraId="4F0C0E2B" w14:textId="77777777" w:rsidTr="0020297E">
        <w:tc>
          <w:tcPr>
            <w:tcW w:w="3256" w:type="dxa"/>
          </w:tcPr>
          <w:p w14:paraId="3A35FAB2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Shamba Shape Up (reality TV) to share successful ideas.</w:t>
            </w:r>
          </w:p>
        </w:tc>
        <w:tc>
          <w:tcPr>
            <w:tcW w:w="1417" w:type="dxa"/>
          </w:tcPr>
          <w:p w14:paraId="43DF4F96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Clarkson et al. (2018)</w:t>
            </w:r>
          </w:p>
        </w:tc>
        <w:tc>
          <w:tcPr>
            <w:tcW w:w="3260" w:type="dxa"/>
          </w:tcPr>
          <w:p w14:paraId="68FD0DEC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>East Africa</w:t>
            </w:r>
          </w:p>
        </w:tc>
      </w:tr>
      <w:tr w:rsidR="0020297E" w:rsidRPr="00A10987" w14:paraId="54EB2A76" w14:textId="77777777" w:rsidTr="0020297E">
        <w:tc>
          <w:tcPr>
            <w:tcW w:w="3256" w:type="dxa"/>
          </w:tcPr>
          <w:p w14:paraId="1C8875FE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A systems-based approach to social-ecological resilience and agricultural innovation frameworks to understand how social capital can facilitate adaptive capacity in diverse small-scale farming contexts; how formal and informal institutions interact in domestic agriculture; and how food systems affect collaboration, joint learning, and collective action; among others.</w:t>
            </w:r>
          </w:p>
        </w:tc>
        <w:tc>
          <w:tcPr>
            <w:tcW w:w="1417" w:type="dxa"/>
          </w:tcPr>
          <w:p w14:paraId="3A235A1B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Saint Ville et al. (2015)</w:t>
            </w:r>
          </w:p>
        </w:tc>
        <w:tc>
          <w:tcPr>
            <w:tcW w:w="3260" w:type="dxa"/>
          </w:tcPr>
          <w:p w14:paraId="79448690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CARICOM</w:t>
            </w:r>
          </w:p>
        </w:tc>
      </w:tr>
      <w:tr w:rsidR="0020297E" w:rsidRPr="00A10987" w14:paraId="45934B6C" w14:textId="77777777" w:rsidTr="0020297E">
        <w:tc>
          <w:tcPr>
            <w:tcW w:w="3256" w:type="dxa"/>
          </w:tcPr>
          <w:p w14:paraId="5CC8DD49" w14:textId="77777777" w:rsidR="0020297E" w:rsidRPr="00A10987" w:rsidRDefault="0020297E" w:rsidP="00F74B3C">
            <w:pPr>
              <w:pStyle w:val="PARA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Roles and limitations of farmer cooperatives as innovation intermediaries.</w:t>
            </w:r>
          </w:p>
        </w:tc>
        <w:tc>
          <w:tcPr>
            <w:tcW w:w="1417" w:type="dxa"/>
          </w:tcPr>
          <w:p w14:paraId="20DE335B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Yang et al. (2014)</w:t>
            </w:r>
          </w:p>
        </w:tc>
        <w:tc>
          <w:tcPr>
            <w:tcW w:w="3260" w:type="dxa"/>
          </w:tcPr>
          <w:p w14:paraId="0764EAE0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 xml:space="preserve">China </w:t>
            </w:r>
          </w:p>
        </w:tc>
      </w:tr>
      <w:tr w:rsidR="0020297E" w:rsidRPr="00A10987" w14:paraId="7BA62E2E" w14:textId="77777777" w:rsidTr="0020297E">
        <w:tc>
          <w:tcPr>
            <w:tcW w:w="3256" w:type="dxa"/>
          </w:tcPr>
          <w:p w14:paraId="3EC142FB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How could gender concerns be integrated into activities that seek to promote innovation?</w:t>
            </w:r>
          </w:p>
        </w:tc>
        <w:tc>
          <w:tcPr>
            <w:tcW w:w="1417" w:type="dxa"/>
          </w:tcPr>
          <w:p w14:paraId="17335B5F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>Kingiri (2013)</w:t>
            </w:r>
          </w:p>
        </w:tc>
        <w:tc>
          <w:tcPr>
            <w:tcW w:w="3260" w:type="dxa"/>
          </w:tcPr>
          <w:p w14:paraId="28450A3A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  <w:lang w:val="es-CO"/>
              </w:rPr>
            </w:pPr>
          </w:p>
        </w:tc>
      </w:tr>
      <w:tr w:rsidR="0020297E" w:rsidRPr="00A10987" w14:paraId="37A56F3C" w14:textId="77777777" w:rsidTr="0020297E">
        <w:tc>
          <w:tcPr>
            <w:tcW w:w="3256" w:type="dxa"/>
          </w:tcPr>
          <w:p w14:paraId="3146961E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PROLINNOVA (Promotion of Local Innovation) is a national learning network for the promotion of local innovation in ecologically oriented agriculture and natural resource management.</w:t>
            </w:r>
          </w:p>
        </w:tc>
        <w:tc>
          <w:tcPr>
            <w:tcW w:w="1417" w:type="dxa"/>
          </w:tcPr>
          <w:p w14:paraId="7BF9DD07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A10987">
              <w:rPr>
                <w:rFonts w:cs="Times New Roman"/>
                <w:sz w:val="18"/>
                <w:szCs w:val="18"/>
              </w:rPr>
              <w:t>Sseguya</w:t>
            </w:r>
            <w:proofErr w:type="spellEnd"/>
            <w:r w:rsidRPr="00A10987">
              <w:rPr>
                <w:rFonts w:cs="Times New Roman"/>
                <w:sz w:val="18"/>
                <w:szCs w:val="18"/>
              </w:rPr>
              <w:t xml:space="preserve"> (2012)</w:t>
            </w:r>
          </w:p>
        </w:tc>
        <w:tc>
          <w:tcPr>
            <w:tcW w:w="3260" w:type="dxa"/>
          </w:tcPr>
          <w:p w14:paraId="3BA15778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>Distrito de Kamuli (</w:t>
            </w:r>
            <w:r w:rsidRPr="00A10987">
              <w:rPr>
                <w:rFonts w:cs="Times New Roman"/>
                <w:iCs/>
                <w:sz w:val="18"/>
                <w:szCs w:val="18"/>
                <w:lang w:val="es-CO"/>
              </w:rPr>
              <w:t>Southeast Uganda)</w:t>
            </w:r>
            <w:r w:rsidRPr="00A10987">
              <w:rPr>
                <w:rFonts w:cs="Times New Roman"/>
                <w:iCs/>
                <w:sz w:val="18"/>
                <w:szCs w:val="18"/>
                <w:lang w:val="es-CO"/>
              </w:rPr>
              <w:tab/>
            </w:r>
          </w:p>
        </w:tc>
      </w:tr>
      <w:tr w:rsidR="0020297E" w:rsidRPr="00A10987" w14:paraId="61F44C6A" w14:textId="77777777" w:rsidTr="0020297E">
        <w:tc>
          <w:tcPr>
            <w:tcW w:w="3256" w:type="dxa"/>
          </w:tcPr>
          <w:p w14:paraId="60A92610" w14:textId="77777777" w:rsidR="0020297E" w:rsidRPr="00A10987" w:rsidRDefault="0020297E" w:rsidP="00F74B3C">
            <w:pPr>
              <w:pStyle w:val="PARA"/>
              <w:rPr>
                <w:rFonts w:cs="Times New Roman"/>
                <w:b/>
                <w:bCs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b/>
                <w:bCs/>
                <w:sz w:val="18"/>
                <w:szCs w:val="18"/>
                <w:lang w:val="es-CO"/>
              </w:rPr>
              <w:t>Best practices</w:t>
            </w:r>
          </w:p>
        </w:tc>
        <w:tc>
          <w:tcPr>
            <w:tcW w:w="1417" w:type="dxa"/>
          </w:tcPr>
          <w:p w14:paraId="542628C6" w14:textId="77777777" w:rsidR="0020297E" w:rsidRPr="00A10987" w:rsidRDefault="0020297E" w:rsidP="00F74B3C">
            <w:pPr>
              <w:pStyle w:val="PARA"/>
              <w:rPr>
                <w:rFonts w:cs="Times New Roman"/>
                <w:b/>
                <w:bCs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b/>
                <w:bCs/>
                <w:sz w:val="18"/>
                <w:szCs w:val="18"/>
                <w:lang w:val="es-CO"/>
              </w:rPr>
              <w:t xml:space="preserve">AUTHOR/DATE </w:t>
            </w:r>
            <w:r w:rsidRPr="00A10987">
              <w:rPr>
                <w:rFonts w:cs="Times New Roman"/>
                <w:b/>
                <w:bCs/>
                <w:sz w:val="18"/>
                <w:szCs w:val="18"/>
                <w:lang w:val="es-CO"/>
              </w:rPr>
              <w:tab/>
            </w:r>
          </w:p>
        </w:tc>
        <w:tc>
          <w:tcPr>
            <w:tcW w:w="3260" w:type="dxa"/>
          </w:tcPr>
          <w:p w14:paraId="56F72286" w14:textId="77777777" w:rsidR="0020297E" w:rsidRPr="00A10987" w:rsidRDefault="0020297E" w:rsidP="00F74B3C">
            <w:pPr>
              <w:pStyle w:val="PARA"/>
              <w:rPr>
                <w:rFonts w:cs="Times New Roman"/>
                <w:b/>
                <w:bCs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b/>
                <w:bCs/>
                <w:sz w:val="18"/>
                <w:szCs w:val="18"/>
                <w:lang w:val="es-CO"/>
              </w:rPr>
              <w:t>COUNTRY/REGION/SECTOR</w:t>
            </w:r>
          </w:p>
        </w:tc>
      </w:tr>
      <w:tr w:rsidR="0020297E" w:rsidRPr="00A10987" w14:paraId="05BFA558" w14:textId="77777777" w:rsidTr="0020297E">
        <w:tc>
          <w:tcPr>
            <w:tcW w:w="3256" w:type="dxa"/>
          </w:tcPr>
          <w:p w14:paraId="74246143" w14:textId="77777777" w:rsidR="0020297E" w:rsidRPr="00A10987" w:rsidRDefault="0020297E" w:rsidP="00F74B3C">
            <w:pPr>
              <w:pStyle w:val="PARA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Recycling of human excreta in agricultural food systems.</w:t>
            </w:r>
          </w:p>
        </w:tc>
        <w:tc>
          <w:tcPr>
            <w:tcW w:w="1417" w:type="dxa"/>
          </w:tcPr>
          <w:p w14:paraId="32B4309E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</w:rPr>
            </w:pPr>
            <w:proofErr w:type="spellStart"/>
            <w:r w:rsidRPr="00A10987">
              <w:rPr>
                <w:rFonts w:cs="Times New Roman"/>
                <w:sz w:val="18"/>
                <w:szCs w:val="18"/>
              </w:rPr>
              <w:t>Gwara</w:t>
            </w:r>
            <w:proofErr w:type="spellEnd"/>
            <w:r w:rsidRPr="00A10987">
              <w:rPr>
                <w:rFonts w:cs="Times New Roman"/>
                <w:sz w:val="18"/>
                <w:szCs w:val="18"/>
              </w:rPr>
              <w:t xml:space="preserve"> et al. (2022)</w:t>
            </w:r>
          </w:p>
        </w:tc>
        <w:tc>
          <w:tcPr>
            <w:tcW w:w="3260" w:type="dxa"/>
          </w:tcPr>
          <w:p w14:paraId="45B9D8D1" w14:textId="77777777" w:rsidR="0020297E" w:rsidRPr="00A10987" w:rsidRDefault="0020297E" w:rsidP="00F74B3C">
            <w:pPr>
              <w:pStyle w:val="PARA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20297E" w:rsidRPr="00A10987" w14:paraId="6FA5FE7E" w14:textId="77777777" w:rsidTr="0020297E">
        <w:tc>
          <w:tcPr>
            <w:tcW w:w="3256" w:type="dxa"/>
          </w:tcPr>
          <w:p w14:paraId="2436C529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 xml:space="preserve">The </w:t>
            </w:r>
            <w:proofErr w:type="spellStart"/>
            <w:r w:rsidRPr="00A10987">
              <w:rPr>
                <w:rFonts w:cs="Times New Roman"/>
                <w:sz w:val="18"/>
                <w:szCs w:val="18"/>
              </w:rPr>
              <w:t>MiDA</w:t>
            </w:r>
            <w:proofErr w:type="spellEnd"/>
            <w:r w:rsidRPr="00A10987">
              <w:rPr>
                <w:rFonts w:cs="Times New Roman"/>
                <w:sz w:val="18"/>
                <w:szCs w:val="18"/>
              </w:rPr>
              <w:t xml:space="preserve"> (Millennium Development Authority) program consolidated </w:t>
            </w:r>
            <w:r w:rsidRPr="00A10987">
              <w:rPr>
                <w:rFonts w:cs="Times New Roman"/>
                <w:sz w:val="18"/>
                <w:szCs w:val="18"/>
              </w:rPr>
              <w:lastRenderedPageBreak/>
              <w:t xml:space="preserve">innovations such as the development of business plans, efficient marketing, diversification of agricultural activities, and the value chain approach to agriculture.  Global </w:t>
            </w:r>
            <w:proofErr w:type="gramStart"/>
            <w:r w:rsidRPr="00A10987">
              <w:rPr>
                <w:rFonts w:cs="Times New Roman"/>
                <w:sz w:val="18"/>
                <w:szCs w:val="18"/>
              </w:rPr>
              <w:t>Best  Agricultural</w:t>
            </w:r>
            <w:proofErr w:type="gramEnd"/>
            <w:r w:rsidRPr="00A10987">
              <w:rPr>
                <w:rFonts w:cs="Times New Roman"/>
                <w:sz w:val="18"/>
                <w:szCs w:val="18"/>
              </w:rPr>
              <w:t xml:space="preserve"> Practices (GAP) remained a dominant standardization requirement.</w:t>
            </w:r>
          </w:p>
        </w:tc>
        <w:tc>
          <w:tcPr>
            <w:tcW w:w="1417" w:type="dxa"/>
          </w:tcPr>
          <w:p w14:paraId="64368577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lastRenderedPageBreak/>
              <w:t>Ankrah (2022)</w:t>
            </w:r>
          </w:p>
          <w:p w14:paraId="1AAB22B0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25E8877" w14:textId="77777777" w:rsidR="0020297E" w:rsidRPr="00A10987" w:rsidRDefault="0020297E" w:rsidP="00F74B3C">
            <w:pPr>
              <w:pStyle w:val="PARA"/>
              <w:rPr>
                <w:rFonts w:cs="Times New Roman"/>
                <w:b/>
                <w:bCs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Ghana and, by extension, in sub-Saharan Africa.</w:t>
            </w:r>
          </w:p>
        </w:tc>
      </w:tr>
      <w:tr w:rsidR="0020297E" w:rsidRPr="00A10987" w14:paraId="13EE4526" w14:textId="77777777" w:rsidTr="0020297E">
        <w:tc>
          <w:tcPr>
            <w:tcW w:w="3256" w:type="dxa"/>
          </w:tcPr>
          <w:p w14:paraId="4E2109A1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</w:rPr>
            </w:pPr>
            <w:proofErr w:type="spellStart"/>
            <w:r w:rsidRPr="00A10987">
              <w:rPr>
                <w:rFonts w:cs="Times New Roman"/>
                <w:sz w:val="18"/>
                <w:szCs w:val="18"/>
              </w:rPr>
              <w:t>AfricaRice</w:t>
            </w:r>
            <w:proofErr w:type="spellEnd"/>
            <w:r w:rsidRPr="00A10987">
              <w:rPr>
                <w:rFonts w:cs="Times New Roman"/>
                <w:sz w:val="18"/>
                <w:szCs w:val="18"/>
              </w:rPr>
              <w:t xml:space="preserve"> and its contribution to the rice sector in Benin might have contributed, directly or indirectly, to the significant absence of a gender gap in the knowledge and use of rice farming technologies.</w:t>
            </w:r>
          </w:p>
        </w:tc>
        <w:tc>
          <w:tcPr>
            <w:tcW w:w="1417" w:type="dxa"/>
          </w:tcPr>
          <w:p w14:paraId="647B4804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A10987">
              <w:rPr>
                <w:rFonts w:cs="Times New Roman"/>
                <w:sz w:val="18"/>
                <w:szCs w:val="18"/>
              </w:rPr>
              <w:t>Zossou</w:t>
            </w:r>
            <w:proofErr w:type="spellEnd"/>
            <w:r w:rsidRPr="00A10987">
              <w:rPr>
                <w:rFonts w:cs="Times New Roman"/>
                <w:sz w:val="18"/>
                <w:szCs w:val="18"/>
              </w:rPr>
              <w:t xml:space="preserve"> et al. (2021)</w:t>
            </w:r>
          </w:p>
        </w:tc>
        <w:tc>
          <w:tcPr>
            <w:tcW w:w="3260" w:type="dxa"/>
          </w:tcPr>
          <w:p w14:paraId="6886BC2F" w14:textId="77777777" w:rsidR="0020297E" w:rsidRPr="00A10987" w:rsidRDefault="0020297E" w:rsidP="00F74B3C">
            <w:pPr>
              <w:pStyle w:val="PARA"/>
              <w:rPr>
                <w:rFonts w:cs="Times New Roman"/>
                <w:b/>
                <w:bCs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>Benin, Nigeria, and Togo</w:t>
            </w:r>
          </w:p>
        </w:tc>
      </w:tr>
      <w:tr w:rsidR="0020297E" w:rsidRPr="00A10987" w14:paraId="3B5B895E" w14:textId="77777777" w:rsidTr="0020297E">
        <w:tc>
          <w:tcPr>
            <w:tcW w:w="3256" w:type="dxa"/>
          </w:tcPr>
          <w:p w14:paraId="36DF6FC3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 xml:space="preserve">Reflective Monitoring (RM) is a vital practice for the success of co-innovation projects. Each co-innovation project, allows stakeholders to create a space where they can represent their collective transitions toward project outcomes. </w:t>
            </w:r>
          </w:p>
        </w:tc>
        <w:tc>
          <w:tcPr>
            <w:tcW w:w="1417" w:type="dxa"/>
          </w:tcPr>
          <w:p w14:paraId="34CF6515" w14:textId="77777777" w:rsidR="0020297E" w:rsidRPr="00A10987" w:rsidRDefault="0020297E" w:rsidP="00F74B3C">
            <w:pPr>
              <w:pStyle w:val="PARA"/>
              <w:rPr>
                <w:rFonts w:cs="Times New Roman"/>
                <w:bCs/>
                <w:sz w:val="18"/>
                <w:szCs w:val="18"/>
              </w:rPr>
            </w:pPr>
            <w:proofErr w:type="spellStart"/>
            <w:r w:rsidRPr="00A10987">
              <w:rPr>
                <w:rFonts w:cs="Times New Roman"/>
                <w:bCs/>
                <w:sz w:val="18"/>
                <w:szCs w:val="18"/>
              </w:rPr>
              <w:t>Fielke</w:t>
            </w:r>
            <w:proofErr w:type="spellEnd"/>
            <w:r w:rsidRPr="00A10987">
              <w:rPr>
                <w:rFonts w:cs="Times New Roman"/>
                <w:bCs/>
                <w:sz w:val="18"/>
                <w:szCs w:val="18"/>
              </w:rPr>
              <w:t xml:space="preserve"> et al. (2016)</w:t>
            </w:r>
          </w:p>
        </w:tc>
        <w:tc>
          <w:tcPr>
            <w:tcW w:w="3260" w:type="dxa"/>
          </w:tcPr>
          <w:p w14:paraId="136596EC" w14:textId="77777777" w:rsidR="0020297E" w:rsidRPr="00A10987" w:rsidRDefault="0020297E" w:rsidP="00F74B3C">
            <w:pPr>
              <w:pStyle w:val="PARA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20297E" w:rsidRPr="00A10987" w14:paraId="79715500" w14:textId="77777777" w:rsidTr="0020297E">
        <w:tc>
          <w:tcPr>
            <w:tcW w:w="3256" w:type="dxa"/>
          </w:tcPr>
          <w:p w14:paraId="41B1A660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The use of an integrated system approach to innovation for the solution of the problem of parasitic weeds in rice, at different stakeholders and levels of integration.</w:t>
            </w:r>
          </w:p>
        </w:tc>
        <w:tc>
          <w:tcPr>
            <w:tcW w:w="1417" w:type="dxa"/>
          </w:tcPr>
          <w:p w14:paraId="574898CD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>Rodenburg (2015)</w:t>
            </w:r>
          </w:p>
        </w:tc>
        <w:tc>
          <w:tcPr>
            <w:tcW w:w="3260" w:type="dxa"/>
          </w:tcPr>
          <w:p w14:paraId="171AC7D8" w14:textId="77777777" w:rsidR="0020297E" w:rsidRPr="00A10987" w:rsidRDefault="0020297E" w:rsidP="00F74B3C">
            <w:pPr>
              <w:pStyle w:val="PARA"/>
              <w:rPr>
                <w:rFonts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  <w:tr w:rsidR="0020297E" w:rsidRPr="00A10987" w14:paraId="6AED6127" w14:textId="77777777" w:rsidTr="0020297E">
        <w:tc>
          <w:tcPr>
            <w:tcW w:w="3256" w:type="dxa"/>
          </w:tcPr>
          <w:p w14:paraId="0BD6CF4C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b/>
                <w:bCs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b/>
                <w:bCs/>
                <w:sz w:val="18"/>
                <w:szCs w:val="18"/>
                <w:lang w:val="es-CO"/>
              </w:rPr>
              <w:t>PROJECTS</w:t>
            </w:r>
          </w:p>
        </w:tc>
        <w:tc>
          <w:tcPr>
            <w:tcW w:w="1417" w:type="dxa"/>
          </w:tcPr>
          <w:p w14:paraId="4ADB5879" w14:textId="77777777" w:rsidR="0020297E" w:rsidRPr="00A10987" w:rsidRDefault="0020297E" w:rsidP="00F74B3C">
            <w:pPr>
              <w:pStyle w:val="PARA"/>
              <w:rPr>
                <w:rFonts w:cs="Times New Roman"/>
                <w:b/>
                <w:bCs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b/>
                <w:sz w:val="18"/>
                <w:szCs w:val="18"/>
                <w:lang w:val="es-CO"/>
              </w:rPr>
              <w:t xml:space="preserve">AUTHOR/DATE </w:t>
            </w:r>
          </w:p>
        </w:tc>
        <w:tc>
          <w:tcPr>
            <w:tcW w:w="3260" w:type="dxa"/>
          </w:tcPr>
          <w:p w14:paraId="5BDDE6D5" w14:textId="77777777" w:rsidR="0020297E" w:rsidRPr="00A10987" w:rsidRDefault="0020297E" w:rsidP="00F74B3C">
            <w:pPr>
              <w:pStyle w:val="PARA"/>
              <w:rPr>
                <w:rFonts w:cs="Times New Roman"/>
                <w:b/>
                <w:bCs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b/>
                <w:sz w:val="18"/>
                <w:szCs w:val="18"/>
                <w:lang w:val="es-CO"/>
              </w:rPr>
              <w:t xml:space="preserve">COUNTRY/REGION/SECTOR </w:t>
            </w:r>
          </w:p>
        </w:tc>
      </w:tr>
      <w:tr w:rsidR="0020297E" w:rsidRPr="00A10987" w14:paraId="7C6D420C" w14:textId="77777777" w:rsidTr="0020297E">
        <w:tc>
          <w:tcPr>
            <w:tcW w:w="3256" w:type="dxa"/>
          </w:tcPr>
          <w:p w14:paraId="2FB504F6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H2020 projects EU projects for agriculture, forestry, and related sector R+I</w:t>
            </w:r>
          </w:p>
        </w:tc>
        <w:tc>
          <w:tcPr>
            <w:tcW w:w="1417" w:type="dxa"/>
          </w:tcPr>
          <w:p w14:paraId="4E8C2B81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>Cronin et al. (2022)</w:t>
            </w:r>
          </w:p>
        </w:tc>
        <w:tc>
          <w:tcPr>
            <w:tcW w:w="3260" w:type="dxa"/>
          </w:tcPr>
          <w:p w14:paraId="726DE168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>European Union.</w:t>
            </w:r>
          </w:p>
        </w:tc>
      </w:tr>
      <w:tr w:rsidR="0020297E" w:rsidRPr="00A10987" w14:paraId="470D0B22" w14:textId="77777777" w:rsidTr="0020297E">
        <w:tc>
          <w:tcPr>
            <w:tcW w:w="3256" w:type="dxa"/>
          </w:tcPr>
          <w:p w14:paraId="068BBC86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r w:rsidRPr="00A10987">
              <w:rPr>
                <w:rFonts w:cs="Times New Roman"/>
                <w:sz w:val="18"/>
                <w:szCs w:val="18"/>
              </w:rPr>
              <w:t xml:space="preserve">(2022), discuss </w:t>
            </w:r>
            <w:proofErr w:type="spellStart"/>
            <w:r w:rsidRPr="00A10987">
              <w:rPr>
                <w:rFonts w:cs="Times New Roman"/>
                <w:sz w:val="18"/>
                <w:szCs w:val="18"/>
              </w:rPr>
              <w:t>Digiscape</w:t>
            </w:r>
            <w:proofErr w:type="spellEnd"/>
            <w:r w:rsidRPr="00A10987">
              <w:rPr>
                <w:rFonts w:cs="Times New Roman"/>
                <w:sz w:val="18"/>
                <w:szCs w:val="18"/>
              </w:rPr>
              <w:t xml:space="preserve"> Future Science Platform, a program that seeks to facilitate the digital transformation of Australia's agricultural industries and land-based sector.</w:t>
            </w:r>
          </w:p>
        </w:tc>
        <w:tc>
          <w:tcPr>
            <w:tcW w:w="1417" w:type="dxa"/>
          </w:tcPr>
          <w:p w14:paraId="39CC2564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</w:rPr>
            </w:pPr>
            <w:proofErr w:type="spellStart"/>
            <w:r w:rsidRPr="00A10987">
              <w:rPr>
                <w:rFonts w:cs="Times New Roman"/>
                <w:sz w:val="18"/>
                <w:szCs w:val="18"/>
              </w:rPr>
              <w:t>Aplogan</w:t>
            </w:r>
            <w:proofErr w:type="spellEnd"/>
            <w:r w:rsidRPr="00A10987">
              <w:rPr>
                <w:rFonts w:cs="Times New Roman"/>
                <w:sz w:val="18"/>
                <w:szCs w:val="18"/>
              </w:rPr>
              <w:t xml:space="preserve"> et al. (2022)</w:t>
            </w:r>
          </w:p>
        </w:tc>
        <w:tc>
          <w:tcPr>
            <w:tcW w:w="3260" w:type="dxa"/>
          </w:tcPr>
          <w:p w14:paraId="67C33675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>Australia</w:t>
            </w:r>
          </w:p>
        </w:tc>
      </w:tr>
      <w:tr w:rsidR="0020297E" w:rsidRPr="00A10987" w14:paraId="0E8E23AE" w14:textId="77777777" w:rsidTr="0020297E">
        <w:tc>
          <w:tcPr>
            <w:tcW w:w="3256" w:type="dxa"/>
          </w:tcPr>
          <w:p w14:paraId="5A70EF04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proofErr w:type="gramStart"/>
            <w:r w:rsidRPr="00A10987">
              <w:rPr>
                <w:rFonts w:cs="Times New Roman"/>
                <w:sz w:val="18"/>
                <w:szCs w:val="18"/>
              </w:rPr>
              <w:t>The  Dutch</w:t>
            </w:r>
            <w:proofErr w:type="gramEnd"/>
            <w:r w:rsidRPr="00A10987">
              <w:rPr>
                <w:rFonts w:cs="Times New Roman"/>
                <w:sz w:val="18"/>
                <w:szCs w:val="18"/>
              </w:rPr>
              <w:t xml:space="preserve"> and Australian dairy industries address different time horizons, different levels of innovation complexity, and different challenges facing the dairy sectors in both countries.</w:t>
            </w:r>
          </w:p>
        </w:tc>
        <w:tc>
          <w:tcPr>
            <w:tcW w:w="1417" w:type="dxa"/>
          </w:tcPr>
          <w:p w14:paraId="398E5A39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>Klerkx (2013)</w:t>
            </w:r>
          </w:p>
        </w:tc>
        <w:tc>
          <w:tcPr>
            <w:tcW w:w="3260" w:type="dxa"/>
          </w:tcPr>
          <w:p w14:paraId="25281A85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>Australia and the Netherlands.</w:t>
            </w:r>
          </w:p>
        </w:tc>
      </w:tr>
      <w:tr w:rsidR="0020297E" w:rsidRPr="00A10987" w14:paraId="105E5E87" w14:textId="77777777" w:rsidTr="0020297E">
        <w:tc>
          <w:tcPr>
            <w:tcW w:w="3256" w:type="dxa"/>
          </w:tcPr>
          <w:p w14:paraId="7DFB88FF" w14:textId="77777777" w:rsidR="0020297E" w:rsidRPr="00A10987" w:rsidRDefault="0020297E" w:rsidP="00F74B3C">
            <w:pPr>
              <w:pStyle w:val="PARA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A10987">
              <w:rPr>
                <w:rFonts w:cs="Times New Roman"/>
                <w:sz w:val="18"/>
                <w:szCs w:val="18"/>
              </w:rPr>
              <w:t>CoS</w:t>
            </w:r>
            <w:proofErr w:type="spellEnd"/>
            <w:r w:rsidRPr="00A10987">
              <w:rPr>
                <w:rFonts w:cs="Times New Roman"/>
                <w:sz w:val="18"/>
                <w:szCs w:val="18"/>
              </w:rPr>
              <w:t xml:space="preserve"> (Convergence Science Program) as agricultural research impacts the livelihoods of resource-poor farmers in West Africa.</w:t>
            </w:r>
          </w:p>
        </w:tc>
        <w:tc>
          <w:tcPr>
            <w:tcW w:w="1417" w:type="dxa"/>
          </w:tcPr>
          <w:p w14:paraId="35C3A715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>Nederlof (2007)</w:t>
            </w:r>
          </w:p>
        </w:tc>
        <w:tc>
          <w:tcPr>
            <w:tcW w:w="3260" w:type="dxa"/>
          </w:tcPr>
          <w:p w14:paraId="2DEDA1A1" w14:textId="77777777" w:rsidR="0020297E" w:rsidRPr="00A10987" w:rsidRDefault="0020297E" w:rsidP="00F74B3C">
            <w:pPr>
              <w:pStyle w:val="PARA"/>
              <w:rPr>
                <w:rFonts w:cs="Times New Roman"/>
                <w:sz w:val="18"/>
                <w:szCs w:val="18"/>
                <w:lang w:val="es-CO"/>
              </w:rPr>
            </w:pPr>
            <w:r w:rsidRPr="00A10987">
              <w:rPr>
                <w:rFonts w:cs="Times New Roman"/>
                <w:sz w:val="18"/>
                <w:szCs w:val="18"/>
                <w:lang w:val="es-CO"/>
              </w:rPr>
              <w:t>West Africa</w:t>
            </w:r>
          </w:p>
        </w:tc>
      </w:tr>
    </w:tbl>
    <w:p w14:paraId="0F5D2DFF" w14:textId="77777777" w:rsidR="00963195" w:rsidRPr="00A10987" w:rsidRDefault="00963195">
      <w:pPr>
        <w:rPr>
          <w:sz w:val="32"/>
          <w:szCs w:val="32"/>
        </w:rPr>
      </w:pPr>
    </w:p>
    <w:sectPr w:rsidR="00963195" w:rsidRPr="00A109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St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95"/>
    <w:rsid w:val="0020297E"/>
    <w:rsid w:val="005F0D7B"/>
    <w:rsid w:val="00963195"/>
    <w:rsid w:val="00A1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7D1F"/>
  <w15:chartTrackingRefBased/>
  <w15:docId w15:val="{D3115083-A372-4D23-B2CF-D0A685F8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ormal"/>
    <w:rsid w:val="0020297E"/>
    <w:pPr>
      <w:suppressAutoHyphens/>
      <w:autoSpaceDE w:val="0"/>
      <w:autoSpaceDN w:val="0"/>
      <w:adjustRightInd w:val="0"/>
      <w:spacing w:line="240" w:lineRule="exact"/>
      <w:jc w:val="both"/>
    </w:pPr>
    <w:rPr>
      <w:rFonts w:cs="TimesLTStd-Roman"/>
      <w:spacing w:val="-2"/>
      <w:sz w:val="20"/>
      <w:szCs w:val="20"/>
    </w:rPr>
  </w:style>
  <w:style w:type="table" w:styleId="TableGrid">
    <w:name w:val="Table Grid"/>
    <w:basedOn w:val="TableNormal"/>
    <w:uiPriority w:val="39"/>
    <w:rsid w:val="0020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Gutierrez Cano</dc:creator>
  <cp:keywords/>
  <dc:description/>
  <cp:lastModifiedBy>Laura Davis</cp:lastModifiedBy>
  <cp:revision>2</cp:revision>
  <dcterms:created xsi:type="dcterms:W3CDTF">2023-06-05T08:19:00Z</dcterms:created>
  <dcterms:modified xsi:type="dcterms:W3CDTF">2023-06-05T08:19:00Z</dcterms:modified>
</cp:coreProperties>
</file>