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B6EF" w14:textId="77777777" w:rsidR="0006474D" w:rsidRPr="004D32BA" w:rsidRDefault="0006474D" w:rsidP="0006474D">
      <w:pPr>
        <w:pStyle w:val="Sinespaciado"/>
        <w:spacing w:line="360" w:lineRule="auto"/>
        <w:rPr>
          <w:rFonts w:ascii="Times New Roman" w:hAnsi="Times New Roman" w:cs="Times New Roman"/>
          <w:sz w:val="24"/>
          <w:szCs w:val="24"/>
          <w:u w:val="single"/>
        </w:rPr>
      </w:pPr>
      <w:bookmarkStart w:id="0" w:name="_GoBack"/>
      <w:bookmarkEnd w:id="0"/>
      <w:r w:rsidRPr="004D32BA">
        <w:rPr>
          <w:rFonts w:ascii="Times New Roman" w:hAnsi="Times New Roman" w:cs="Times New Roman"/>
          <w:sz w:val="24"/>
          <w:szCs w:val="24"/>
          <w:u w:val="single"/>
        </w:rPr>
        <w:t>Supplementary Table S</w:t>
      </w:r>
      <w:r>
        <w:rPr>
          <w:rFonts w:ascii="Times New Roman" w:hAnsi="Times New Roman" w:cs="Times New Roman"/>
          <w:sz w:val="24"/>
          <w:szCs w:val="24"/>
          <w:u w:val="single"/>
        </w:rPr>
        <w:t>1</w:t>
      </w:r>
      <w:r w:rsidRPr="004D32BA">
        <w:rPr>
          <w:rFonts w:ascii="Times New Roman" w:hAnsi="Times New Roman" w:cs="Times New Roman"/>
          <w:sz w:val="24"/>
          <w:szCs w:val="24"/>
          <w:u w:val="single"/>
        </w:rPr>
        <w:t>. Primers for making and verification of DNA cassette and DNA deletions</w:t>
      </w:r>
    </w:p>
    <w:p w14:paraId="3E7DCCEF" w14:textId="77777777" w:rsidR="0006474D" w:rsidRPr="004D32BA" w:rsidRDefault="0006474D" w:rsidP="0006474D">
      <w:pPr>
        <w:pStyle w:val="Sinespaciado"/>
        <w:spacing w:line="360" w:lineRule="auto"/>
        <w:rPr>
          <w:rFonts w:ascii="Times New Roman" w:hAnsi="Times New Roman" w:cs="Times New Roman"/>
          <w:sz w:val="24"/>
          <w:szCs w:val="24"/>
          <w:u w:val="single"/>
        </w:rPr>
      </w:pPr>
    </w:p>
    <w:tbl>
      <w:tblPr>
        <w:tblStyle w:val="Tablanormal2"/>
        <w:tblW w:w="0" w:type="auto"/>
        <w:tblLayout w:type="fixed"/>
        <w:tblLook w:val="04A0" w:firstRow="1" w:lastRow="0" w:firstColumn="1" w:lastColumn="0" w:noHBand="0" w:noVBand="1"/>
      </w:tblPr>
      <w:tblGrid>
        <w:gridCol w:w="2127"/>
        <w:gridCol w:w="5386"/>
        <w:gridCol w:w="1325"/>
      </w:tblGrid>
      <w:tr w:rsidR="0006474D" w:rsidRPr="0006474D" w14:paraId="14D73B44" w14:textId="77777777" w:rsidTr="00212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B2BCC0E" w14:textId="77777777" w:rsidR="0006474D" w:rsidRPr="004D32BA" w:rsidRDefault="0006474D" w:rsidP="00212975">
            <w:pPr>
              <w:pStyle w:val="Sinespaciado"/>
              <w:spacing w:line="276" w:lineRule="auto"/>
              <w:rPr>
                <w:rFonts w:ascii="Times New Roman" w:hAnsi="Times New Roman" w:cs="Times New Roman"/>
                <w:sz w:val="20"/>
                <w:szCs w:val="20"/>
              </w:rPr>
            </w:pPr>
            <w:r w:rsidRPr="004D32BA">
              <w:rPr>
                <w:rFonts w:ascii="Times New Roman" w:hAnsi="Times New Roman" w:cs="Times New Roman"/>
                <w:sz w:val="24"/>
                <w:szCs w:val="24"/>
              </w:rPr>
              <w:t xml:space="preserve">Name </w:t>
            </w:r>
          </w:p>
        </w:tc>
        <w:tc>
          <w:tcPr>
            <w:tcW w:w="5386" w:type="dxa"/>
            <w:vAlign w:val="center"/>
          </w:tcPr>
          <w:p w14:paraId="5A40301E" w14:textId="77777777" w:rsidR="0006474D" w:rsidRPr="004D32BA" w:rsidRDefault="0006474D" w:rsidP="00212975">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4"/>
                <w:szCs w:val="24"/>
              </w:rPr>
              <w:t>Sequences 5’ – 3’</w:t>
            </w:r>
          </w:p>
        </w:tc>
        <w:tc>
          <w:tcPr>
            <w:tcW w:w="1325" w:type="dxa"/>
            <w:vAlign w:val="center"/>
          </w:tcPr>
          <w:p w14:paraId="6B82D2A0" w14:textId="77777777" w:rsidR="0006474D" w:rsidRPr="004D32BA" w:rsidRDefault="0006474D" w:rsidP="00212975">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hAnsi="Times New Roman" w:cs="Times New Roman"/>
                <w:sz w:val="24"/>
                <w:szCs w:val="24"/>
              </w:rPr>
              <w:t>Source</w:t>
            </w:r>
          </w:p>
        </w:tc>
      </w:tr>
      <w:tr w:rsidR="0006474D" w:rsidRPr="0006474D" w14:paraId="39A3B809"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0094BFD"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proofErr w:type="spellStart"/>
            <w:r w:rsidRPr="004D32BA">
              <w:rPr>
                <w:rFonts w:ascii="Times New Roman" w:hAnsi="Times New Roman" w:cs="Times New Roman"/>
                <w:b w:val="0"/>
                <w:bCs w:val="0"/>
                <w:sz w:val="20"/>
                <w:szCs w:val="20"/>
              </w:rPr>
              <w:t>aceF_PCR_for</w:t>
            </w:r>
            <w:proofErr w:type="spellEnd"/>
          </w:p>
        </w:tc>
        <w:tc>
          <w:tcPr>
            <w:tcW w:w="5386" w:type="dxa"/>
            <w:vAlign w:val="center"/>
          </w:tcPr>
          <w:p w14:paraId="1FB4E9CD"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GCGAGATGGTCAGGATTGTGAACG</w:t>
            </w:r>
          </w:p>
        </w:tc>
        <w:tc>
          <w:tcPr>
            <w:tcW w:w="1325" w:type="dxa"/>
            <w:vAlign w:val="center"/>
          </w:tcPr>
          <w:p w14:paraId="7A7A1C7C"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2A7E59A3"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58D7F5D4"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proofErr w:type="spellStart"/>
            <w:r w:rsidRPr="004D32BA">
              <w:rPr>
                <w:rFonts w:ascii="Times New Roman" w:hAnsi="Times New Roman" w:cs="Times New Roman"/>
                <w:b w:val="0"/>
                <w:bCs w:val="0"/>
                <w:sz w:val="20"/>
                <w:szCs w:val="20"/>
              </w:rPr>
              <w:t>aceF_PCR_rev</w:t>
            </w:r>
            <w:proofErr w:type="spellEnd"/>
          </w:p>
        </w:tc>
        <w:tc>
          <w:tcPr>
            <w:tcW w:w="5386" w:type="dxa"/>
            <w:vAlign w:val="center"/>
          </w:tcPr>
          <w:p w14:paraId="6FFEA792"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CCTAAATCAGCGCAACGGAAGG</w:t>
            </w:r>
          </w:p>
        </w:tc>
        <w:tc>
          <w:tcPr>
            <w:tcW w:w="1325" w:type="dxa"/>
            <w:vAlign w:val="center"/>
          </w:tcPr>
          <w:p w14:paraId="176F78EA"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1A53BBEA"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C4197A2"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proofErr w:type="spellStart"/>
            <w:r w:rsidRPr="004D32BA">
              <w:rPr>
                <w:rFonts w:ascii="Times New Roman" w:hAnsi="Times New Roman" w:cs="Times New Roman"/>
                <w:b w:val="0"/>
                <w:bCs w:val="0"/>
                <w:sz w:val="20"/>
                <w:szCs w:val="20"/>
              </w:rPr>
              <w:t>mdh_PCR_for</w:t>
            </w:r>
            <w:proofErr w:type="spellEnd"/>
          </w:p>
        </w:tc>
        <w:tc>
          <w:tcPr>
            <w:tcW w:w="5386" w:type="dxa"/>
            <w:vAlign w:val="center"/>
          </w:tcPr>
          <w:p w14:paraId="0B62FE64"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AGTCACCCGATATGGTGGTTG</w:t>
            </w:r>
          </w:p>
        </w:tc>
        <w:tc>
          <w:tcPr>
            <w:tcW w:w="1325" w:type="dxa"/>
            <w:vAlign w:val="center"/>
          </w:tcPr>
          <w:p w14:paraId="6FC60250"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5629C24B"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195CB56F"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proofErr w:type="spellStart"/>
            <w:r w:rsidRPr="004D32BA">
              <w:rPr>
                <w:rFonts w:ascii="Times New Roman" w:hAnsi="Times New Roman" w:cs="Times New Roman"/>
                <w:b w:val="0"/>
                <w:bCs w:val="0"/>
                <w:sz w:val="20"/>
                <w:szCs w:val="20"/>
              </w:rPr>
              <w:t>mdh_PCR_rev</w:t>
            </w:r>
            <w:proofErr w:type="spellEnd"/>
          </w:p>
        </w:tc>
        <w:tc>
          <w:tcPr>
            <w:tcW w:w="5386" w:type="dxa"/>
            <w:vAlign w:val="center"/>
          </w:tcPr>
          <w:p w14:paraId="14A92A5C"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ATGGATAAGCTGATCCGCGATG</w:t>
            </w:r>
          </w:p>
        </w:tc>
        <w:tc>
          <w:tcPr>
            <w:tcW w:w="1325" w:type="dxa"/>
            <w:vAlign w:val="center"/>
          </w:tcPr>
          <w:p w14:paraId="38CAC664"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4385BA94"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B0F9A87"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aceF_Rec_arm1_for</w:t>
            </w:r>
          </w:p>
        </w:tc>
        <w:tc>
          <w:tcPr>
            <w:tcW w:w="5386" w:type="dxa"/>
            <w:vAlign w:val="center"/>
          </w:tcPr>
          <w:p w14:paraId="40A7FA5F"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GACCGATTAATTAACTCCGGCAGTGGCATCTACCGACTATATG</w:t>
            </w:r>
          </w:p>
        </w:tc>
        <w:tc>
          <w:tcPr>
            <w:tcW w:w="1325" w:type="dxa"/>
            <w:vAlign w:val="center"/>
          </w:tcPr>
          <w:p w14:paraId="073CD360"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62B3FA85"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7C539C26"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aceF_Rec_arm1_rev</w:t>
            </w:r>
          </w:p>
        </w:tc>
        <w:tc>
          <w:tcPr>
            <w:tcW w:w="5386" w:type="dxa"/>
            <w:vAlign w:val="center"/>
          </w:tcPr>
          <w:p w14:paraId="2E9A5C96"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GACCGAGGATCCCCGGCTCTTTTACTTACATCACCAGTGTCCGGTACTTTGATTTCGATAG</w:t>
            </w:r>
          </w:p>
        </w:tc>
        <w:tc>
          <w:tcPr>
            <w:tcW w:w="1325" w:type="dxa"/>
            <w:vAlign w:val="center"/>
          </w:tcPr>
          <w:p w14:paraId="72DEA6DA"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786033E9"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D9EADF0"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acef_Rec_arm2_for</w:t>
            </w:r>
          </w:p>
        </w:tc>
        <w:tc>
          <w:tcPr>
            <w:tcW w:w="5386" w:type="dxa"/>
            <w:vAlign w:val="center"/>
          </w:tcPr>
          <w:p w14:paraId="3B83A010"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GACCGAGAGCTCGGCTATCGAAATCAAAGTACCGGACACTGGTGATGTAAGTAAAAGAGCCGG</w:t>
            </w:r>
          </w:p>
        </w:tc>
        <w:tc>
          <w:tcPr>
            <w:tcW w:w="1325" w:type="dxa"/>
            <w:vAlign w:val="center"/>
          </w:tcPr>
          <w:p w14:paraId="43A0516A"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5BF5E847"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1DB45AC5"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aceF_Rec_arm2_rev</w:t>
            </w:r>
          </w:p>
        </w:tc>
        <w:tc>
          <w:tcPr>
            <w:tcW w:w="5386" w:type="dxa"/>
            <w:vAlign w:val="center"/>
          </w:tcPr>
          <w:p w14:paraId="2B0B0B6A"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GACCGAACTAGTCGCAGCGGCGTTAGCTTCAC</w:t>
            </w:r>
          </w:p>
        </w:tc>
        <w:tc>
          <w:tcPr>
            <w:tcW w:w="1325" w:type="dxa"/>
            <w:vAlign w:val="center"/>
          </w:tcPr>
          <w:p w14:paraId="61C19ECC"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52982F0B"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3DCC26A"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mdh_Rec_arm1_for</w:t>
            </w:r>
          </w:p>
        </w:tc>
        <w:tc>
          <w:tcPr>
            <w:tcW w:w="5386" w:type="dxa"/>
            <w:vAlign w:val="center"/>
          </w:tcPr>
          <w:p w14:paraId="471B0F16"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GACCGATTAATTAAATTGAGAAACATGCCTGCGTCACGG</w:t>
            </w:r>
          </w:p>
        </w:tc>
        <w:tc>
          <w:tcPr>
            <w:tcW w:w="1325" w:type="dxa"/>
            <w:vAlign w:val="center"/>
          </w:tcPr>
          <w:p w14:paraId="741E89C5"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76B3A634"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3351A92A"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mdh_Rec_arm1_rev</w:t>
            </w:r>
          </w:p>
        </w:tc>
        <w:tc>
          <w:tcPr>
            <w:tcW w:w="5386" w:type="dxa"/>
            <w:vAlign w:val="center"/>
          </w:tcPr>
          <w:p w14:paraId="5ED386E0"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GACCGAGGATCCCTTATTAACGAACTCTTCGCCCAGGTTTTAACAGTAGTGCAAGCGCCTGG</w:t>
            </w:r>
          </w:p>
        </w:tc>
        <w:tc>
          <w:tcPr>
            <w:tcW w:w="1325" w:type="dxa"/>
            <w:vAlign w:val="center"/>
          </w:tcPr>
          <w:p w14:paraId="73EA1850"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420F9857" w14:textId="77777777" w:rsidTr="00212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4FBFD84"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mdh_Rec_arm2_for</w:t>
            </w:r>
          </w:p>
        </w:tc>
        <w:tc>
          <w:tcPr>
            <w:tcW w:w="5386" w:type="dxa"/>
            <w:vAlign w:val="center"/>
          </w:tcPr>
          <w:p w14:paraId="3239AF0F"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GACCGAGAGCTCCCAGGCGCTTGCACTACTGTTAAAACCTGGGCGAAGAGTTCGTTAATAAG</w:t>
            </w:r>
          </w:p>
        </w:tc>
        <w:tc>
          <w:tcPr>
            <w:tcW w:w="1325" w:type="dxa"/>
            <w:vAlign w:val="center"/>
          </w:tcPr>
          <w:p w14:paraId="69FDA0D2" w14:textId="77777777" w:rsidR="0006474D" w:rsidRPr="004D32BA" w:rsidRDefault="0006474D" w:rsidP="0021297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06474D" w:rsidRPr="0006474D" w14:paraId="66EBB0B2" w14:textId="77777777" w:rsidTr="00212975">
        <w:tc>
          <w:tcPr>
            <w:cnfStyle w:val="001000000000" w:firstRow="0" w:lastRow="0" w:firstColumn="1" w:lastColumn="0" w:oddVBand="0" w:evenVBand="0" w:oddHBand="0" w:evenHBand="0" w:firstRowFirstColumn="0" w:firstRowLastColumn="0" w:lastRowFirstColumn="0" w:lastRowLastColumn="0"/>
            <w:tcW w:w="2127" w:type="dxa"/>
            <w:vAlign w:val="center"/>
          </w:tcPr>
          <w:p w14:paraId="6B542BB4" w14:textId="77777777" w:rsidR="0006474D" w:rsidRPr="004D32BA" w:rsidRDefault="0006474D" w:rsidP="00212975">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mdh_Rec_arm2_rev</w:t>
            </w:r>
          </w:p>
        </w:tc>
        <w:tc>
          <w:tcPr>
            <w:tcW w:w="5386" w:type="dxa"/>
            <w:vAlign w:val="center"/>
          </w:tcPr>
          <w:p w14:paraId="171D7A06"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GACCGAACTAGTGGGATCGTGGTTAATGAAGTGTCAC</w:t>
            </w:r>
          </w:p>
        </w:tc>
        <w:tc>
          <w:tcPr>
            <w:tcW w:w="1325" w:type="dxa"/>
            <w:vAlign w:val="center"/>
          </w:tcPr>
          <w:p w14:paraId="60DF05BB" w14:textId="77777777" w:rsidR="0006474D" w:rsidRPr="004D32BA" w:rsidRDefault="0006474D" w:rsidP="0021297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bl>
    <w:p w14:paraId="7AE68DBA" w14:textId="643F1A7A" w:rsidR="0006474D" w:rsidRPr="00095C81" w:rsidRDefault="0006474D" w:rsidP="0006474D">
      <w:pPr>
        <w:pStyle w:val="Sinespaciado"/>
        <w:spacing w:line="360" w:lineRule="auto"/>
        <w:rPr>
          <w:rFonts w:ascii="Times New Roman" w:hAnsi="Times New Roman" w:cs="Times New Roman"/>
          <w:sz w:val="24"/>
          <w:szCs w:val="24"/>
        </w:rPr>
      </w:pPr>
    </w:p>
    <w:p w14:paraId="63E7A684" w14:textId="48EBFAE2" w:rsidR="00095C81" w:rsidRPr="00095C81" w:rsidRDefault="00095C81" w:rsidP="0006474D">
      <w:pPr>
        <w:pStyle w:val="Sinespaciado"/>
        <w:spacing w:line="360" w:lineRule="auto"/>
        <w:rPr>
          <w:rFonts w:ascii="Times New Roman" w:hAnsi="Times New Roman" w:cs="Times New Roman"/>
          <w:sz w:val="24"/>
          <w:szCs w:val="24"/>
        </w:rPr>
      </w:pPr>
    </w:p>
    <w:p w14:paraId="20047D48" w14:textId="77777777" w:rsidR="00095C81" w:rsidRPr="00095C81" w:rsidRDefault="00095C81" w:rsidP="0006474D">
      <w:pPr>
        <w:pStyle w:val="Sinespaciado"/>
        <w:spacing w:line="360" w:lineRule="auto"/>
        <w:rPr>
          <w:rFonts w:ascii="Times New Roman" w:hAnsi="Times New Roman" w:cs="Times New Roman"/>
          <w:sz w:val="24"/>
          <w:szCs w:val="24"/>
        </w:rPr>
      </w:pPr>
    </w:p>
    <w:p w14:paraId="41FCE1A4" w14:textId="6746EA14" w:rsidR="002D0CBB" w:rsidRDefault="002D0CBB" w:rsidP="008E5934">
      <w:pPr>
        <w:spacing w:line="360" w:lineRule="auto"/>
        <w:jc w:val="both"/>
        <w:rPr>
          <w:lang w:val="en-US"/>
        </w:rPr>
      </w:pPr>
    </w:p>
    <w:p w14:paraId="268EE094" w14:textId="524A430A" w:rsidR="00095C81" w:rsidRDefault="00095C81" w:rsidP="008E5934">
      <w:pPr>
        <w:spacing w:line="360" w:lineRule="auto"/>
        <w:jc w:val="both"/>
        <w:rPr>
          <w:lang w:val="en-US"/>
        </w:rPr>
      </w:pPr>
    </w:p>
    <w:p w14:paraId="05FAB618" w14:textId="7E2879ED" w:rsidR="00095C81" w:rsidRDefault="00095C81" w:rsidP="008E5934">
      <w:pPr>
        <w:spacing w:line="360" w:lineRule="auto"/>
        <w:jc w:val="both"/>
        <w:rPr>
          <w:lang w:val="en-US"/>
        </w:rPr>
      </w:pPr>
    </w:p>
    <w:p w14:paraId="71DA76AD" w14:textId="6507B52B" w:rsidR="00095C81" w:rsidRDefault="00095C81" w:rsidP="008E5934">
      <w:pPr>
        <w:spacing w:line="360" w:lineRule="auto"/>
        <w:jc w:val="both"/>
        <w:rPr>
          <w:lang w:val="en-US"/>
        </w:rPr>
      </w:pPr>
    </w:p>
    <w:p w14:paraId="73BE293B" w14:textId="6140AAE0" w:rsidR="00095C81" w:rsidRDefault="00095C81" w:rsidP="008E5934">
      <w:pPr>
        <w:spacing w:line="360" w:lineRule="auto"/>
        <w:jc w:val="both"/>
        <w:rPr>
          <w:lang w:val="en-US"/>
        </w:rPr>
      </w:pPr>
    </w:p>
    <w:p w14:paraId="08E849B1" w14:textId="525FB782" w:rsidR="00095C81" w:rsidRDefault="00095C81" w:rsidP="008E5934">
      <w:pPr>
        <w:spacing w:line="360" w:lineRule="auto"/>
        <w:jc w:val="both"/>
        <w:rPr>
          <w:lang w:val="en-US"/>
        </w:rPr>
      </w:pPr>
    </w:p>
    <w:p w14:paraId="3D0FD683" w14:textId="23A522BA" w:rsidR="00095C81" w:rsidRDefault="00095C81" w:rsidP="008E5934">
      <w:pPr>
        <w:spacing w:line="360" w:lineRule="auto"/>
        <w:jc w:val="both"/>
        <w:rPr>
          <w:lang w:val="en-US"/>
        </w:rPr>
      </w:pPr>
    </w:p>
    <w:p w14:paraId="113209D2" w14:textId="47AF855F" w:rsidR="00095C81" w:rsidRDefault="00095C81" w:rsidP="008E5934">
      <w:pPr>
        <w:spacing w:line="360" w:lineRule="auto"/>
        <w:jc w:val="both"/>
        <w:rPr>
          <w:lang w:val="en-US"/>
        </w:rPr>
      </w:pPr>
    </w:p>
    <w:p w14:paraId="339C5D50" w14:textId="10B48AB3" w:rsidR="00095C81" w:rsidRDefault="00095C81" w:rsidP="008E5934">
      <w:pPr>
        <w:spacing w:line="360" w:lineRule="auto"/>
        <w:jc w:val="both"/>
        <w:rPr>
          <w:lang w:val="en-US"/>
        </w:rPr>
      </w:pPr>
    </w:p>
    <w:p w14:paraId="7939B730" w14:textId="0B4AA80F" w:rsidR="00095C81" w:rsidRDefault="00095C81" w:rsidP="008E5934">
      <w:pPr>
        <w:spacing w:line="360" w:lineRule="auto"/>
        <w:jc w:val="both"/>
        <w:rPr>
          <w:lang w:val="en-US"/>
        </w:rPr>
      </w:pPr>
    </w:p>
    <w:p w14:paraId="4A1E0A0F" w14:textId="7D74CDA4" w:rsidR="00611176" w:rsidRDefault="00611176" w:rsidP="008E5934">
      <w:pPr>
        <w:spacing w:line="360" w:lineRule="auto"/>
        <w:jc w:val="both"/>
        <w:rPr>
          <w:lang w:val="en-US"/>
        </w:rPr>
      </w:pPr>
    </w:p>
    <w:p w14:paraId="40A929E1" w14:textId="34B8759B" w:rsidR="00095C81" w:rsidRDefault="00095C81" w:rsidP="008E5934">
      <w:pPr>
        <w:spacing w:line="360" w:lineRule="auto"/>
        <w:jc w:val="both"/>
        <w:rPr>
          <w:lang w:val="en-US"/>
        </w:rPr>
      </w:pPr>
    </w:p>
    <w:p w14:paraId="23847F1F" w14:textId="77777777" w:rsidR="00095C81" w:rsidRPr="004D32BA" w:rsidRDefault="00095C81" w:rsidP="008E5934">
      <w:pPr>
        <w:spacing w:line="360" w:lineRule="auto"/>
        <w:jc w:val="both"/>
        <w:rPr>
          <w:lang w:val="en-US"/>
        </w:rPr>
      </w:pPr>
    </w:p>
    <w:p w14:paraId="2A11900B" w14:textId="77777777" w:rsidR="008E5934" w:rsidRPr="004D32BA" w:rsidRDefault="00F25170" w:rsidP="00B63FE6">
      <w:pPr>
        <w:pStyle w:val="Sinespaciado"/>
        <w:spacing w:line="360" w:lineRule="auto"/>
        <w:rPr>
          <w:rFonts w:ascii="Times New Roman" w:hAnsi="Times New Roman" w:cs="Times New Roman"/>
          <w:sz w:val="24"/>
          <w:szCs w:val="24"/>
          <w:u w:val="single"/>
        </w:rPr>
      </w:pPr>
      <w:r w:rsidRPr="004D32BA">
        <w:rPr>
          <w:rFonts w:ascii="Times New Roman" w:hAnsi="Times New Roman" w:cs="Times New Roman"/>
          <w:sz w:val="24"/>
          <w:szCs w:val="24"/>
          <w:u w:val="single"/>
        </w:rPr>
        <w:lastRenderedPageBreak/>
        <w:t>Supplementary Table S</w:t>
      </w:r>
      <w:r w:rsidR="0006474D">
        <w:rPr>
          <w:rFonts w:ascii="Times New Roman" w:hAnsi="Times New Roman" w:cs="Times New Roman"/>
          <w:sz w:val="24"/>
          <w:szCs w:val="24"/>
          <w:u w:val="single"/>
        </w:rPr>
        <w:t>2</w:t>
      </w:r>
      <w:r w:rsidR="00023377" w:rsidRPr="004D32BA">
        <w:rPr>
          <w:rFonts w:ascii="Times New Roman" w:hAnsi="Times New Roman" w:cs="Times New Roman"/>
          <w:sz w:val="24"/>
          <w:szCs w:val="24"/>
          <w:u w:val="single"/>
        </w:rPr>
        <w:t>. DNA used in this work</w:t>
      </w:r>
    </w:p>
    <w:p w14:paraId="49A2D980" w14:textId="077EE0F0" w:rsidR="00F25170" w:rsidRPr="004D32BA" w:rsidRDefault="00F25170" w:rsidP="00B63FE6">
      <w:pPr>
        <w:pStyle w:val="Sinespaciado"/>
        <w:spacing w:line="360" w:lineRule="auto"/>
        <w:rPr>
          <w:rFonts w:ascii="Times New Roman" w:hAnsi="Times New Roman" w:cs="Times New Roman"/>
          <w:sz w:val="24"/>
          <w:szCs w:val="24"/>
          <w:u w:val="single"/>
        </w:rPr>
      </w:pPr>
    </w:p>
    <w:tbl>
      <w:tblPr>
        <w:tblStyle w:val="Tablanormal2"/>
        <w:tblW w:w="5000" w:type="pct"/>
        <w:tblLayout w:type="fixed"/>
        <w:tblLook w:val="04A0" w:firstRow="1" w:lastRow="0" w:firstColumn="1" w:lastColumn="0" w:noHBand="0" w:noVBand="1"/>
      </w:tblPr>
      <w:tblGrid>
        <w:gridCol w:w="1446"/>
        <w:gridCol w:w="6275"/>
        <w:gridCol w:w="1537"/>
      </w:tblGrid>
      <w:tr w:rsidR="00F25170" w:rsidRPr="004D32BA" w14:paraId="2B6D658E" w14:textId="77777777" w:rsidTr="005F6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4A1060F5" w14:textId="77777777" w:rsidR="00F25170" w:rsidRPr="004D32BA" w:rsidRDefault="00F25170" w:rsidP="00621B9F">
            <w:pPr>
              <w:pStyle w:val="Sinespaciado"/>
              <w:spacing w:line="276" w:lineRule="auto"/>
              <w:rPr>
                <w:rFonts w:ascii="Times New Roman" w:hAnsi="Times New Roman" w:cs="Times New Roman"/>
                <w:sz w:val="20"/>
                <w:szCs w:val="20"/>
              </w:rPr>
            </w:pPr>
            <w:r w:rsidRPr="004D32BA">
              <w:rPr>
                <w:rFonts w:ascii="Times New Roman" w:hAnsi="Times New Roman" w:cs="Times New Roman"/>
                <w:sz w:val="24"/>
                <w:szCs w:val="24"/>
                <w:lang w:val="es-CO"/>
              </w:rPr>
              <w:t xml:space="preserve">DNA </w:t>
            </w:r>
          </w:p>
        </w:tc>
        <w:tc>
          <w:tcPr>
            <w:tcW w:w="3389" w:type="pct"/>
            <w:vAlign w:val="center"/>
          </w:tcPr>
          <w:p w14:paraId="716467EC" w14:textId="5A136607" w:rsidR="00F25170" w:rsidRPr="004D32BA" w:rsidRDefault="00F25170" w:rsidP="00621B9F">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4D32BA">
              <w:rPr>
                <w:rFonts w:ascii="Times New Roman" w:hAnsi="Times New Roman" w:cs="Times New Roman"/>
                <w:sz w:val="24"/>
                <w:szCs w:val="24"/>
                <w:lang w:val="es-CO"/>
              </w:rPr>
              <w:t>Description</w:t>
            </w:r>
            <w:proofErr w:type="spellEnd"/>
            <w:r w:rsidRPr="004D32BA">
              <w:rPr>
                <w:rFonts w:ascii="Times New Roman" w:hAnsi="Times New Roman" w:cs="Times New Roman"/>
                <w:sz w:val="24"/>
                <w:szCs w:val="24"/>
                <w:lang w:val="es-CO"/>
              </w:rPr>
              <w:t xml:space="preserve"> </w:t>
            </w:r>
            <w:r w:rsidR="005F68A7" w:rsidRPr="004D32BA">
              <w:rPr>
                <w:rFonts w:ascii="Times New Roman" w:hAnsi="Times New Roman" w:cs="Times New Roman"/>
                <w:sz w:val="24"/>
                <w:szCs w:val="24"/>
                <w:lang w:val="es-CO"/>
              </w:rPr>
              <w:t xml:space="preserve">- </w:t>
            </w:r>
            <w:r w:rsidR="005F68A7" w:rsidRPr="004D32BA">
              <w:rPr>
                <w:rFonts w:ascii="Times New Roman" w:hAnsi="Times New Roman" w:cs="Times New Roman"/>
                <w:sz w:val="24"/>
                <w:szCs w:val="24"/>
              </w:rPr>
              <w:t>Sequences 5’ – 3’</w:t>
            </w:r>
          </w:p>
        </w:tc>
        <w:tc>
          <w:tcPr>
            <w:tcW w:w="830" w:type="pct"/>
            <w:vAlign w:val="center"/>
          </w:tcPr>
          <w:p w14:paraId="33F3CF88" w14:textId="77777777" w:rsidR="00F25170" w:rsidRPr="004D32BA" w:rsidRDefault="00F25170" w:rsidP="00621B9F">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roofErr w:type="spellStart"/>
            <w:r w:rsidRPr="004D32BA">
              <w:rPr>
                <w:rFonts w:ascii="Times New Roman" w:hAnsi="Times New Roman" w:cs="Times New Roman"/>
                <w:sz w:val="24"/>
                <w:szCs w:val="24"/>
                <w:lang w:val="es-CO"/>
              </w:rPr>
              <w:t>Source</w:t>
            </w:r>
            <w:proofErr w:type="spellEnd"/>
          </w:p>
        </w:tc>
      </w:tr>
      <w:tr w:rsidR="00F25170" w:rsidRPr="004D32BA" w14:paraId="0E1CF830"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1EDDC790" w14:textId="0F63A974" w:rsidR="00F25170" w:rsidRPr="004D32BA" w:rsidRDefault="0006474D" w:rsidP="00621B9F">
            <w:pPr>
              <w:pStyle w:val="Sinespaciado"/>
              <w:spacing w:line="276" w:lineRule="auto"/>
              <w:rPr>
                <w:rFonts w:ascii="Times New Roman" w:hAnsi="Times New Roman" w:cs="Times New Roman"/>
                <w:b w:val="0"/>
                <w:bCs w:val="0"/>
                <w:sz w:val="20"/>
                <w:szCs w:val="20"/>
              </w:rPr>
            </w:pPr>
            <w:proofErr w:type="spellStart"/>
            <w:r w:rsidRPr="0006474D">
              <w:rPr>
                <w:rFonts w:ascii="Times New Roman" w:hAnsi="Times New Roman" w:cs="Times New Roman"/>
                <w:b w:val="0"/>
                <w:bCs w:val="0"/>
                <w:i/>
                <w:sz w:val="20"/>
                <w:szCs w:val="20"/>
              </w:rPr>
              <w:t>X</w:t>
            </w:r>
            <w:r w:rsidR="00B3405B" w:rsidRPr="0006474D">
              <w:rPr>
                <w:rFonts w:ascii="Times New Roman" w:hAnsi="Times New Roman" w:cs="Times New Roman"/>
                <w:b w:val="0"/>
                <w:bCs w:val="0"/>
                <w:i/>
                <w:sz w:val="20"/>
                <w:szCs w:val="20"/>
              </w:rPr>
              <w:t>yl</w:t>
            </w:r>
            <w:r w:rsidR="00B3405B" w:rsidRPr="0006474D">
              <w:rPr>
                <w:rFonts w:ascii="Times New Roman" w:hAnsi="Times New Roman" w:cs="Times New Roman"/>
                <w:b w:val="0"/>
                <w:bCs w:val="0"/>
                <w:sz w:val="20"/>
                <w:szCs w:val="20"/>
              </w:rPr>
              <w:t>S</w:t>
            </w:r>
            <w:proofErr w:type="spellEnd"/>
            <w:r w:rsidR="00B3405B" w:rsidRPr="00B3405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activator</w:t>
            </w:r>
            <w:r w:rsidR="00B3405B" w:rsidRPr="00B3405B">
              <w:rPr>
                <w:rFonts w:ascii="Times New Roman" w:hAnsi="Times New Roman" w:cs="Times New Roman"/>
                <w:b w:val="0"/>
                <w:bCs w:val="0"/>
                <w:sz w:val="20"/>
                <w:szCs w:val="20"/>
              </w:rPr>
              <w:t xml:space="preserve">, </w:t>
            </w:r>
            <w:r w:rsidR="00B3405B" w:rsidRPr="0006474D">
              <w:rPr>
                <w:rFonts w:ascii="Times New Roman" w:hAnsi="Times New Roman" w:cs="Times New Roman"/>
                <w:b w:val="0"/>
                <w:bCs w:val="0"/>
                <w:i/>
                <w:sz w:val="20"/>
                <w:szCs w:val="20"/>
              </w:rPr>
              <w:t>Pm</w:t>
            </w:r>
            <w:r w:rsidR="00B3405B" w:rsidRPr="00B3405B">
              <w:rPr>
                <w:rFonts w:ascii="Times New Roman" w:hAnsi="Times New Roman" w:cs="Times New Roman"/>
                <w:b w:val="0"/>
                <w:bCs w:val="0"/>
                <w:sz w:val="20"/>
                <w:szCs w:val="20"/>
              </w:rPr>
              <w:t xml:space="preserve"> promoter</w:t>
            </w:r>
          </w:p>
        </w:tc>
        <w:tc>
          <w:tcPr>
            <w:tcW w:w="3389" w:type="pct"/>
            <w:vAlign w:val="center"/>
          </w:tcPr>
          <w:p w14:paraId="3D3DA406" w14:textId="0EE83C29" w:rsidR="005F68A7" w:rsidRPr="004D32BA" w:rsidRDefault="005F68A7"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GAGTGCCCCTTTGGTCGAAAAAAAAAGCCCGCACTGTCAGGTGCGGGCTTTTTTCTGTGTTTCCACGTTCGTAATCAAGCCACTTCCTTTTTGCATTGACGCAGGGTGTCGGAAGGCAACTCGCCGAACGCGCTCCTATAGTTTTCAGCGAAGCGTCCCAAATGTAAGAAGCCGTAGTCTAGGGCTATCTCAGTTATACTACGCACATTGGCACTGGGATCGTTCAAGCAGGCGCGGATGCTTTCGAGCTTGCGGTTGCGGATGTAGTTCTTCGGCGTGGTGCCGGCGTGCTTCTCGAACAAATTGTAGAGCGAGCGTGGACTCATCATCGCCAGCTCCGCTAACCGCTCAAGGCTGATATTCCGTTTGAGATTCTCCTCAATGAATTGAACGACTCGCTCGAAAGACGGGTTACCTTTGCTGAAAATTTCACGGCTGACATTGCTGCCCAGCATTTCGAGCAGCTTGGAAGCGATGATCCCCGCATAGTGCTCTTGGACCCGAGGCATCGACTTTGTATGTTCCGCTTCGTCACAAACTAACCCGAGTAGATTGATAAAGCCATCGAGTTGCTGGAGATTGTGTCGCGCGGCGAAACGGATACCCTCCCTCGGCTTGTGCCAATTGTTGTCACTGCACGCCCGATCAAGGACCACTGAGGGCAATTTAACGATAAATTTCTCGCAATCTTCTGAATAGGTCAGGTCGGCTTGGTCATCCGGATTGAGCAGCAATAGTTCGCCCGGCGCAAAATAGTGCTCCTGGCCATGGCCACGCCACAGGCAATGGCCTTTGAGTATTATTTGCAGATGATAACAGGTTTCTAATCCAGGCGAGATTACCCTCACGCTACCGCCGTAGCTGATTCGACACAGATCGAGGCATCCGAAGATTCTGTGGTGCAGCCTGCCTGCCGGGCGCCCGCCCTTGGGCAGGCGAATAGAGTGCGTACCGACATACTGGTTAACATAATCGGAGACTGCATAGGGCTCGGCGTGGACGAAGATCTGACTTTTCTCGTTCAATAAGCAAAAATCCATAGTTCACGGTTCTCTTATTTTAATGTGGGCTGCTTGGTGTGATGTAGAAAGGCGCCAAGTCGATGAAAATGCATCTCGACGTGATGCGTATACGGGTTACCCCCATTGCCACGTTGCGCCATCCTTTTTGCAATCAGTGACCACTTTTCCAAGCAAAAATAACGCCAAGCAGAACGAACACGTTCTTTTTAAGAAGCGAGAACACCAGAAGTTCGTGCTGTCGGGGCATGGGGCGACGAATTGGCGGATAAAGGGGATCTGCTGGATATTACGGCCTTTTTAAAGACCGTAAAGAAAAATAAGCACAAGTTTTATCCGGCCTTTATTCACATTCTTGCCCGCCTGATGAATGCTCATCCGTAATTA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CATGGGAATTAGCTTGATCTGACCAACGACCGGTAGCGGAGCTATCCAACGGCGGTATACCAGGAAAACACACAGCAGGTACATCAGAACAGTACCATGACTGAAGAACAAATAGTTTTTTCCTGATCCATAAAGCAGAACGGCCTGCTCCATGACAAATCTGGCTCCCCAACTAATGCCCCATGCAGCCAGCATAACCAGCATAAAGGCAAGGAGTGCAGTGTCCGGTTTGATAGGGATAAGTCCAGCCTTGCAAGAAGCGGATACAGGAGTGC</w:t>
            </w:r>
            <w:r w:rsidRPr="004D32BA">
              <w:rPr>
                <w:rFonts w:ascii="Times New Roman" w:hAnsi="Times New Roman" w:cs="Times New Roman"/>
                <w:sz w:val="20"/>
                <w:szCs w:val="20"/>
              </w:rPr>
              <w:lastRenderedPageBreak/>
              <w:t>AAAAAATGGCTATCTCTAGTAAGGCCTACCCCTTAGGCTTTATGCAA</w:t>
            </w:r>
          </w:p>
        </w:tc>
        <w:tc>
          <w:tcPr>
            <w:tcW w:w="830" w:type="pct"/>
            <w:vAlign w:val="center"/>
          </w:tcPr>
          <w:p w14:paraId="6A851253" w14:textId="2E046832"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CO"/>
              </w:rPr>
            </w:pPr>
            <w:r w:rsidRPr="004D32BA">
              <w:rPr>
                <w:rFonts w:ascii="Times New Roman" w:eastAsia="Times New Roman" w:hAnsi="Times New Roman" w:cs="Times New Roman"/>
                <w:color w:val="000000"/>
                <w:sz w:val="20"/>
                <w:szCs w:val="20"/>
              </w:rPr>
              <w:lastRenderedPageBreak/>
              <w:t>This study</w:t>
            </w:r>
          </w:p>
        </w:tc>
      </w:tr>
      <w:tr w:rsidR="00F25170" w:rsidRPr="004D32BA" w14:paraId="07FAD951" w14:textId="77777777" w:rsidTr="005F68A7">
        <w:tc>
          <w:tcPr>
            <w:cnfStyle w:val="001000000000" w:firstRow="0" w:lastRow="0" w:firstColumn="1" w:lastColumn="0" w:oddVBand="0" w:evenVBand="0" w:oddHBand="0" w:evenHBand="0" w:firstRowFirstColumn="0" w:firstRowLastColumn="0" w:lastRowFirstColumn="0" w:lastRowLastColumn="0"/>
            <w:tcW w:w="781" w:type="pct"/>
            <w:vAlign w:val="center"/>
          </w:tcPr>
          <w:p w14:paraId="0869F5F3" w14:textId="77777777" w:rsidR="00F25170" w:rsidRPr="004D32BA" w:rsidRDefault="00F25170" w:rsidP="00621B9F">
            <w:pPr>
              <w:pStyle w:val="Sinespaciado"/>
              <w:spacing w:line="276" w:lineRule="auto"/>
              <w:rPr>
                <w:rFonts w:ascii="Times New Roman" w:hAnsi="Times New Roman" w:cs="Times New Roman"/>
                <w:b w:val="0"/>
                <w:bCs w:val="0"/>
                <w:sz w:val="20"/>
                <w:szCs w:val="20"/>
              </w:rPr>
            </w:pPr>
            <w:proofErr w:type="spellStart"/>
            <w:r w:rsidRPr="00B3405B">
              <w:rPr>
                <w:rFonts w:ascii="Times New Roman" w:hAnsi="Times New Roman" w:cs="Times New Roman"/>
                <w:b w:val="0"/>
                <w:bCs w:val="0"/>
                <w:i/>
                <w:sz w:val="20"/>
                <w:szCs w:val="20"/>
                <w:lang w:val="es-CO"/>
              </w:rPr>
              <w:t>als</w:t>
            </w:r>
            <w:r w:rsidRPr="004D32BA">
              <w:rPr>
                <w:rFonts w:ascii="Times New Roman" w:hAnsi="Times New Roman" w:cs="Times New Roman"/>
                <w:b w:val="0"/>
                <w:bCs w:val="0"/>
                <w:sz w:val="20"/>
                <w:szCs w:val="20"/>
                <w:lang w:val="es-CO"/>
              </w:rPr>
              <w:t>S</w:t>
            </w:r>
            <w:proofErr w:type="spellEnd"/>
          </w:p>
        </w:tc>
        <w:tc>
          <w:tcPr>
            <w:tcW w:w="3389" w:type="pct"/>
            <w:vAlign w:val="center"/>
          </w:tcPr>
          <w:p w14:paraId="640D1AB5" w14:textId="77777777"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 xml:space="preserve">Gen extracted for PCR from </w:t>
            </w:r>
            <w:r w:rsidRPr="004D32BA">
              <w:rPr>
                <w:rFonts w:ascii="Times New Roman" w:eastAsia="Times New Roman" w:hAnsi="Times New Roman" w:cs="Times New Roman"/>
                <w:i/>
                <w:iCs/>
                <w:color w:val="000000"/>
                <w:sz w:val="20"/>
                <w:szCs w:val="20"/>
              </w:rPr>
              <w:t>E. coli</w:t>
            </w:r>
            <w:r w:rsidRPr="004D32BA">
              <w:rPr>
                <w:rFonts w:ascii="Times New Roman" w:eastAsia="Times New Roman" w:hAnsi="Times New Roman" w:cs="Times New Roman"/>
                <w:color w:val="000000"/>
                <w:sz w:val="20"/>
                <w:szCs w:val="20"/>
              </w:rPr>
              <w:t xml:space="preserve"> W-</w:t>
            </w:r>
            <w:proofErr w:type="spellStart"/>
            <w:r w:rsidRPr="004D32BA">
              <w:rPr>
                <w:rFonts w:ascii="Times New Roman" w:eastAsia="Times New Roman" w:hAnsi="Times New Roman" w:cs="Times New Roman"/>
                <w:color w:val="000000"/>
                <w:sz w:val="20"/>
                <w:szCs w:val="20"/>
              </w:rPr>
              <w:t>pIZIbPSO</w:t>
            </w:r>
            <w:proofErr w:type="spellEnd"/>
          </w:p>
        </w:tc>
        <w:tc>
          <w:tcPr>
            <w:tcW w:w="830" w:type="pct"/>
            <w:vAlign w:val="center"/>
          </w:tcPr>
          <w:p w14:paraId="65C66AC4" w14:textId="417109CC"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fldChar w:fldCharType="begin" w:fldLock="1"/>
            </w:r>
            <w:r w:rsidR="00AA7B23" w:rsidRPr="004D32BA">
              <w:rPr>
                <w:rFonts w:ascii="Times New Roman" w:eastAsia="Times New Roman" w:hAnsi="Times New Roman" w:cs="Times New Roman"/>
                <w:color w:val="000000"/>
                <w:sz w:val="20"/>
                <w:szCs w:val="20"/>
              </w:rPr>
              <w:instrText>ADDIN CSL_CITATION {"citationItems":[{"id":"ITEM-1","itemData":{"DOI":"10.1186/s13568-015-0119-2","ISBN":"1356801501192","ISSN":"21910855","abstract":"A synthetic inducible operon (IbPSO) expressing alsS, ilvC, ilvD and kivD genes encoding a pathway capable to transform pyruvate into 2-isobutyraldehyde has been designed and two recombinant plasmids named pIZIbPSO and p424IbPSO were constructed. The IbPSO containing plasmids can generate in a single transformation event new recombinant isobutanol producer strains and are useful for testing as suitable hosts wild type bacteria in different culture media. In this way we found that Shimwellia blattae (p424IbPSO) was able to produce in flasks up to 6 g l&lt;sup&gt;−1&lt;/sup&gt; of isobutanol using glucose as carbon source. Moreover, for the first time, we have demonstrated that isobutanol can be produced from sucrose using Escherichia coli W (ATCC9367) transformed with pIZIbPSO. These robust recombinant strains were also able to produce isobutanol from a raw carbon source like hydrolysed lignocellulosic biomass.","author":[{"dropping-particle":"","family":"Felpeto-Santero","given":"Carmen","non-dropping-particle":"","parse-names":false,"suffix":""},{"dropping-particle":"","family":"Rojas","given":"Antonia","non-dropping-particle":"","parse-names":false,"suffix":""},{"dropping-particle":"","family":"Tortajada","given":"Marta","non-dropping-particle":"","parse-names":false,"suffix":""},{"dropping-particle":"","family":"Galán","given":"Beatriz","non-dropping-particle":"","parse-names":false,"suffix":""},{"dropping-particle":"","family":"Ramón","given":"Daniel","non-dropping-particle":"","parse-names":false,"suffix":""},{"dropping-particle":"","family":"García","given":"José L.","non-dropping-particle":"","parse-names":false,"suffix":""}],"container-title":"AMB Express","id":"ITEM-1","issue":"1","issued":{"date-parts":[["2015"]]},"publisher":"Springer Berlin Heidelberg","title":"Engineering alternative isobutanol production platforms","type":"article-journal","volume":"5"},"uris":["http://www.mendeley.com/documents/?uuid=a098e96f-6b37-4d77-858e-da5a88d3cd56"]}],"mendeley":{"formattedCitation":"(Felpeto-Santero et al., 2015)","plainTextFormattedCitation":"(Felpeto-Santero et al., 2015)","previouslyFormattedCitation":"(Felpeto-Santero et al., 2015)"},"properties":{"noteIndex":0},"schema":"https://github.com/citation-style-language/schema/raw/master/csl-citation.json"}</w:instrText>
            </w:r>
            <w:r w:rsidRPr="004D32BA">
              <w:rPr>
                <w:rFonts w:ascii="Times New Roman" w:eastAsia="Times New Roman" w:hAnsi="Times New Roman" w:cs="Times New Roman"/>
                <w:color w:val="000000"/>
                <w:sz w:val="20"/>
                <w:szCs w:val="20"/>
              </w:rPr>
              <w:fldChar w:fldCharType="separate"/>
            </w:r>
            <w:r w:rsidR="005F68A7" w:rsidRPr="004D32BA">
              <w:rPr>
                <w:rFonts w:ascii="Times New Roman" w:eastAsia="Times New Roman" w:hAnsi="Times New Roman" w:cs="Times New Roman"/>
                <w:noProof/>
                <w:color w:val="000000"/>
                <w:sz w:val="20"/>
                <w:szCs w:val="20"/>
              </w:rPr>
              <w:t>(Felpeto-Santero et al., 2015)</w:t>
            </w:r>
            <w:r w:rsidRPr="004D32BA">
              <w:rPr>
                <w:rFonts w:ascii="Times New Roman" w:eastAsia="Times New Roman" w:hAnsi="Times New Roman" w:cs="Times New Roman"/>
                <w:color w:val="000000"/>
                <w:sz w:val="20"/>
                <w:szCs w:val="20"/>
              </w:rPr>
              <w:fldChar w:fldCharType="end"/>
            </w:r>
          </w:p>
        </w:tc>
      </w:tr>
      <w:tr w:rsidR="00F25170" w:rsidRPr="004D32BA" w14:paraId="69FC50C0"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3D6FB26C" w14:textId="77777777" w:rsidR="00F25170" w:rsidRPr="004D32BA" w:rsidRDefault="00F25170" w:rsidP="00621B9F">
            <w:pPr>
              <w:pStyle w:val="Sinespaciado"/>
              <w:spacing w:line="276" w:lineRule="auto"/>
              <w:rPr>
                <w:rFonts w:ascii="Times New Roman" w:hAnsi="Times New Roman" w:cs="Times New Roman"/>
                <w:b w:val="0"/>
                <w:bCs w:val="0"/>
                <w:sz w:val="20"/>
                <w:szCs w:val="20"/>
              </w:rPr>
            </w:pPr>
            <w:proofErr w:type="spellStart"/>
            <w:r w:rsidRPr="00B3405B">
              <w:rPr>
                <w:rFonts w:ascii="Times New Roman" w:hAnsi="Times New Roman" w:cs="Times New Roman"/>
                <w:b w:val="0"/>
                <w:bCs w:val="0"/>
                <w:i/>
                <w:sz w:val="20"/>
                <w:szCs w:val="20"/>
                <w:lang w:val="es-CO"/>
              </w:rPr>
              <w:t>ilv</w:t>
            </w:r>
            <w:r w:rsidRPr="004D32BA">
              <w:rPr>
                <w:rFonts w:ascii="Times New Roman" w:hAnsi="Times New Roman" w:cs="Times New Roman"/>
                <w:b w:val="0"/>
                <w:bCs w:val="0"/>
                <w:sz w:val="20"/>
                <w:szCs w:val="20"/>
                <w:lang w:val="es-CO"/>
              </w:rPr>
              <w:t>D</w:t>
            </w:r>
            <w:proofErr w:type="spellEnd"/>
          </w:p>
        </w:tc>
        <w:tc>
          <w:tcPr>
            <w:tcW w:w="3389" w:type="pct"/>
            <w:vAlign w:val="center"/>
          </w:tcPr>
          <w:p w14:paraId="011CA358" w14:textId="77777777"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 xml:space="preserve">Gen extracted for PCR from </w:t>
            </w:r>
            <w:r w:rsidRPr="004D32BA">
              <w:rPr>
                <w:rFonts w:ascii="Times New Roman" w:eastAsia="Times New Roman" w:hAnsi="Times New Roman" w:cs="Times New Roman"/>
                <w:i/>
                <w:iCs/>
                <w:color w:val="000000"/>
                <w:sz w:val="20"/>
                <w:szCs w:val="20"/>
              </w:rPr>
              <w:t>E. coli</w:t>
            </w:r>
            <w:r w:rsidRPr="004D32BA">
              <w:rPr>
                <w:rFonts w:ascii="Times New Roman" w:eastAsia="Times New Roman" w:hAnsi="Times New Roman" w:cs="Times New Roman"/>
                <w:color w:val="000000"/>
                <w:sz w:val="20"/>
                <w:szCs w:val="20"/>
              </w:rPr>
              <w:t xml:space="preserve"> W-</w:t>
            </w:r>
            <w:proofErr w:type="spellStart"/>
            <w:r w:rsidRPr="004D32BA">
              <w:rPr>
                <w:rFonts w:ascii="Times New Roman" w:eastAsia="Times New Roman" w:hAnsi="Times New Roman" w:cs="Times New Roman"/>
                <w:color w:val="000000"/>
                <w:sz w:val="20"/>
                <w:szCs w:val="20"/>
              </w:rPr>
              <w:t>pIZIbPSO</w:t>
            </w:r>
            <w:proofErr w:type="spellEnd"/>
          </w:p>
        </w:tc>
        <w:tc>
          <w:tcPr>
            <w:tcW w:w="830" w:type="pct"/>
            <w:vAlign w:val="center"/>
          </w:tcPr>
          <w:p w14:paraId="42B30CBC" w14:textId="011FF9F8"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fldChar w:fldCharType="begin" w:fldLock="1"/>
            </w:r>
            <w:r w:rsidR="00AA7B23" w:rsidRPr="004D32BA">
              <w:rPr>
                <w:rFonts w:ascii="Times New Roman" w:eastAsia="Times New Roman" w:hAnsi="Times New Roman" w:cs="Times New Roman"/>
                <w:color w:val="000000"/>
                <w:sz w:val="20"/>
                <w:szCs w:val="20"/>
              </w:rPr>
              <w:instrText>ADDIN CSL_CITATION {"citationItems":[{"id":"ITEM-1","itemData":{"DOI":"10.1186/s13568-015-0119-2","ISBN":"1356801501192","ISSN":"21910855","abstract":"A synthetic inducible operon (IbPSO) expressing alsS, ilvC, ilvD and kivD genes encoding a pathway capable to transform pyruvate into 2-isobutyraldehyde has been designed and two recombinant plasmids named pIZIbPSO and p424IbPSO were constructed. The IbPSO containing plasmids can generate in a single transformation event new recombinant isobutanol producer strains and are useful for testing as suitable hosts wild type bacteria in different culture media. In this way we found that Shimwellia blattae (p424IbPSO) was able to produce in flasks up to 6 g l&lt;sup&gt;−1&lt;/sup&gt; of isobutanol using glucose as carbon source. Moreover, for the first time, we have demonstrated that isobutanol can be produced from sucrose using Escherichia coli W (ATCC9367) transformed with pIZIbPSO. These robust recombinant strains were also able to produce isobutanol from a raw carbon source like hydrolysed lignocellulosic biomass.","author":[{"dropping-particle":"","family":"Felpeto-Santero","given":"Carmen","non-dropping-particle":"","parse-names":false,"suffix":""},{"dropping-particle":"","family":"Rojas","given":"Antonia","non-dropping-particle":"","parse-names":false,"suffix":""},{"dropping-particle":"","family":"Tortajada","given":"Marta","non-dropping-particle":"","parse-names":false,"suffix":""},{"dropping-particle":"","family":"Galán","given":"Beatriz","non-dropping-particle":"","parse-names":false,"suffix":""},{"dropping-particle":"","family":"Ramón","given":"Daniel","non-dropping-particle":"","parse-names":false,"suffix":""},{"dropping-particle":"","family":"García","given":"José L.","non-dropping-particle":"","parse-names":false,"suffix":""}],"container-title":"AMB Express","id":"ITEM-1","issue":"1","issued":{"date-parts":[["2015"]]},"publisher":"Springer Berlin Heidelberg","title":"Engineering alternative isobutanol production platforms","type":"article-journal","volume":"5"},"uris":["http://www.mendeley.com/documents/?uuid=a098e96f-6b37-4d77-858e-da5a88d3cd56"]}],"mendeley":{"formattedCitation":"(Felpeto-Santero et al., 2015)","plainTextFormattedCitation":"(Felpeto-Santero et al., 2015)","previouslyFormattedCitation":"(Felpeto-Santero et al., 2015)"},"properties":{"noteIndex":0},"schema":"https://github.com/citation-style-language/schema/raw/master/csl-citation.json"}</w:instrText>
            </w:r>
            <w:r w:rsidRPr="004D32BA">
              <w:rPr>
                <w:rFonts w:ascii="Times New Roman" w:eastAsia="Times New Roman" w:hAnsi="Times New Roman" w:cs="Times New Roman"/>
                <w:color w:val="000000"/>
                <w:sz w:val="20"/>
                <w:szCs w:val="20"/>
              </w:rPr>
              <w:fldChar w:fldCharType="separate"/>
            </w:r>
            <w:r w:rsidR="005F68A7" w:rsidRPr="004D32BA">
              <w:rPr>
                <w:rFonts w:ascii="Times New Roman" w:eastAsia="Times New Roman" w:hAnsi="Times New Roman" w:cs="Times New Roman"/>
                <w:noProof/>
                <w:color w:val="000000"/>
                <w:sz w:val="20"/>
                <w:szCs w:val="20"/>
              </w:rPr>
              <w:t>(Felpeto-Santero et al., 2015)</w:t>
            </w:r>
            <w:r w:rsidRPr="004D32BA">
              <w:rPr>
                <w:rFonts w:ascii="Times New Roman" w:eastAsia="Times New Roman" w:hAnsi="Times New Roman" w:cs="Times New Roman"/>
                <w:color w:val="000000"/>
                <w:sz w:val="20"/>
                <w:szCs w:val="20"/>
              </w:rPr>
              <w:fldChar w:fldCharType="end"/>
            </w:r>
          </w:p>
        </w:tc>
      </w:tr>
      <w:tr w:rsidR="00F25170" w:rsidRPr="004D32BA" w14:paraId="479543B0" w14:textId="77777777" w:rsidTr="005F68A7">
        <w:tc>
          <w:tcPr>
            <w:cnfStyle w:val="001000000000" w:firstRow="0" w:lastRow="0" w:firstColumn="1" w:lastColumn="0" w:oddVBand="0" w:evenVBand="0" w:oddHBand="0" w:evenHBand="0" w:firstRowFirstColumn="0" w:firstRowLastColumn="0" w:lastRowFirstColumn="0" w:lastRowLastColumn="0"/>
            <w:tcW w:w="781" w:type="pct"/>
            <w:vAlign w:val="center"/>
          </w:tcPr>
          <w:p w14:paraId="0FB2D3DC" w14:textId="77777777" w:rsidR="00F25170" w:rsidRPr="004D32BA" w:rsidRDefault="00F25170" w:rsidP="00621B9F">
            <w:pPr>
              <w:pStyle w:val="Sinespaciado"/>
              <w:spacing w:line="276" w:lineRule="auto"/>
              <w:rPr>
                <w:rFonts w:ascii="Times New Roman" w:hAnsi="Times New Roman" w:cs="Times New Roman"/>
                <w:b w:val="0"/>
                <w:bCs w:val="0"/>
                <w:sz w:val="20"/>
                <w:szCs w:val="20"/>
              </w:rPr>
            </w:pPr>
            <w:proofErr w:type="spellStart"/>
            <w:r w:rsidRPr="00B3405B">
              <w:rPr>
                <w:rFonts w:ascii="Times New Roman" w:hAnsi="Times New Roman" w:cs="Times New Roman"/>
                <w:b w:val="0"/>
                <w:bCs w:val="0"/>
                <w:i/>
                <w:sz w:val="20"/>
                <w:szCs w:val="20"/>
                <w:lang w:val="es-CO"/>
              </w:rPr>
              <w:t>ilv</w:t>
            </w:r>
            <w:r w:rsidRPr="004D32BA">
              <w:rPr>
                <w:rFonts w:ascii="Times New Roman" w:hAnsi="Times New Roman" w:cs="Times New Roman"/>
                <w:b w:val="0"/>
                <w:bCs w:val="0"/>
                <w:sz w:val="20"/>
                <w:szCs w:val="20"/>
                <w:lang w:val="es-CO"/>
              </w:rPr>
              <w:t>C</w:t>
            </w:r>
            <w:proofErr w:type="spellEnd"/>
          </w:p>
        </w:tc>
        <w:tc>
          <w:tcPr>
            <w:tcW w:w="3389" w:type="pct"/>
            <w:vAlign w:val="center"/>
          </w:tcPr>
          <w:p w14:paraId="5A7646EF" w14:textId="77777777"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 xml:space="preserve">Gen extracted for PCR from </w:t>
            </w:r>
            <w:r w:rsidRPr="004D32BA">
              <w:rPr>
                <w:rFonts w:ascii="Times New Roman" w:eastAsia="Times New Roman" w:hAnsi="Times New Roman" w:cs="Times New Roman"/>
                <w:i/>
                <w:iCs/>
                <w:color w:val="000000"/>
                <w:sz w:val="20"/>
                <w:szCs w:val="20"/>
              </w:rPr>
              <w:t>E. coli</w:t>
            </w:r>
            <w:r w:rsidRPr="004D32BA">
              <w:rPr>
                <w:rFonts w:ascii="Times New Roman" w:eastAsia="Times New Roman" w:hAnsi="Times New Roman" w:cs="Times New Roman"/>
                <w:color w:val="000000"/>
                <w:sz w:val="20"/>
                <w:szCs w:val="20"/>
              </w:rPr>
              <w:t xml:space="preserve"> W-</w:t>
            </w:r>
            <w:proofErr w:type="spellStart"/>
            <w:r w:rsidRPr="004D32BA">
              <w:rPr>
                <w:rFonts w:ascii="Times New Roman" w:eastAsia="Times New Roman" w:hAnsi="Times New Roman" w:cs="Times New Roman"/>
                <w:color w:val="000000"/>
                <w:sz w:val="20"/>
                <w:szCs w:val="20"/>
              </w:rPr>
              <w:t>pIZIbPSO</w:t>
            </w:r>
            <w:proofErr w:type="spellEnd"/>
          </w:p>
        </w:tc>
        <w:tc>
          <w:tcPr>
            <w:tcW w:w="830" w:type="pct"/>
            <w:vAlign w:val="center"/>
          </w:tcPr>
          <w:p w14:paraId="068C1884" w14:textId="111368EE"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fldChar w:fldCharType="begin" w:fldLock="1"/>
            </w:r>
            <w:r w:rsidR="00AA7B23" w:rsidRPr="004D32BA">
              <w:rPr>
                <w:rFonts w:ascii="Times New Roman" w:eastAsia="Times New Roman" w:hAnsi="Times New Roman" w:cs="Times New Roman"/>
                <w:color w:val="000000"/>
                <w:sz w:val="20"/>
                <w:szCs w:val="20"/>
              </w:rPr>
              <w:instrText>ADDIN CSL_CITATION {"citationItems":[{"id":"ITEM-1","itemData":{"DOI":"10.1186/s13568-015-0119-2","ISBN":"1356801501192","ISSN":"21910855","abstract":"A synthetic inducible operon (IbPSO) expressing alsS, ilvC, ilvD and kivD genes encoding a pathway capable to transform pyruvate into 2-isobutyraldehyde has been designed and two recombinant plasmids named pIZIbPSO and p424IbPSO were constructed. The IbPSO containing plasmids can generate in a single transformation event new recombinant isobutanol producer strains and are useful for testing as suitable hosts wild type bacteria in different culture media. In this way we found that Shimwellia blattae (p424IbPSO) was able to produce in flasks up to 6 g l&lt;sup&gt;−1&lt;/sup&gt; of isobutanol using glucose as carbon source. Moreover, for the first time, we have demonstrated that isobutanol can be produced from sucrose using Escherichia coli W (ATCC9367) transformed with pIZIbPSO. These robust recombinant strains were also able to produce isobutanol from a raw carbon source like hydrolysed lignocellulosic biomass.","author":[{"dropping-particle":"","family":"Felpeto-Santero","given":"Carmen","non-dropping-particle":"","parse-names":false,"suffix":""},{"dropping-particle":"","family":"Rojas","given":"Antonia","non-dropping-particle":"","parse-names":false,"suffix":""},{"dropping-particle":"","family":"Tortajada","given":"Marta","non-dropping-particle":"","parse-names":false,"suffix":""},{"dropping-particle":"","family":"Galán","given":"Beatriz","non-dropping-particle":"","parse-names":false,"suffix":""},{"dropping-particle":"","family":"Ramón","given":"Daniel","non-dropping-particle":"","parse-names":false,"suffix":""},{"dropping-particle":"","family":"García","given":"José L.","non-dropping-particle":"","parse-names":false,"suffix":""}],"container-title":"AMB Express","id":"ITEM-1","issue":"1","issued":{"date-parts":[["2015"]]},"publisher":"Springer Berlin Heidelberg","title":"Engineering alternative isobutanol production platforms","type":"article-journal","volume":"5"},"uris":["http://www.mendeley.com/documents/?uuid=a098e96f-6b37-4d77-858e-da5a88d3cd56"]}],"mendeley":{"formattedCitation":"(Felpeto-Santero et al., 2015)","plainTextFormattedCitation":"(Felpeto-Santero et al., 2015)","previouslyFormattedCitation":"(Felpeto-Santero et al., 2015)"},"properties":{"noteIndex":0},"schema":"https://github.com/citation-style-language/schema/raw/master/csl-citation.json"}</w:instrText>
            </w:r>
            <w:r w:rsidRPr="004D32BA">
              <w:rPr>
                <w:rFonts w:ascii="Times New Roman" w:eastAsia="Times New Roman" w:hAnsi="Times New Roman" w:cs="Times New Roman"/>
                <w:color w:val="000000"/>
                <w:sz w:val="20"/>
                <w:szCs w:val="20"/>
              </w:rPr>
              <w:fldChar w:fldCharType="separate"/>
            </w:r>
            <w:r w:rsidR="005F68A7" w:rsidRPr="004D32BA">
              <w:rPr>
                <w:rFonts w:ascii="Times New Roman" w:eastAsia="Times New Roman" w:hAnsi="Times New Roman" w:cs="Times New Roman"/>
                <w:noProof/>
                <w:color w:val="000000"/>
                <w:sz w:val="20"/>
                <w:szCs w:val="20"/>
              </w:rPr>
              <w:t>(Felpeto-Santero et al., 2015)</w:t>
            </w:r>
            <w:r w:rsidRPr="004D32BA">
              <w:rPr>
                <w:rFonts w:ascii="Times New Roman" w:eastAsia="Times New Roman" w:hAnsi="Times New Roman" w:cs="Times New Roman"/>
                <w:color w:val="000000"/>
                <w:sz w:val="20"/>
                <w:szCs w:val="20"/>
              </w:rPr>
              <w:fldChar w:fldCharType="end"/>
            </w:r>
          </w:p>
        </w:tc>
      </w:tr>
      <w:tr w:rsidR="00F25170" w:rsidRPr="00EF447E" w14:paraId="2BEB1C93"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44529892" w14:textId="0D2D90F6" w:rsidR="00F25170" w:rsidRPr="004D32BA" w:rsidRDefault="00F25170" w:rsidP="00621B9F">
            <w:pPr>
              <w:pStyle w:val="Sinespaciado"/>
              <w:spacing w:line="276" w:lineRule="auto"/>
              <w:rPr>
                <w:rFonts w:ascii="Times New Roman" w:hAnsi="Times New Roman" w:cs="Times New Roman"/>
                <w:b w:val="0"/>
                <w:bCs w:val="0"/>
                <w:sz w:val="20"/>
                <w:szCs w:val="20"/>
                <w:lang w:val="es-CO"/>
              </w:rPr>
            </w:pPr>
            <w:bookmarkStart w:id="1" w:name="_Hlk128413814"/>
            <w:r w:rsidRPr="004D32BA">
              <w:rPr>
                <w:rFonts w:ascii="Times New Roman" w:hAnsi="Times New Roman" w:cs="Times New Roman"/>
                <w:b w:val="0"/>
                <w:bCs w:val="0"/>
                <w:sz w:val="20"/>
                <w:szCs w:val="20"/>
                <w:lang w:val="es-CO"/>
              </w:rPr>
              <w:t>RBS-</w:t>
            </w:r>
            <w:proofErr w:type="spellStart"/>
            <w:r w:rsidR="00AB25F0">
              <w:rPr>
                <w:rFonts w:ascii="Times New Roman" w:hAnsi="Times New Roman" w:cs="Times New Roman"/>
                <w:b w:val="0"/>
                <w:bCs w:val="0"/>
                <w:sz w:val="20"/>
                <w:szCs w:val="20"/>
                <w:lang w:val="es-CO"/>
              </w:rPr>
              <w:t>std</w:t>
            </w:r>
            <w:proofErr w:type="spellEnd"/>
          </w:p>
        </w:tc>
        <w:tc>
          <w:tcPr>
            <w:tcW w:w="3389" w:type="pct"/>
            <w:vAlign w:val="center"/>
          </w:tcPr>
          <w:p w14:paraId="2FB3E684" w14:textId="70996F85" w:rsidR="00F25170" w:rsidRPr="004D32BA" w:rsidRDefault="00B17F78"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bookmarkStart w:id="2" w:name="_Hlk128413887"/>
            <w:r>
              <w:rPr>
                <w:rFonts w:ascii="Times New Roman" w:hAnsi="Times New Roman" w:cs="Times New Roman"/>
                <w:sz w:val="20"/>
                <w:szCs w:val="20"/>
              </w:rPr>
              <w:t>1</w:t>
            </w:r>
            <w:r w:rsidR="00F25170" w:rsidRPr="004D32BA">
              <w:rPr>
                <w:rFonts w:ascii="Times New Roman" w:hAnsi="Times New Roman" w:cs="Times New Roman"/>
                <w:sz w:val="20"/>
                <w:szCs w:val="20"/>
              </w:rPr>
              <w:t xml:space="preserve"> </w:t>
            </w:r>
            <w:bookmarkEnd w:id="2"/>
          </w:p>
        </w:tc>
        <w:tc>
          <w:tcPr>
            <w:tcW w:w="830" w:type="pct"/>
            <w:vAlign w:val="center"/>
          </w:tcPr>
          <w:p w14:paraId="239F28C0" w14:textId="61970E95"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fldChar w:fldCharType="begin" w:fldLock="1"/>
            </w:r>
            <w:r w:rsidR="00AA7B23" w:rsidRPr="004D32BA">
              <w:rPr>
                <w:rFonts w:ascii="Times New Roman" w:eastAsia="Times New Roman" w:hAnsi="Times New Roman" w:cs="Times New Roman"/>
                <w:color w:val="000000"/>
                <w:sz w:val="20"/>
                <w:szCs w:val="20"/>
              </w:rPr>
              <w:instrText>ADDIN CSL_CITATION {"citationItems":[{"id":"ITEM-1","itemData":{"DOI":"10.1111/J.1365-2958.2010.07448.X","ISSN":"1365-2958","PMID":"21219457","abstract":"Gallic acid (3,4,5-trihydroxybenzoic acid, GA) is widely distributed in nature, being a major phenolic pollutant and a commonly used antioxidant and building-block for drug development. We have characterized the first complete cluster (gal genes) responsible for growth in GA in a derivative of the model bacterium Pseudomonas putida KT2440. GalT mediates specific GA uptake and chemotaxis, and highlights the critical role of GA transport in bacterial adaptation to GA consumption. The proposed GA degradation via the central intermediate 4-oxalomesaconic acid (OMA) was revisited and all enzymes involved have been identified. Thus, GalD is the prototype of a new subfamily of isomerases that catalyses a biochemical step that remained unknown, i.e. the tautomerization of the OMAketo generated by the GalA dioxygenase to OMAenol. GalB is the founding member of a new family of zinc-containing hydratases that converts OMAenol into 4-carboxy-4-hydroxy-2-oxoadipic acid (CHA). galC encodes the aldolase catalysing CHA cleavage to pyruvic and oxaloacetic acids. The presence of homologous gal clusters outside the Pseudomonas genus sheds light on the evolution and ecology of the gal genes in GA degraders. The gal genes were used for expanding the metabolic abilities of heterologous hosts towards GA degradation, and for engineering a GA cellular biosensor. © 2010 Blackwell Publishing Ltd.","author":[{"dropping-particle":"","family":"Nogales","given":"Juan","non-dropping-particle":"","parse-names":false,"suffix":""},{"dropping-particle":"","family":"Canales","given":"Angeles","non-dropping-particle":"","parse-names":false,"suffix":""},{"dropping-particle":"","family":"Jiménez-Barbero","given":"Jesús","non-dropping-particle":"","parse-names":false,"suffix":""},{"dropping-particle":"","family":"Serra","given":"Beatriz","non-dropping-particle":"","parse-names":false,"suffix":""},{"dropping-particle":"","family":"Pingarrón","given":"José","non-dropping-particle":"","parse-names":false,"suffix":""},{"dropping-particle":"","family":"García","given":"José","non-dropping-particle":"","parse-names":false,"suffix":""},{"dropping-particle":"","family":"Díaz","given":"Eduardo","non-dropping-particle":"","parse-names":false,"suffix":""}],"container-title":"Molecular microbiology","id":"ITEM-1","issue":"2","issued":{"date-parts":[["2011","1"]]},"page":"359-374","publisher":"Mol Microbiol","title":"Unravelling the gallic acid degradation pathway in bacteria: the gal cluster from &lt;i&gt;Pseudomonas putida&lt;/i&gt;","type":"article-journal","volume":"79"},"uris":["http://www.mendeley.com/documents/?uuid=f83aa6a1-99a8-302e-8632-86d343ad7cb2"]}],"mendeley":{"formattedCitation":"(Nogales et al., 2011)","plainTextFormattedCitation":"(Nogales et al., 2011)","previouslyFormattedCitation":"(Nogales et al., 2011)"},"properties":{"noteIndex":0},"schema":"https://github.com/citation-style-language/schema/raw/master/csl-citation.json"}</w:instrText>
            </w:r>
            <w:r w:rsidRPr="004D32BA">
              <w:rPr>
                <w:rFonts w:ascii="Times New Roman" w:eastAsia="Times New Roman" w:hAnsi="Times New Roman" w:cs="Times New Roman"/>
                <w:color w:val="000000"/>
                <w:sz w:val="20"/>
                <w:szCs w:val="20"/>
              </w:rPr>
              <w:fldChar w:fldCharType="separate"/>
            </w:r>
            <w:r w:rsidR="005F68A7" w:rsidRPr="004D32BA">
              <w:rPr>
                <w:rFonts w:ascii="Times New Roman" w:eastAsia="Times New Roman" w:hAnsi="Times New Roman" w:cs="Times New Roman"/>
                <w:noProof/>
                <w:color w:val="000000"/>
                <w:sz w:val="20"/>
                <w:szCs w:val="20"/>
              </w:rPr>
              <w:t>(Nogales et al., 2011)</w:t>
            </w:r>
            <w:r w:rsidRPr="004D32BA">
              <w:rPr>
                <w:rFonts w:ascii="Times New Roman" w:eastAsia="Times New Roman" w:hAnsi="Times New Roman" w:cs="Times New Roman"/>
                <w:color w:val="000000"/>
                <w:sz w:val="20"/>
                <w:szCs w:val="20"/>
              </w:rPr>
              <w:fldChar w:fldCharType="end"/>
            </w:r>
          </w:p>
        </w:tc>
      </w:tr>
      <w:tr w:rsidR="00F25170" w:rsidRPr="00EF447E" w14:paraId="3047767A" w14:textId="77777777" w:rsidTr="005F68A7">
        <w:tc>
          <w:tcPr>
            <w:cnfStyle w:val="001000000000" w:firstRow="0" w:lastRow="0" w:firstColumn="1" w:lastColumn="0" w:oddVBand="0" w:evenVBand="0" w:oddHBand="0" w:evenHBand="0" w:firstRowFirstColumn="0" w:firstRowLastColumn="0" w:lastRowFirstColumn="0" w:lastRowLastColumn="0"/>
            <w:tcW w:w="781" w:type="pct"/>
            <w:vAlign w:val="center"/>
          </w:tcPr>
          <w:p w14:paraId="75B41089" w14:textId="56E9D131" w:rsidR="00F25170" w:rsidRPr="004D32BA" w:rsidRDefault="00552695" w:rsidP="00621B9F">
            <w:pPr>
              <w:pStyle w:val="Sinespaciado"/>
              <w:spacing w:line="276" w:lineRule="auto"/>
              <w:rPr>
                <w:rFonts w:ascii="Times New Roman" w:hAnsi="Times New Roman" w:cs="Times New Roman"/>
                <w:b w:val="0"/>
                <w:bCs w:val="0"/>
                <w:color w:val="FF0000"/>
                <w:sz w:val="20"/>
                <w:szCs w:val="20"/>
              </w:rPr>
            </w:pPr>
            <w:r>
              <w:rPr>
                <w:rFonts w:ascii="Times New Roman" w:hAnsi="Times New Roman" w:cs="Times New Roman"/>
                <w:b w:val="0"/>
                <w:bCs w:val="0"/>
                <w:sz w:val="20"/>
                <w:szCs w:val="20"/>
              </w:rPr>
              <w:t xml:space="preserve">T1 </w:t>
            </w:r>
            <w:r w:rsidR="00F25170" w:rsidRPr="004D32BA">
              <w:rPr>
                <w:rFonts w:ascii="Times New Roman" w:hAnsi="Times New Roman" w:cs="Times New Roman"/>
                <w:b w:val="0"/>
                <w:bCs w:val="0"/>
                <w:sz w:val="20"/>
                <w:szCs w:val="20"/>
              </w:rPr>
              <w:t>Terminator</w:t>
            </w:r>
          </w:p>
        </w:tc>
        <w:tc>
          <w:tcPr>
            <w:tcW w:w="3389" w:type="pct"/>
            <w:vAlign w:val="center"/>
          </w:tcPr>
          <w:p w14:paraId="17EB4F82" w14:textId="42D36235" w:rsidR="00F25170" w:rsidRPr="004D32BA" w:rsidRDefault="00292F8D" w:rsidP="00621B9F">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2BA">
              <w:rPr>
                <w:rFonts w:ascii="Times New Roman" w:hAnsi="Times New Roman" w:cs="Times New Roman"/>
                <w:sz w:val="20"/>
                <w:szCs w:val="20"/>
              </w:rPr>
              <w:t>GCTTCTTGGACTCCTGTTGATAGATCCAGTAATGACCTCAGAACTCCATCTGGATTTGTTCAGAACGCTCGGTTGCCGCCGGGCGTTTTTTATTGGTGAGAATCCAGCGCT</w:t>
            </w:r>
          </w:p>
        </w:tc>
        <w:tc>
          <w:tcPr>
            <w:tcW w:w="830" w:type="pct"/>
            <w:vAlign w:val="center"/>
          </w:tcPr>
          <w:p w14:paraId="3955EBE5" w14:textId="77777777"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F25170" w:rsidRPr="00EF447E" w14:paraId="1649A3ED"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4098E855" w14:textId="0467BB24" w:rsidR="00F25170" w:rsidRPr="004D32BA" w:rsidRDefault="00552695" w:rsidP="00621B9F">
            <w:pPr>
              <w:pStyle w:val="Sinespaciado"/>
              <w:spacing w:line="276" w:lineRule="auto"/>
              <w:rPr>
                <w:rFonts w:ascii="Times New Roman" w:hAnsi="Times New Roman" w:cs="Times New Roman"/>
                <w:sz w:val="20"/>
                <w:szCs w:val="20"/>
              </w:rPr>
            </w:pPr>
            <w:bookmarkStart w:id="3" w:name="_Hlk128413870"/>
            <w:bookmarkEnd w:id="1"/>
            <w:proofErr w:type="spellStart"/>
            <w:r>
              <w:rPr>
                <w:rFonts w:ascii="Times New Roman" w:hAnsi="Times New Roman" w:cs="Times New Roman"/>
                <w:b w:val="0"/>
                <w:bCs w:val="0"/>
                <w:sz w:val="20"/>
                <w:szCs w:val="20"/>
              </w:rPr>
              <w:t>BBa</w:t>
            </w:r>
            <w:proofErr w:type="spellEnd"/>
            <w:r>
              <w:rPr>
                <w:rFonts w:ascii="Times New Roman" w:hAnsi="Times New Roman" w:cs="Times New Roman"/>
                <w:b w:val="0"/>
                <w:bCs w:val="0"/>
                <w:sz w:val="20"/>
                <w:szCs w:val="20"/>
              </w:rPr>
              <w:t xml:space="preserve"> B1006</w:t>
            </w:r>
            <w:r w:rsidR="00AB25F0">
              <w:rPr>
                <w:rFonts w:ascii="Times New Roman" w:hAnsi="Times New Roman" w:cs="Times New Roman"/>
                <w:b w:val="0"/>
                <w:bCs w:val="0"/>
                <w:sz w:val="20"/>
                <w:szCs w:val="20"/>
              </w:rPr>
              <w:t xml:space="preserve"> </w:t>
            </w:r>
            <w:r w:rsidR="00AB25F0" w:rsidRPr="004D32BA">
              <w:rPr>
                <w:rFonts w:ascii="Times New Roman" w:hAnsi="Times New Roman" w:cs="Times New Roman"/>
                <w:b w:val="0"/>
                <w:bCs w:val="0"/>
                <w:sz w:val="20"/>
                <w:szCs w:val="20"/>
              </w:rPr>
              <w:t>Terminator</w:t>
            </w:r>
            <w:bookmarkEnd w:id="3"/>
          </w:p>
        </w:tc>
        <w:tc>
          <w:tcPr>
            <w:tcW w:w="3389" w:type="pct"/>
            <w:vAlign w:val="center"/>
          </w:tcPr>
          <w:p w14:paraId="4515DFB1" w14:textId="54088A86" w:rsidR="00F25170"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AAAAAAAAACCCCGCCCCTGACAGGGCGGGGTTTTTTTT</w:t>
            </w:r>
          </w:p>
        </w:tc>
        <w:tc>
          <w:tcPr>
            <w:tcW w:w="830" w:type="pct"/>
            <w:vAlign w:val="center"/>
          </w:tcPr>
          <w:p w14:paraId="733368D5" w14:textId="77777777"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http://parts.igem.org/Part:BBa_B1006</w:t>
            </w:r>
          </w:p>
        </w:tc>
      </w:tr>
      <w:tr w:rsidR="00F25170" w:rsidRPr="00EF447E" w14:paraId="4C29AAA1" w14:textId="77777777" w:rsidTr="005F68A7">
        <w:tc>
          <w:tcPr>
            <w:cnfStyle w:val="001000000000" w:firstRow="0" w:lastRow="0" w:firstColumn="1" w:lastColumn="0" w:oddVBand="0" w:evenVBand="0" w:oddHBand="0" w:evenHBand="0" w:firstRowFirstColumn="0" w:firstRowLastColumn="0" w:lastRowFirstColumn="0" w:lastRowLastColumn="0"/>
            <w:tcW w:w="781" w:type="pct"/>
            <w:vAlign w:val="center"/>
          </w:tcPr>
          <w:p w14:paraId="222267FB" w14:textId="4B76111D" w:rsidR="00F25170" w:rsidRPr="004D32BA" w:rsidRDefault="00B3405B" w:rsidP="00621B9F">
            <w:pPr>
              <w:pStyle w:val="Sinespaciado"/>
              <w:spacing w:line="276" w:lineRule="auto"/>
              <w:ind w:right="-144"/>
              <w:rPr>
                <w:rFonts w:ascii="Times New Roman" w:hAnsi="Times New Roman" w:cs="Times New Roman"/>
                <w:sz w:val="20"/>
                <w:szCs w:val="20"/>
              </w:rPr>
            </w:pPr>
            <w:r>
              <w:rPr>
                <w:rFonts w:ascii="Times New Roman" w:hAnsi="Times New Roman" w:cs="Times New Roman"/>
                <w:b w:val="0"/>
                <w:bCs w:val="0"/>
                <w:sz w:val="20"/>
                <w:szCs w:val="20"/>
              </w:rPr>
              <w:t>Linker</w:t>
            </w:r>
            <w:r w:rsidR="00F25170" w:rsidRPr="004D32BA">
              <w:rPr>
                <w:rFonts w:ascii="Times New Roman" w:hAnsi="Times New Roman" w:cs="Times New Roman"/>
                <w:b w:val="0"/>
                <w:bCs w:val="0"/>
                <w:sz w:val="20"/>
                <w:szCs w:val="20"/>
              </w:rPr>
              <w:t xml:space="preserve"> Terminator 1</w:t>
            </w:r>
          </w:p>
        </w:tc>
        <w:tc>
          <w:tcPr>
            <w:tcW w:w="3389" w:type="pct"/>
            <w:vAlign w:val="center"/>
          </w:tcPr>
          <w:p w14:paraId="1CFBDA75" w14:textId="1BC484AB" w:rsidR="00F25170" w:rsidRPr="004D32BA" w:rsidRDefault="00292F8D"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4D32BA">
              <w:rPr>
                <w:rFonts w:ascii="Times New Roman" w:hAnsi="Times New Roman" w:cs="Times New Roman"/>
                <w:sz w:val="20"/>
                <w:szCs w:val="20"/>
              </w:rPr>
              <w:t>TCCCAGACCCACCTT</w:t>
            </w:r>
          </w:p>
        </w:tc>
        <w:tc>
          <w:tcPr>
            <w:tcW w:w="830" w:type="pct"/>
            <w:vAlign w:val="center"/>
          </w:tcPr>
          <w:p w14:paraId="04F87EEB" w14:textId="77777777"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F25170" w:rsidRPr="00EF447E" w14:paraId="4E04EAF9"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583B13C" w14:textId="15CA5CCF" w:rsidR="00F25170" w:rsidRPr="004D32BA" w:rsidRDefault="00B3405B" w:rsidP="00621B9F">
            <w:pPr>
              <w:pStyle w:val="Sinespaciado"/>
              <w:spacing w:line="276" w:lineRule="auto"/>
              <w:rPr>
                <w:rFonts w:ascii="Times New Roman" w:hAnsi="Times New Roman" w:cs="Times New Roman"/>
                <w:sz w:val="20"/>
                <w:szCs w:val="20"/>
              </w:rPr>
            </w:pPr>
            <w:r>
              <w:rPr>
                <w:rFonts w:ascii="Times New Roman" w:hAnsi="Times New Roman" w:cs="Times New Roman"/>
                <w:b w:val="0"/>
                <w:bCs w:val="0"/>
                <w:sz w:val="20"/>
                <w:szCs w:val="20"/>
              </w:rPr>
              <w:t>Linker</w:t>
            </w:r>
            <w:r w:rsidR="00F25170" w:rsidRPr="004D32BA">
              <w:rPr>
                <w:rFonts w:ascii="Times New Roman" w:hAnsi="Times New Roman" w:cs="Times New Roman"/>
                <w:b w:val="0"/>
                <w:bCs w:val="0"/>
                <w:sz w:val="20"/>
                <w:szCs w:val="20"/>
              </w:rPr>
              <w:t xml:space="preserve"> Terminator </w:t>
            </w:r>
            <w:r>
              <w:rPr>
                <w:rFonts w:ascii="Times New Roman" w:hAnsi="Times New Roman" w:cs="Times New Roman"/>
                <w:b w:val="0"/>
                <w:bCs w:val="0"/>
                <w:sz w:val="20"/>
                <w:szCs w:val="20"/>
              </w:rPr>
              <w:t>3</w:t>
            </w:r>
          </w:p>
        </w:tc>
        <w:tc>
          <w:tcPr>
            <w:tcW w:w="3389" w:type="pct"/>
            <w:vAlign w:val="center"/>
          </w:tcPr>
          <w:p w14:paraId="58334754" w14:textId="07246A21" w:rsidR="00F25170"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4D32BA">
              <w:rPr>
                <w:rFonts w:ascii="Times New Roman" w:hAnsi="Times New Roman" w:cs="Times New Roman"/>
                <w:sz w:val="20"/>
                <w:szCs w:val="20"/>
              </w:rPr>
              <w:t>CACGGGCGGTAGCAG</w:t>
            </w:r>
          </w:p>
        </w:tc>
        <w:tc>
          <w:tcPr>
            <w:tcW w:w="830" w:type="pct"/>
            <w:vAlign w:val="center"/>
          </w:tcPr>
          <w:p w14:paraId="42443729" w14:textId="77777777"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F25170" w:rsidRPr="00EF447E" w14:paraId="0273BB7D" w14:textId="77777777" w:rsidTr="005F68A7">
        <w:tc>
          <w:tcPr>
            <w:cnfStyle w:val="001000000000" w:firstRow="0" w:lastRow="0" w:firstColumn="1" w:lastColumn="0" w:oddVBand="0" w:evenVBand="0" w:oddHBand="0" w:evenHBand="0" w:firstRowFirstColumn="0" w:firstRowLastColumn="0" w:lastRowFirstColumn="0" w:lastRowLastColumn="0"/>
            <w:tcW w:w="781" w:type="pct"/>
            <w:vAlign w:val="center"/>
          </w:tcPr>
          <w:p w14:paraId="2DB72C73" w14:textId="14E57811" w:rsidR="00F25170" w:rsidRPr="004D32BA" w:rsidRDefault="00B3405B" w:rsidP="00621B9F">
            <w:pPr>
              <w:pStyle w:val="Sinespaciado"/>
              <w:spacing w:line="276" w:lineRule="auto"/>
              <w:rPr>
                <w:rFonts w:ascii="Times New Roman" w:hAnsi="Times New Roman" w:cs="Times New Roman"/>
                <w:sz w:val="20"/>
                <w:szCs w:val="20"/>
              </w:rPr>
            </w:pPr>
            <w:r>
              <w:rPr>
                <w:rFonts w:ascii="Times New Roman" w:hAnsi="Times New Roman" w:cs="Times New Roman"/>
                <w:b w:val="0"/>
                <w:bCs w:val="0"/>
                <w:sz w:val="20"/>
                <w:szCs w:val="20"/>
              </w:rPr>
              <w:t>Linker</w:t>
            </w:r>
          </w:p>
          <w:p w14:paraId="6730F105" w14:textId="167C19D7" w:rsidR="00F25170" w:rsidRPr="004D32BA" w:rsidRDefault="00F25170"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 xml:space="preserve">Promoter </w:t>
            </w:r>
            <w:r w:rsidR="00B3405B">
              <w:rPr>
                <w:rFonts w:ascii="Times New Roman" w:hAnsi="Times New Roman" w:cs="Times New Roman"/>
                <w:b w:val="0"/>
                <w:bCs w:val="0"/>
                <w:sz w:val="20"/>
                <w:szCs w:val="20"/>
              </w:rPr>
              <w:t>2</w:t>
            </w:r>
          </w:p>
        </w:tc>
        <w:tc>
          <w:tcPr>
            <w:tcW w:w="3389" w:type="pct"/>
            <w:vAlign w:val="center"/>
          </w:tcPr>
          <w:p w14:paraId="5B9B4453" w14:textId="222F79CB" w:rsidR="00F25170" w:rsidRPr="004D32BA" w:rsidRDefault="00292F8D"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4D32BA">
              <w:rPr>
                <w:rFonts w:ascii="Times New Roman" w:hAnsi="Times New Roman" w:cs="Times New Roman"/>
                <w:sz w:val="20"/>
                <w:szCs w:val="20"/>
              </w:rPr>
              <w:t>AAACTCAGTTGTAGT</w:t>
            </w:r>
          </w:p>
        </w:tc>
        <w:tc>
          <w:tcPr>
            <w:tcW w:w="830" w:type="pct"/>
            <w:vAlign w:val="center"/>
          </w:tcPr>
          <w:p w14:paraId="6E99197D" w14:textId="77777777" w:rsidR="00F25170" w:rsidRPr="004D32BA" w:rsidRDefault="00F25170"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F25170" w:rsidRPr="00EF447E" w14:paraId="5BE99100"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2CEC4D41" w14:textId="07AD3A46" w:rsidR="00F25170" w:rsidRPr="004D32BA" w:rsidRDefault="00B3405B" w:rsidP="00621B9F">
            <w:pPr>
              <w:pStyle w:val="Sinespaciado"/>
              <w:spacing w:line="276" w:lineRule="auto"/>
              <w:rPr>
                <w:rFonts w:ascii="Times New Roman" w:hAnsi="Times New Roman" w:cs="Times New Roman"/>
                <w:sz w:val="20"/>
                <w:szCs w:val="20"/>
              </w:rPr>
            </w:pPr>
            <w:r>
              <w:rPr>
                <w:rFonts w:ascii="Times New Roman" w:hAnsi="Times New Roman" w:cs="Times New Roman"/>
                <w:b w:val="0"/>
                <w:bCs w:val="0"/>
                <w:sz w:val="20"/>
                <w:szCs w:val="20"/>
              </w:rPr>
              <w:t>Linker</w:t>
            </w:r>
          </w:p>
          <w:p w14:paraId="005C7BDB" w14:textId="1CC7F6CA" w:rsidR="00F25170" w:rsidRPr="004D32BA" w:rsidRDefault="00F25170"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 xml:space="preserve">Promoter </w:t>
            </w:r>
            <w:r w:rsidR="00B3405B">
              <w:rPr>
                <w:rFonts w:ascii="Times New Roman" w:hAnsi="Times New Roman" w:cs="Times New Roman"/>
                <w:b w:val="0"/>
                <w:bCs w:val="0"/>
                <w:sz w:val="20"/>
                <w:szCs w:val="20"/>
              </w:rPr>
              <w:t>4</w:t>
            </w:r>
          </w:p>
        </w:tc>
        <w:tc>
          <w:tcPr>
            <w:tcW w:w="3389" w:type="pct"/>
            <w:vAlign w:val="center"/>
          </w:tcPr>
          <w:p w14:paraId="77081E61" w14:textId="0E10DC8F" w:rsidR="00F25170"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4D32BA">
              <w:rPr>
                <w:rFonts w:ascii="Times New Roman" w:hAnsi="Times New Roman" w:cs="Times New Roman"/>
                <w:sz w:val="20"/>
                <w:szCs w:val="20"/>
              </w:rPr>
              <w:t>GGAGCCCCTGGCGCCCCTT</w:t>
            </w:r>
          </w:p>
        </w:tc>
        <w:tc>
          <w:tcPr>
            <w:tcW w:w="830" w:type="pct"/>
            <w:vAlign w:val="center"/>
          </w:tcPr>
          <w:p w14:paraId="0D825452" w14:textId="77777777" w:rsidR="00F25170" w:rsidRPr="004D32BA" w:rsidRDefault="00F25170"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7407B3" w:rsidRPr="00EF447E" w14:paraId="0648AE04" w14:textId="77777777" w:rsidTr="007407B3">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1A3F37B4" w14:textId="7C034189" w:rsidR="007407B3" w:rsidRPr="00D32617" w:rsidRDefault="007407B3" w:rsidP="007407B3">
            <w:pPr>
              <w:pStyle w:val="Sinespaciado"/>
              <w:spacing w:line="276" w:lineRule="auto"/>
              <w:jc w:val="center"/>
              <w:rPr>
                <w:rFonts w:ascii="Times New Roman" w:eastAsia="Times New Roman" w:hAnsi="Times New Roman" w:cs="Times New Roman"/>
                <w:b w:val="0"/>
                <w:color w:val="000000"/>
                <w:sz w:val="20"/>
                <w:szCs w:val="20"/>
              </w:rPr>
            </w:pPr>
            <w:r w:rsidRPr="00D32617">
              <w:rPr>
                <w:rFonts w:ascii="Times New Roman" w:hAnsi="Times New Roman" w:cs="Times New Roman"/>
                <w:b w:val="0"/>
                <w:sz w:val="20"/>
                <w:szCs w:val="20"/>
              </w:rPr>
              <w:t>Host plasmids</w:t>
            </w:r>
          </w:p>
        </w:tc>
      </w:tr>
      <w:tr w:rsidR="007407B3" w:rsidRPr="00EF447E" w14:paraId="293BD32A"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Merge w:val="restart"/>
            <w:vAlign w:val="center"/>
          </w:tcPr>
          <w:p w14:paraId="2D473C74" w14:textId="13BE5B57" w:rsidR="007407B3" w:rsidRPr="00D32617" w:rsidRDefault="007407B3" w:rsidP="00621B9F">
            <w:pPr>
              <w:pStyle w:val="Sinespaciado"/>
              <w:spacing w:line="276" w:lineRule="auto"/>
              <w:rPr>
                <w:rFonts w:ascii="Times New Roman" w:hAnsi="Times New Roman" w:cs="Times New Roman"/>
                <w:b w:val="0"/>
                <w:sz w:val="20"/>
                <w:szCs w:val="20"/>
              </w:rPr>
            </w:pPr>
            <w:r w:rsidRPr="007407B3">
              <w:rPr>
                <w:rFonts w:ascii="Times New Roman" w:hAnsi="Times New Roman" w:cs="Times New Roman"/>
                <w:b w:val="0"/>
                <w:sz w:val="20"/>
                <w:szCs w:val="20"/>
              </w:rPr>
              <w:t>Lv1 Host vector</w:t>
            </w:r>
          </w:p>
        </w:tc>
        <w:tc>
          <w:tcPr>
            <w:tcW w:w="3389" w:type="pct"/>
            <w:vAlign w:val="center"/>
          </w:tcPr>
          <w:p w14:paraId="20E70309" w14:textId="602A97A0" w:rsidR="007407B3" w:rsidRPr="00D32617" w:rsidRDefault="007407B3" w:rsidP="007407B3">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7407B3">
              <w:rPr>
                <w:rFonts w:ascii="Times New Roman" w:hAnsi="Times New Roman" w:cs="Times New Roman"/>
                <w:bCs/>
                <w:sz w:val="20"/>
                <w:szCs w:val="20"/>
              </w:rPr>
              <w:t>pSEVA23g19[g1]</w:t>
            </w:r>
            <w:r>
              <w:rPr>
                <w:rFonts w:ascii="Times New Roman" w:hAnsi="Times New Roman" w:cs="Times New Roman"/>
                <w:bCs/>
                <w:sz w:val="20"/>
                <w:szCs w:val="20"/>
              </w:rPr>
              <w:t xml:space="preserve"> </w:t>
            </w:r>
            <w:r w:rsidR="00F43054">
              <w:rPr>
                <w:rFonts w:ascii="Times New Roman" w:hAnsi="Times New Roman" w:cs="Times New Roman"/>
                <w:bCs/>
                <w:sz w:val="20"/>
                <w:szCs w:val="20"/>
              </w:rPr>
              <w:t xml:space="preserve">- </w:t>
            </w:r>
            <w:r w:rsidR="00095C81">
              <w:rPr>
                <w:rFonts w:ascii="Times New Roman" w:hAnsi="Times New Roman" w:cs="Times New Roman"/>
                <w:bCs/>
                <w:sz w:val="20"/>
                <w:szCs w:val="20"/>
              </w:rPr>
              <w:t xml:space="preserve">Fusion sites </w:t>
            </w:r>
            <w:r w:rsidR="00F43054">
              <w:rPr>
                <w:rFonts w:ascii="Times New Roman" w:hAnsi="Times New Roman" w:cs="Times New Roman"/>
                <w:bCs/>
                <w:sz w:val="20"/>
                <w:szCs w:val="20"/>
              </w:rPr>
              <w:t>1</w:t>
            </w:r>
            <w:r w:rsidRPr="007407B3">
              <w:rPr>
                <w:rFonts w:ascii="Times New Roman" w:hAnsi="Times New Roman" w:cs="Times New Roman"/>
                <w:bCs/>
                <w:sz w:val="20"/>
                <w:szCs w:val="20"/>
              </w:rPr>
              <w:t>AI2</w:t>
            </w:r>
          </w:p>
        </w:tc>
        <w:tc>
          <w:tcPr>
            <w:tcW w:w="830" w:type="pct"/>
            <w:vMerge w:val="restart"/>
            <w:vAlign w:val="center"/>
          </w:tcPr>
          <w:p w14:paraId="378410B0" w14:textId="77777777" w:rsidR="00095C81" w:rsidRPr="00D32617" w:rsidRDefault="00095C81" w:rsidP="00095C81">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32617">
              <w:rPr>
                <w:rFonts w:ascii="Times New Roman" w:hAnsi="Times New Roman" w:cs="Times New Roman"/>
                <w:sz w:val="20"/>
                <w:szCs w:val="20"/>
              </w:rPr>
              <w:fldChar w:fldCharType="begin" w:fldLock="1"/>
            </w:r>
            <w:r w:rsidRPr="00D32617">
              <w:rPr>
                <w:rFonts w:ascii="Times New Roman" w:hAnsi="Times New Roman" w:cs="Times New Roman"/>
                <w:sz w:val="20"/>
                <w:szCs w:val="20"/>
              </w:rPr>
              <w:instrText>ADDIN CSL_CITATION {"citationItems":[{"id":"ITEM-1","itemData":{"DOI":"10.1101/2022.09.20.508659","abstract":"Modular cloning assembly has become a benchmark technology in synthetic biology. However, there is a mismatch between its impressive development and the standardization required to promote interoperability between the different systems available. The full development of the field is thus hampered by a surge of oftentimes incompatible organism-specific systems. To overcome these issues, we present Golden Standard (GS), a Type IIS assembly method underpinned by the Standard European Vector Architecture (SEVA). GS unlocks modular cloning applications with any type of microorganism and delivers consistent combinatorial multi-part assembly of standardized genetic elements to create genetic circuits of up to twenty transcription units. Reliance on the Golden Gate syntax renders GS fully compatible with many existing tools and it sets the path towards efficient reusability of available part libraries and assembled TUs. GS was fully validated in terms of DNA assembly performance, portability and phenotype engineering in model and non-model bacteria. In order to facilitate the widespread adoption and future community-driven development of GS, we provide a web-portal featuring: i) a repository of parts and vectors, ii) a SBOLHub for exchange and analysis of constructs and iii) Wizard and Setup tools to guide the design of constructs using stored and user-specific parts.\n\n### Competing Interest Statement\n\nThe authors have declared no competing interest.","author":[{"dropping-particle":"","family":"Blázquez","given":"Blas","non-dropping-particle":"","parse-names":false,"suffix":""},{"dropping-particle":"","family":"Torres-Bacete","given":"Jesús","non-dropping-particle":"","parse-names":false,"suffix":""},{"dropping-particle":"","family":"Leon","given":"David San","non-dropping-particle":"","parse-names":false,"suffix":""},{"dropping-particle":"","family":"Kniewel","given":"Ryan","non-dropping-particle":"","parse-names":false,"suffix":""},{"dropping-particle":"","family":"Martinez","given":"Igor","non-dropping-particle":"","parse-names":false,"suffix":""},{"dropping-particle":"","family":"Sordon","given":"Sandra","non-dropping-particle":"","parse-names":false,"suffix":""},{"dropping-particle":"","family":"Wilczak","given":"Aleksandra","non-dropping-particle":"","parse-names":false,"suffix":""},{"dropping-particle":"","family":"Salgado","given":"Sergio","non-dropping-particle":"","parse-names":false,"suffix":""},{"dropping-particle":"","family":"Huszcza","given":"Ewa","non-dropping-particle":"","parse-names":false,"suffix":""},{"dropping-particle":"","family":"Popłoński","given":"Jarosław","non-dropping-particle":"","parse-names":false,"suffix":""},{"dropping-particle":"","family":"Prieto","given":"M. Auxiliadora","non-dropping-particle":"","parse-names":false,"suffix":""},{"dropping-particle":"","family":"Nogales","given":"Juan","non-dropping-particle":"","parse-names":false,"suffix":""}],"container-title":"bioRxiv","id":"ITEM-1","issued":{"date-parts":[["2022","9","20"]]},"page":"2022.09.20.508659","publisher":"Cold Spring Harbor Laboratory","title":"Golden Standard: A complete standard, portable, and interoperative MoClo tool for model and non-model bacterial hosts","type":"article-journal"},"uris":["http://www.mendeley.com/documents/?uuid=1ce04c7a-5c68-3185-8d6c-38de18d7cd7b"]}],"mendeley":{"formattedCitation":"(Blázquez et al., 2022)","plainTextFormattedCitation":"(Blázquez et al., 2022)"},"properties":{"noteIndex":0},"schema":"https://github.com/citation-style-language/schema/raw/master/csl-citation.json"}</w:instrText>
            </w:r>
            <w:r w:rsidRPr="00D32617">
              <w:rPr>
                <w:rFonts w:ascii="Times New Roman" w:hAnsi="Times New Roman" w:cs="Times New Roman"/>
                <w:sz w:val="20"/>
                <w:szCs w:val="20"/>
              </w:rPr>
              <w:fldChar w:fldCharType="separate"/>
            </w:r>
            <w:r w:rsidRPr="00D32617">
              <w:rPr>
                <w:rFonts w:ascii="Times New Roman" w:hAnsi="Times New Roman" w:cs="Times New Roman"/>
                <w:sz w:val="20"/>
                <w:szCs w:val="20"/>
              </w:rPr>
              <w:t>(Blázquez et al., 2022)</w:t>
            </w:r>
            <w:r w:rsidRPr="00D32617">
              <w:rPr>
                <w:rFonts w:ascii="Times New Roman" w:hAnsi="Times New Roman" w:cs="Times New Roman"/>
                <w:sz w:val="20"/>
                <w:szCs w:val="20"/>
              </w:rPr>
              <w:fldChar w:fldCharType="end"/>
            </w:r>
          </w:p>
          <w:p w14:paraId="596C4264" w14:textId="13A61966" w:rsidR="007407B3" w:rsidRPr="00D32617" w:rsidRDefault="007407B3"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7407B3" w:rsidRPr="00EF447E" w14:paraId="6AA96239" w14:textId="77777777" w:rsidTr="005F68A7">
        <w:tc>
          <w:tcPr>
            <w:cnfStyle w:val="001000000000" w:firstRow="0" w:lastRow="0" w:firstColumn="1" w:lastColumn="0" w:oddVBand="0" w:evenVBand="0" w:oddHBand="0" w:evenHBand="0" w:firstRowFirstColumn="0" w:firstRowLastColumn="0" w:lastRowFirstColumn="0" w:lastRowLastColumn="0"/>
            <w:tcW w:w="781" w:type="pct"/>
            <w:vMerge/>
            <w:vAlign w:val="center"/>
          </w:tcPr>
          <w:p w14:paraId="06EF1570" w14:textId="77777777" w:rsidR="007407B3" w:rsidRPr="00D32617" w:rsidRDefault="007407B3" w:rsidP="00621B9F">
            <w:pPr>
              <w:pStyle w:val="Sinespaciado"/>
              <w:spacing w:line="276" w:lineRule="auto"/>
              <w:rPr>
                <w:rFonts w:ascii="Times New Roman" w:hAnsi="Times New Roman" w:cs="Times New Roman"/>
                <w:b w:val="0"/>
                <w:sz w:val="20"/>
                <w:szCs w:val="20"/>
              </w:rPr>
            </w:pPr>
          </w:p>
        </w:tc>
        <w:tc>
          <w:tcPr>
            <w:tcW w:w="3389" w:type="pct"/>
            <w:vAlign w:val="center"/>
          </w:tcPr>
          <w:p w14:paraId="1D161EF7" w14:textId="5D07C764" w:rsidR="007407B3" w:rsidRPr="00EF447E" w:rsidRDefault="007407B3" w:rsidP="007407B3">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447E">
              <w:rPr>
                <w:rFonts w:ascii="Times New Roman" w:hAnsi="Times New Roman" w:cs="Times New Roman"/>
                <w:bCs/>
                <w:sz w:val="20"/>
                <w:szCs w:val="20"/>
              </w:rPr>
              <w:t xml:space="preserve">pSEVA23g19[g2] - </w:t>
            </w:r>
            <w:r w:rsidR="00095C81" w:rsidRPr="00EF447E">
              <w:rPr>
                <w:rFonts w:ascii="Times New Roman" w:hAnsi="Times New Roman" w:cs="Times New Roman"/>
                <w:bCs/>
                <w:sz w:val="20"/>
                <w:szCs w:val="20"/>
              </w:rPr>
              <w:t>Fusion sites</w:t>
            </w:r>
            <w:r w:rsidR="00F43054" w:rsidRPr="00EF447E">
              <w:rPr>
                <w:rFonts w:ascii="Times New Roman" w:hAnsi="Times New Roman" w:cs="Times New Roman"/>
                <w:bCs/>
                <w:sz w:val="20"/>
                <w:szCs w:val="20"/>
              </w:rPr>
              <w:t xml:space="preserve"> </w:t>
            </w:r>
            <w:r w:rsidRPr="00EF447E">
              <w:rPr>
                <w:rFonts w:ascii="Times New Roman" w:hAnsi="Times New Roman" w:cs="Times New Roman"/>
                <w:bCs/>
                <w:sz w:val="20"/>
                <w:szCs w:val="20"/>
              </w:rPr>
              <w:t>2AI3</w:t>
            </w:r>
            <w:r w:rsidR="00095C81" w:rsidRPr="00EF447E">
              <w:rPr>
                <w:rFonts w:ascii="Times New Roman" w:hAnsi="Times New Roman" w:cs="Times New Roman"/>
                <w:sz w:val="20"/>
                <w:szCs w:val="20"/>
              </w:rPr>
              <w:t xml:space="preserve"> </w:t>
            </w:r>
          </w:p>
        </w:tc>
        <w:tc>
          <w:tcPr>
            <w:tcW w:w="830" w:type="pct"/>
            <w:vMerge/>
            <w:vAlign w:val="center"/>
          </w:tcPr>
          <w:p w14:paraId="74AEA2D3" w14:textId="66292CE1" w:rsidR="007407B3" w:rsidRPr="00EF447E" w:rsidRDefault="007407B3"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07B3" w:rsidRPr="00EF447E" w14:paraId="3CBBAB74" w14:textId="77777777" w:rsidTr="005F6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vMerge/>
            <w:vAlign w:val="center"/>
          </w:tcPr>
          <w:p w14:paraId="3FED19CE" w14:textId="77777777" w:rsidR="007407B3" w:rsidRPr="00EF447E" w:rsidRDefault="007407B3" w:rsidP="00621B9F">
            <w:pPr>
              <w:pStyle w:val="Sinespaciado"/>
              <w:spacing w:line="276" w:lineRule="auto"/>
              <w:rPr>
                <w:rFonts w:ascii="Times New Roman" w:hAnsi="Times New Roman" w:cs="Times New Roman"/>
                <w:b w:val="0"/>
                <w:sz w:val="20"/>
                <w:szCs w:val="20"/>
              </w:rPr>
            </w:pPr>
          </w:p>
        </w:tc>
        <w:tc>
          <w:tcPr>
            <w:tcW w:w="3389" w:type="pct"/>
            <w:vAlign w:val="center"/>
          </w:tcPr>
          <w:p w14:paraId="0603C7AF" w14:textId="6160C1E5" w:rsidR="007407B3" w:rsidRPr="00D32617" w:rsidRDefault="007407B3" w:rsidP="007407B3">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7407B3">
              <w:rPr>
                <w:rFonts w:ascii="Times New Roman" w:hAnsi="Times New Roman" w:cs="Times New Roman"/>
                <w:bCs/>
                <w:sz w:val="20"/>
                <w:szCs w:val="20"/>
              </w:rPr>
              <w:t>pSEVA23g19[g3]</w:t>
            </w:r>
            <w:r>
              <w:rPr>
                <w:rFonts w:ascii="Times New Roman" w:hAnsi="Times New Roman" w:cs="Times New Roman"/>
                <w:bCs/>
                <w:sz w:val="20"/>
                <w:szCs w:val="20"/>
              </w:rPr>
              <w:t xml:space="preserve"> - </w:t>
            </w:r>
            <w:r w:rsidR="00095C81">
              <w:rPr>
                <w:rFonts w:ascii="Times New Roman" w:hAnsi="Times New Roman" w:cs="Times New Roman"/>
                <w:bCs/>
                <w:sz w:val="20"/>
                <w:szCs w:val="20"/>
              </w:rPr>
              <w:t>Fusion sites</w:t>
            </w:r>
            <w:r w:rsidR="00F43054">
              <w:rPr>
                <w:rFonts w:ascii="Times New Roman" w:hAnsi="Times New Roman" w:cs="Times New Roman"/>
                <w:bCs/>
                <w:sz w:val="20"/>
                <w:szCs w:val="20"/>
              </w:rPr>
              <w:t xml:space="preserve"> </w:t>
            </w:r>
            <w:r w:rsidRPr="007407B3">
              <w:rPr>
                <w:rFonts w:ascii="Times New Roman" w:hAnsi="Times New Roman" w:cs="Times New Roman"/>
                <w:bCs/>
                <w:sz w:val="20"/>
                <w:szCs w:val="20"/>
              </w:rPr>
              <w:t>3AI4</w:t>
            </w:r>
          </w:p>
        </w:tc>
        <w:tc>
          <w:tcPr>
            <w:tcW w:w="830" w:type="pct"/>
            <w:vMerge/>
            <w:vAlign w:val="center"/>
          </w:tcPr>
          <w:p w14:paraId="5A1041DD" w14:textId="77777777" w:rsidR="007407B3" w:rsidRPr="00D32617" w:rsidRDefault="007407B3"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7407B3" w:rsidRPr="00EF447E" w14:paraId="4897941E" w14:textId="77777777" w:rsidTr="005F68A7">
        <w:tc>
          <w:tcPr>
            <w:cnfStyle w:val="001000000000" w:firstRow="0" w:lastRow="0" w:firstColumn="1" w:lastColumn="0" w:oddVBand="0" w:evenVBand="0" w:oddHBand="0" w:evenHBand="0" w:firstRowFirstColumn="0" w:firstRowLastColumn="0" w:lastRowFirstColumn="0" w:lastRowLastColumn="0"/>
            <w:tcW w:w="781" w:type="pct"/>
            <w:vMerge/>
            <w:vAlign w:val="center"/>
          </w:tcPr>
          <w:p w14:paraId="19B3A1C9" w14:textId="77777777" w:rsidR="007407B3" w:rsidRPr="00D32617" w:rsidRDefault="007407B3" w:rsidP="00621B9F">
            <w:pPr>
              <w:pStyle w:val="Sinespaciado"/>
              <w:spacing w:line="276" w:lineRule="auto"/>
              <w:rPr>
                <w:rFonts w:ascii="Times New Roman" w:hAnsi="Times New Roman" w:cs="Times New Roman"/>
                <w:b w:val="0"/>
                <w:sz w:val="20"/>
                <w:szCs w:val="20"/>
              </w:rPr>
            </w:pPr>
          </w:p>
        </w:tc>
        <w:tc>
          <w:tcPr>
            <w:tcW w:w="3389" w:type="pct"/>
            <w:vAlign w:val="center"/>
          </w:tcPr>
          <w:p w14:paraId="1B5265C0" w14:textId="0FE9DA67" w:rsidR="007407B3" w:rsidRPr="00D32617" w:rsidRDefault="007407B3"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7B3">
              <w:rPr>
                <w:rFonts w:ascii="Times New Roman" w:hAnsi="Times New Roman" w:cs="Times New Roman"/>
                <w:bCs/>
                <w:sz w:val="20"/>
                <w:szCs w:val="20"/>
              </w:rPr>
              <w:t>pSEVA23g19[g4]</w:t>
            </w:r>
            <w:r>
              <w:rPr>
                <w:rFonts w:ascii="Times New Roman" w:hAnsi="Times New Roman" w:cs="Times New Roman"/>
                <w:bCs/>
                <w:sz w:val="20"/>
                <w:szCs w:val="20"/>
              </w:rPr>
              <w:t xml:space="preserve"> - </w:t>
            </w:r>
            <w:r w:rsidR="00095C81">
              <w:rPr>
                <w:rFonts w:ascii="Times New Roman" w:hAnsi="Times New Roman" w:cs="Times New Roman"/>
                <w:bCs/>
                <w:sz w:val="20"/>
                <w:szCs w:val="20"/>
              </w:rPr>
              <w:t xml:space="preserve">Fusion sites </w:t>
            </w:r>
            <w:r w:rsidRPr="007407B3">
              <w:rPr>
                <w:rFonts w:ascii="Times New Roman" w:hAnsi="Times New Roman" w:cs="Times New Roman"/>
                <w:bCs/>
                <w:sz w:val="20"/>
                <w:szCs w:val="20"/>
              </w:rPr>
              <w:t>4AI5</w:t>
            </w:r>
          </w:p>
        </w:tc>
        <w:tc>
          <w:tcPr>
            <w:tcW w:w="830" w:type="pct"/>
            <w:vMerge/>
            <w:vAlign w:val="center"/>
          </w:tcPr>
          <w:p w14:paraId="43164666" w14:textId="77777777" w:rsidR="007407B3" w:rsidRPr="00D32617" w:rsidRDefault="007407B3"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9881E12" w14:textId="77777777" w:rsidR="00F25170" w:rsidRPr="00D32617" w:rsidRDefault="00F25170" w:rsidP="00B63FE6">
      <w:pPr>
        <w:pStyle w:val="Sinespaciado"/>
        <w:spacing w:line="360" w:lineRule="auto"/>
        <w:rPr>
          <w:rFonts w:ascii="Times New Roman" w:hAnsi="Times New Roman" w:cs="Times New Roman"/>
          <w:sz w:val="24"/>
          <w:szCs w:val="24"/>
          <w:u w:val="single"/>
        </w:rPr>
      </w:pPr>
    </w:p>
    <w:p w14:paraId="052E78E0" w14:textId="1D693536" w:rsidR="008E5934" w:rsidRDefault="008E5934" w:rsidP="00B63FE6">
      <w:pPr>
        <w:pStyle w:val="Sinespaciado"/>
        <w:spacing w:line="360" w:lineRule="auto"/>
        <w:rPr>
          <w:rFonts w:ascii="Times New Roman" w:hAnsi="Times New Roman" w:cs="Times New Roman"/>
          <w:sz w:val="24"/>
          <w:szCs w:val="24"/>
          <w:u w:val="single"/>
        </w:rPr>
      </w:pPr>
    </w:p>
    <w:p w14:paraId="682B09EB" w14:textId="56286A24" w:rsidR="002D0CBB" w:rsidRDefault="002D0CBB" w:rsidP="00B63FE6">
      <w:pPr>
        <w:pStyle w:val="Sinespaciado"/>
        <w:spacing w:line="360" w:lineRule="auto"/>
        <w:rPr>
          <w:rFonts w:ascii="Times New Roman" w:hAnsi="Times New Roman" w:cs="Times New Roman"/>
          <w:sz w:val="24"/>
          <w:szCs w:val="24"/>
          <w:u w:val="single"/>
        </w:rPr>
      </w:pPr>
    </w:p>
    <w:p w14:paraId="677CC4E3" w14:textId="389A2230" w:rsidR="002D0CBB" w:rsidRDefault="002D0CBB" w:rsidP="00B63FE6">
      <w:pPr>
        <w:pStyle w:val="Sinespaciado"/>
        <w:spacing w:line="360" w:lineRule="auto"/>
        <w:rPr>
          <w:rFonts w:ascii="Times New Roman" w:hAnsi="Times New Roman" w:cs="Times New Roman"/>
          <w:sz w:val="24"/>
          <w:szCs w:val="24"/>
          <w:u w:val="single"/>
        </w:rPr>
      </w:pPr>
    </w:p>
    <w:p w14:paraId="0C1E7098" w14:textId="06D232F1" w:rsidR="002D0CBB" w:rsidRDefault="002D0CBB" w:rsidP="00B63FE6">
      <w:pPr>
        <w:pStyle w:val="Sinespaciado"/>
        <w:spacing w:line="360" w:lineRule="auto"/>
        <w:rPr>
          <w:rFonts w:ascii="Times New Roman" w:hAnsi="Times New Roman" w:cs="Times New Roman"/>
          <w:sz w:val="24"/>
          <w:szCs w:val="24"/>
          <w:u w:val="single"/>
        </w:rPr>
      </w:pPr>
    </w:p>
    <w:p w14:paraId="48F8F21C" w14:textId="116CFC9C" w:rsidR="002D0CBB" w:rsidRDefault="002D0CBB" w:rsidP="00B63FE6">
      <w:pPr>
        <w:pStyle w:val="Sinespaciado"/>
        <w:spacing w:line="360" w:lineRule="auto"/>
        <w:rPr>
          <w:rFonts w:ascii="Times New Roman" w:hAnsi="Times New Roman" w:cs="Times New Roman"/>
          <w:sz w:val="24"/>
          <w:szCs w:val="24"/>
          <w:u w:val="single"/>
        </w:rPr>
      </w:pPr>
    </w:p>
    <w:p w14:paraId="1D239762" w14:textId="7973529B" w:rsidR="002D0CBB" w:rsidRDefault="002D0CBB" w:rsidP="00B63FE6">
      <w:pPr>
        <w:pStyle w:val="Sinespaciado"/>
        <w:spacing w:line="360" w:lineRule="auto"/>
        <w:rPr>
          <w:rFonts w:ascii="Times New Roman" w:hAnsi="Times New Roman" w:cs="Times New Roman"/>
          <w:sz w:val="24"/>
          <w:szCs w:val="24"/>
          <w:u w:val="single"/>
        </w:rPr>
      </w:pPr>
    </w:p>
    <w:p w14:paraId="5834F380" w14:textId="026E649F" w:rsidR="002D0CBB" w:rsidRDefault="002D0CBB" w:rsidP="00B63FE6">
      <w:pPr>
        <w:pStyle w:val="Sinespaciado"/>
        <w:spacing w:line="360" w:lineRule="auto"/>
        <w:rPr>
          <w:rFonts w:ascii="Times New Roman" w:hAnsi="Times New Roman" w:cs="Times New Roman"/>
          <w:sz w:val="24"/>
          <w:szCs w:val="24"/>
          <w:u w:val="single"/>
        </w:rPr>
      </w:pPr>
    </w:p>
    <w:p w14:paraId="6016E98C" w14:textId="6A0A8C21" w:rsidR="002D0CBB" w:rsidRDefault="002D0CBB" w:rsidP="00B63FE6">
      <w:pPr>
        <w:pStyle w:val="Sinespaciado"/>
        <w:spacing w:line="360" w:lineRule="auto"/>
        <w:rPr>
          <w:rFonts w:ascii="Times New Roman" w:hAnsi="Times New Roman" w:cs="Times New Roman"/>
          <w:sz w:val="24"/>
          <w:szCs w:val="24"/>
          <w:u w:val="single"/>
        </w:rPr>
      </w:pPr>
    </w:p>
    <w:p w14:paraId="31AED0E4" w14:textId="1A907AD2" w:rsidR="002D0CBB" w:rsidRDefault="002D0CBB" w:rsidP="00B63FE6">
      <w:pPr>
        <w:pStyle w:val="Sinespaciado"/>
        <w:spacing w:line="360" w:lineRule="auto"/>
        <w:rPr>
          <w:rFonts w:ascii="Times New Roman" w:hAnsi="Times New Roman" w:cs="Times New Roman"/>
          <w:sz w:val="24"/>
          <w:szCs w:val="24"/>
          <w:u w:val="single"/>
        </w:rPr>
      </w:pPr>
    </w:p>
    <w:p w14:paraId="36BEE128" w14:textId="77777777" w:rsidR="002D0CBB" w:rsidRPr="004D32BA" w:rsidRDefault="002D0CBB" w:rsidP="00B63FE6">
      <w:pPr>
        <w:pStyle w:val="Sinespaciado"/>
        <w:spacing w:line="360" w:lineRule="auto"/>
        <w:rPr>
          <w:rFonts w:ascii="Times New Roman" w:hAnsi="Times New Roman" w:cs="Times New Roman"/>
          <w:sz w:val="24"/>
          <w:szCs w:val="24"/>
          <w:u w:val="single"/>
        </w:rPr>
      </w:pPr>
    </w:p>
    <w:p w14:paraId="13037BE1" w14:textId="0822D1EB" w:rsidR="00B63FE6" w:rsidRPr="004D32BA" w:rsidRDefault="00B63FE6" w:rsidP="00B63FE6">
      <w:pPr>
        <w:pStyle w:val="Sinespaciado"/>
        <w:spacing w:line="360" w:lineRule="auto"/>
        <w:rPr>
          <w:rFonts w:ascii="Times New Roman" w:hAnsi="Times New Roman" w:cs="Times New Roman"/>
          <w:sz w:val="24"/>
          <w:szCs w:val="24"/>
          <w:u w:val="single"/>
        </w:rPr>
      </w:pPr>
      <w:r w:rsidRPr="004D32BA">
        <w:rPr>
          <w:rFonts w:ascii="Times New Roman" w:hAnsi="Times New Roman" w:cs="Times New Roman"/>
          <w:sz w:val="24"/>
          <w:szCs w:val="24"/>
          <w:u w:val="single"/>
        </w:rPr>
        <w:t>Supplementary Table S</w:t>
      </w:r>
      <w:r w:rsidR="005F68A7" w:rsidRPr="004D32BA">
        <w:rPr>
          <w:rFonts w:ascii="Times New Roman" w:hAnsi="Times New Roman" w:cs="Times New Roman"/>
          <w:sz w:val="24"/>
          <w:szCs w:val="24"/>
          <w:u w:val="single"/>
        </w:rPr>
        <w:t>3</w:t>
      </w:r>
      <w:r w:rsidRPr="004D32BA">
        <w:rPr>
          <w:rFonts w:ascii="Times New Roman" w:hAnsi="Times New Roman" w:cs="Times New Roman"/>
          <w:sz w:val="24"/>
          <w:szCs w:val="24"/>
          <w:u w:val="single"/>
        </w:rPr>
        <w:t xml:space="preserve">. </w:t>
      </w:r>
      <w:r w:rsidR="00707B64" w:rsidRPr="004D32BA">
        <w:rPr>
          <w:rFonts w:ascii="Times New Roman" w:hAnsi="Times New Roman" w:cs="Times New Roman"/>
          <w:sz w:val="24"/>
          <w:szCs w:val="24"/>
          <w:u w:val="single"/>
        </w:rPr>
        <w:t xml:space="preserve">designed </w:t>
      </w:r>
      <w:r w:rsidRPr="004D32BA">
        <w:rPr>
          <w:rFonts w:ascii="Times New Roman" w:hAnsi="Times New Roman" w:cs="Times New Roman"/>
          <w:sz w:val="24"/>
          <w:szCs w:val="24"/>
          <w:u w:val="single"/>
        </w:rPr>
        <w:t xml:space="preserve">DNA </w:t>
      </w:r>
      <w:r w:rsidR="00707B64" w:rsidRPr="004D32BA">
        <w:rPr>
          <w:rFonts w:ascii="Times New Roman" w:hAnsi="Times New Roman" w:cs="Times New Roman"/>
          <w:sz w:val="24"/>
          <w:szCs w:val="24"/>
          <w:u w:val="single"/>
        </w:rPr>
        <w:t xml:space="preserve">cassettes </w:t>
      </w:r>
    </w:p>
    <w:p w14:paraId="3BA3B6CF" w14:textId="77777777" w:rsidR="0022698C" w:rsidRPr="004D32BA" w:rsidRDefault="0022698C" w:rsidP="00B63FE6">
      <w:pPr>
        <w:pStyle w:val="Sinespaciado"/>
        <w:spacing w:line="360" w:lineRule="auto"/>
        <w:rPr>
          <w:rFonts w:ascii="Times New Roman" w:hAnsi="Times New Roman" w:cs="Times New Roman"/>
          <w:sz w:val="24"/>
          <w:szCs w:val="24"/>
          <w:u w:val="single"/>
        </w:rPr>
      </w:pPr>
    </w:p>
    <w:tbl>
      <w:tblPr>
        <w:tblStyle w:val="Tablanormal2"/>
        <w:tblW w:w="0" w:type="auto"/>
        <w:tblLayout w:type="fixed"/>
        <w:tblLook w:val="04A0" w:firstRow="1" w:lastRow="0" w:firstColumn="1" w:lastColumn="0" w:noHBand="0" w:noVBand="1"/>
      </w:tblPr>
      <w:tblGrid>
        <w:gridCol w:w="1843"/>
        <w:gridCol w:w="5670"/>
        <w:gridCol w:w="1325"/>
      </w:tblGrid>
      <w:tr w:rsidR="00B63FE6" w:rsidRPr="00EF447E" w14:paraId="0F2318C3" w14:textId="77777777" w:rsidTr="00621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7B42CBA" w14:textId="77777777" w:rsidR="00B63FE6" w:rsidRPr="004D32BA" w:rsidRDefault="00B63FE6" w:rsidP="00621B9F">
            <w:pPr>
              <w:pStyle w:val="Sinespaciado"/>
              <w:spacing w:line="276" w:lineRule="auto"/>
              <w:rPr>
                <w:rFonts w:ascii="Times New Roman" w:hAnsi="Times New Roman" w:cs="Times New Roman"/>
                <w:sz w:val="20"/>
                <w:szCs w:val="20"/>
              </w:rPr>
            </w:pPr>
            <w:r w:rsidRPr="004D32BA">
              <w:rPr>
                <w:rFonts w:ascii="Times New Roman" w:hAnsi="Times New Roman" w:cs="Times New Roman"/>
                <w:sz w:val="24"/>
                <w:szCs w:val="24"/>
              </w:rPr>
              <w:t xml:space="preserve">Name </w:t>
            </w:r>
          </w:p>
        </w:tc>
        <w:tc>
          <w:tcPr>
            <w:tcW w:w="5670" w:type="dxa"/>
            <w:vAlign w:val="center"/>
          </w:tcPr>
          <w:p w14:paraId="262481B6" w14:textId="77777777" w:rsidR="00B63FE6" w:rsidRPr="004D32BA" w:rsidRDefault="00B63FE6" w:rsidP="00621B9F">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4"/>
                <w:szCs w:val="24"/>
              </w:rPr>
              <w:t>Sequences 5’ – 3’</w:t>
            </w:r>
          </w:p>
        </w:tc>
        <w:tc>
          <w:tcPr>
            <w:tcW w:w="1325" w:type="dxa"/>
            <w:vAlign w:val="center"/>
          </w:tcPr>
          <w:p w14:paraId="6190E80D" w14:textId="77777777" w:rsidR="00B63FE6" w:rsidRPr="004D32BA" w:rsidRDefault="00B63FE6" w:rsidP="00621B9F">
            <w:pPr>
              <w:pStyle w:val="Sinespaciado"/>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hAnsi="Times New Roman" w:cs="Times New Roman"/>
                <w:sz w:val="24"/>
                <w:szCs w:val="24"/>
              </w:rPr>
              <w:t>Source</w:t>
            </w:r>
          </w:p>
        </w:tc>
      </w:tr>
      <w:tr w:rsidR="00B63FE6" w:rsidRPr="00EF447E" w14:paraId="666D24EC" w14:textId="77777777" w:rsidTr="00621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079A2BE" w14:textId="77777777" w:rsidR="00B63FE6" w:rsidRPr="004D32BA" w:rsidRDefault="00B63FE6"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Rec_arm1_aceF</w:t>
            </w:r>
          </w:p>
        </w:tc>
        <w:tc>
          <w:tcPr>
            <w:tcW w:w="5670" w:type="dxa"/>
            <w:vAlign w:val="center"/>
          </w:tcPr>
          <w:p w14:paraId="65652BD0" w14:textId="206194E0" w:rsidR="00B63FE6"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CTCCGGCAGTGGCATCTACCGACTATATGAAACTGTTCGCTGAGCAGGTCCGTACTTACGTACCGGCTGACGACTACCGCGTACTGGGTACTGATGGCTTCGGTCGTTCCGACAGCCGTGAGAACCTGCGTCACCACTTCGAAGTTGATGCTTCCTACGTGGTTGTAGCGGCGCTGGGCGAACTGGCTAAACGTGGCGAAATCGATAAGAAAGTGGTTGCTGACGCAATCGCCAAATTCAACATCGATGCAGATAAAGTTAACCCGCGTCTGGCGTAAGAGGTAAAAGAATAATGGCTATCGAAATCAAAGTACCGGACACTGGTGATGTAAGTAAAAGAGCCGG</w:t>
            </w:r>
          </w:p>
        </w:tc>
        <w:tc>
          <w:tcPr>
            <w:tcW w:w="1325" w:type="dxa"/>
            <w:vAlign w:val="center"/>
          </w:tcPr>
          <w:p w14:paraId="754EADC4" w14:textId="77777777" w:rsidR="00B63FE6" w:rsidRPr="004D32BA" w:rsidRDefault="00B63FE6"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B63FE6" w:rsidRPr="00EF447E" w14:paraId="7A22C7DE" w14:textId="77777777" w:rsidTr="00621B9F">
        <w:tc>
          <w:tcPr>
            <w:cnfStyle w:val="001000000000" w:firstRow="0" w:lastRow="0" w:firstColumn="1" w:lastColumn="0" w:oddVBand="0" w:evenVBand="0" w:oddHBand="0" w:evenHBand="0" w:firstRowFirstColumn="0" w:firstRowLastColumn="0" w:lastRowFirstColumn="0" w:lastRowLastColumn="0"/>
            <w:tcW w:w="1843" w:type="dxa"/>
            <w:vAlign w:val="center"/>
          </w:tcPr>
          <w:p w14:paraId="042E6128" w14:textId="77777777" w:rsidR="00B63FE6" w:rsidRPr="004D32BA" w:rsidRDefault="00B63FE6"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Rec_arm2_aceF</w:t>
            </w:r>
          </w:p>
        </w:tc>
        <w:tc>
          <w:tcPr>
            <w:tcW w:w="5670" w:type="dxa"/>
            <w:vAlign w:val="center"/>
          </w:tcPr>
          <w:p w14:paraId="0251F2D5" w14:textId="42D33B83" w:rsidR="00B63FE6" w:rsidRPr="004D32BA" w:rsidRDefault="00292F8D"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GCTATCGAAATCAAAGTACCGGACACTGGTGATGTAAGTAAAAGAGCCGGCCCAACGGCCGGCTTTTTTCTGGTAATCTCATGAATGTATTGAGGTTATTAGCGAATAGACAAATCGGTTGCCGTTTGTTGTTTAAAAATTGTTAACAATTTTGTAAAATACCGACGGATAGAACGACCCGGTGGTGGTTAGGGTATTACTTCACATACCCTATGGATTTCTGGGTGCAGCAAGGTAGCAAGCGCCAGAATCCCCAGGAGCTTACATAAGTAAGTGACTGGGGTGAGGGCGTGAAGCTAACGCCGCTGCG</w:t>
            </w:r>
          </w:p>
        </w:tc>
        <w:tc>
          <w:tcPr>
            <w:tcW w:w="1325" w:type="dxa"/>
            <w:vAlign w:val="center"/>
          </w:tcPr>
          <w:p w14:paraId="1CDD8ACE" w14:textId="77777777" w:rsidR="00B63FE6" w:rsidRPr="004D32BA" w:rsidRDefault="00B63FE6"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B63FE6" w:rsidRPr="00EF447E" w14:paraId="1242495A" w14:textId="77777777" w:rsidTr="00621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35A87FC" w14:textId="1781A6A8" w:rsidR="00B63FE6" w:rsidRPr="004D32BA" w:rsidRDefault="00B63FE6"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Rec_a</w:t>
            </w:r>
            <w:r w:rsidR="00215EA8" w:rsidRPr="004D32BA">
              <w:rPr>
                <w:rFonts w:ascii="Times New Roman" w:hAnsi="Times New Roman" w:cs="Times New Roman"/>
                <w:b w:val="0"/>
                <w:bCs w:val="0"/>
                <w:sz w:val="20"/>
                <w:szCs w:val="20"/>
              </w:rPr>
              <w:t>rm</w:t>
            </w:r>
            <w:r w:rsidRPr="004D32BA">
              <w:rPr>
                <w:rFonts w:ascii="Times New Roman" w:hAnsi="Times New Roman" w:cs="Times New Roman"/>
                <w:b w:val="0"/>
                <w:bCs w:val="0"/>
                <w:sz w:val="20"/>
                <w:szCs w:val="20"/>
              </w:rPr>
              <w:t>1_mdh</w:t>
            </w:r>
          </w:p>
        </w:tc>
        <w:tc>
          <w:tcPr>
            <w:tcW w:w="5670" w:type="dxa"/>
            <w:vAlign w:val="center"/>
          </w:tcPr>
          <w:p w14:paraId="631F9D98" w14:textId="66B38266" w:rsidR="00B63FE6"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ATTGAGAAACATGCCTGCGTCACGGCATGCAAATTCTGCTTAAAAGTAAATTAATTGTTATCAAATTGATGTTGTTTTGGCTGAACGGTAGGGTATATTGTCACCACCTGTTGGAATGTTGCGCTAATGCATAAGCGACTGTTAATTACGTAAGTTAGGTTCCTGATTACGGCAATTAAATGCATAAACGCTAAACTTGCGTGACTACACATTCTTGAGATGTGGTCATTGTAAACGGCAATTTTGTGGATTAAGGTCGCGGCAGCGGAGCAACATATCTTAGTTTATCAATATAATAAGGAGTTTAGGATGAAAGTCGCAGTCCTCGGCGCTGCTGGCGGTATTGGCCAGGCGCTTGCACTACTGTTAAAACCTGGGCGAAGAGTTCGTTAATAAG</w:t>
            </w:r>
          </w:p>
        </w:tc>
        <w:tc>
          <w:tcPr>
            <w:tcW w:w="1325" w:type="dxa"/>
            <w:vAlign w:val="center"/>
          </w:tcPr>
          <w:p w14:paraId="4EEDC242" w14:textId="77777777" w:rsidR="00B63FE6" w:rsidRPr="004D32BA" w:rsidRDefault="00B63FE6"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B63FE6" w:rsidRPr="004D32BA" w14:paraId="367DD3AC" w14:textId="77777777" w:rsidTr="00621B9F">
        <w:tc>
          <w:tcPr>
            <w:cnfStyle w:val="001000000000" w:firstRow="0" w:lastRow="0" w:firstColumn="1" w:lastColumn="0" w:oddVBand="0" w:evenVBand="0" w:oddHBand="0" w:evenHBand="0" w:firstRowFirstColumn="0" w:firstRowLastColumn="0" w:lastRowFirstColumn="0" w:lastRowLastColumn="0"/>
            <w:tcW w:w="1843" w:type="dxa"/>
            <w:vAlign w:val="center"/>
          </w:tcPr>
          <w:p w14:paraId="1404C057" w14:textId="77777777" w:rsidR="00B63FE6" w:rsidRPr="004D32BA" w:rsidRDefault="00B63FE6" w:rsidP="00621B9F">
            <w:pPr>
              <w:pStyle w:val="Sinespaciado"/>
              <w:spacing w:line="276" w:lineRule="auto"/>
              <w:rPr>
                <w:rFonts w:ascii="Times New Roman" w:hAnsi="Times New Roman" w:cs="Times New Roman"/>
                <w:b w:val="0"/>
                <w:bCs w:val="0"/>
                <w:sz w:val="20"/>
                <w:szCs w:val="20"/>
              </w:rPr>
            </w:pPr>
            <w:r w:rsidRPr="004D32BA">
              <w:rPr>
                <w:rFonts w:ascii="Times New Roman" w:hAnsi="Times New Roman" w:cs="Times New Roman"/>
                <w:b w:val="0"/>
                <w:bCs w:val="0"/>
                <w:sz w:val="20"/>
                <w:szCs w:val="20"/>
              </w:rPr>
              <w:t>Rec_arm2_mdh</w:t>
            </w:r>
          </w:p>
        </w:tc>
        <w:tc>
          <w:tcPr>
            <w:tcW w:w="5670" w:type="dxa"/>
            <w:vAlign w:val="center"/>
          </w:tcPr>
          <w:p w14:paraId="15537764" w14:textId="3B29BC3D" w:rsidR="00B63FE6" w:rsidRPr="004D32BA" w:rsidRDefault="00292F8D"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CCAGGCGCTTGCACTACTGTTAAAACCTGGGCGAAGAGTTCGTTAATAAGTAATTAATTAGCGAATAATAAAAAACCGGAGCACAGACTCCGGTTTTTTGTTTTGAGCACTCGACTTAATTGGTTGCCGGATATTCCTGAATGGTGACCTGCAGCGTTAACTGCTTATCATCACGCATCACTACAACCGGGATCACCGAACCAGGGCGAATTTCTGCCACCTGATCCATCGTCTCCAGAGCAGAGATGGCCGGTTTGTTATCCACCGAAATAATCAGATCGTTGACCTGAATACCCGCATTCGCCGCCGGGCCGTCAGGTGACACTTCATTAACCACGATCCC</w:t>
            </w:r>
          </w:p>
        </w:tc>
        <w:tc>
          <w:tcPr>
            <w:tcW w:w="1325" w:type="dxa"/>
            <w:vAlign w:val="center"/>
          </w:tcPr>
          <w:p w14:paraId="3E17EA21" w14:textId="77777777" w:rsidR="00B63FE6" w:rsidRPr="004D32BA" w:rsidRDefault="00B63FE6" w:rsidP="00621B9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t>This study</w:t>
            </w:r>
          </w:p>
        </w:tc>
      </w:tr>
      <w:tr w:rsidR="00B63FE6" w:rsidRPr="004D32BA" w14:paraId="445B438F" w14:textId="77777777" w:rsidTr="00621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142E459A" w14:textId="77777777" w:rsidR="00B63FE6" w:rsidRPr="004D32BA" w:rsidRDefault="00B63FE6" w:rsidP="00621B9F">
            <w:pPr>
              <w:pStyle w:val="Sinespaciado"/>
              <w:spacing w:line="276" w:lineRule="auto"/>
              <w:rPr>
                <w:rFonts w:ascii="Times New Roman" w:hAnsi="Times New Roman" w:cs="Times New Roman"/>
                <w:b w:val="0"/>
                <w:bCs w:val="0"/>
                <w:sz w:val="20"/>
                <w:szCs w:val="20"/>
              </w:rPr>
            </w:pPr>
            <w:proofErr w:type="spellStart"/>
            <w:r w:rsidRPr="004D32BA">
              <w:rPr>
                <w:rFonts w:ascii="Times New Roman" w:hAnsi="Times New Roman" w:cs="Times New Roman"/>
                <w:b w:val="0"/>
                <w:bCs w:val="0"/>
                <w:sz w:val="20"/>
                <w:szCs w:val="20"/>
              </w:rPr>
              <w:t>Rec_kanamycin</w:t>
            </w:r>
            <w:proofErr w:type="spellEnd"/>
          </w:p>
        </w:tc>
        <w:tc>
          <w:tcPr>
            <w:tcW w:w="5670" w:type="dxa"/>
            <w:vAlign w:val="center"/>
          </w:tcPr>
          <w:p w14:paraId="4E30EFCC" w14:textId="5CE71FAA" w:rsidR="00B63FE6" w:rsidRPr="004D32BA" w:rsidRDefault="00292F8D"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32BA">
              <w:rPr>
                <w:rFonts w:ascii="Times New Roman" w:hAnsi="Times New Roman" w:cs="Times New Roman"/>
                <w:sz w:val="20"/>
                <w:szCs w:val="20"/>
              </w:rPr>
              <w:t>GGATCCGCCCTGC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w:t>
            </w:r>
            <w:r w:rsidRPr="004D32BA">
              <w:rPr>
                <w:rFonts w:ascii="Times New Roman" w:hAnsi="Times New Roman" w:cs="Times New Roman"/>
                <w:sz w:val="20"/>
                <w:szCs w:val="20"/>
              </w:rPr>
              <w:lastRenderedPageBreak/>
              <w:t>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GTTGAATAAATCGAACTTTTGCTGAGTTGAAGGATCAGATTACCCTGTTATCCCTAGCTGACACTGAGGATCTACTTACATACTGCTCGCGATAACTGACTCTGCCACTCAAGACCAAAAAAAACCCCGCCCTGTCAGGGGCGGGGTTTTTTTTTTGTTAGGTCAGTGACCTCTTAAGAGCGAAAAAACCCCGCCGAAGCGGGGTTTTTTGCGGGTAAGCGTCACTAACGACATTGGGTTCAGTTACTTAACAGAACCGCTGCCACTCTTGAGATAAGGGAGCTC</w:t>
            </w:r>
          </w:p>
        </w:tc>
        <w:tc>
          <w:tcPr>
            <w:tcW w:w="1325" w:type="dxa"/>
            <w:vAlign w:val="center"/>
          </w:tcPr>
          <w:p w14:paraId="466C508E" w14:textId="77777777" w:rsidR="00B63FE6" w:rsidRPr="004D32BA" w:rsidRDefault="00B63FE6" w:rsidP="00621B9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32BA">
              <w:rPr>
                <w:rFonts w:ascii="Times New Roman" w:eastAsia="Times New Roman" w:hAnsi="Times New Roman" w:cs="Times New Roman"/>
                <w:color w:val="000000"/>
                <w:sz w:val="20"/>
                <w:szCs w:val="20"/>
              </w:rPr>
              <w:lastRenderedPageBreak/>
              <w:t>This study</w:t>
            </w:r>
          </w:p>
        </w:tc>
      </w:tr>
    </w:tbl>
    <w:p w14:paraId="7C3B94F8" w14:textId="72A35D93" w:rsidR="00B63FE6" w:rsidRPr="004D32BA" w:rsidRDefault="00B63FE6" w:rsidP="00B63FE6">
      <w:pPr>
        <w:pStyle w:val="Sinespaciado"/>
        <w:spacing w:line="360" w:lineRule="auto"/>
        <w:rPr>
          <w:rFonts w:ascii="Times New Roman" w:hAnsi="Times New Roman" w:cs="Times New Roman"/>
          <w:sz w:val="24"/>
          <w:szCs w:val="24"/>
          <w:u w:val="single"/>
          <w:lang w:val="es-CO"/>
        </w:rPr>
      </w:pPr>
    </w:p>
    <w:p w14:paraId="0049C811" w14:textId="298CEACD" w:rsidR="00766F62" w:rsidRPr="004D32BA" w:rsidRDefault="00766F62" w:rsidP="00B63FE6">
      <w:pPr>
        <w:pStyle w:val="Sinespaciado"/>
        <w:spacing w:line="360" w:lineRule="auto"/>
        <w:rPr>
          <w:rFonts w:ascii="Times New Roman" w:hAnsi="Times New Roman" w:cs="Times New Roman"/>
          <w:sz w:val="24"/>
          <w:szCs w:val="24"/>
          <w:u w:val="single"/>
          <w:lang w:val="es-CO"/>
        </w:rPr>
      </w:pPr>
    </w:p>
    <w:p w14:paraId="4B30DBB2" w14:textId="36BBA9D7" w:rsidR="00020633" w:rsidRPr="004D32BA" w:rsidRDefault="00020633" w:rsidP="00153E3A">
      <w:pPr>
        <w:spacing w:line="360" w:lineRule="auto"/>
        <w:jc w:val="both"/>
        <w:rPr>
          <w:rFonts w:eastAsiaTheme="minorHAnsi"/>
          <w:u w:val="single"/>
          <w:lang w:val="en-US" w:eastAsia="en-US"/>
        </w:rPr>
      </w:pPr>
    </w:p>
    <w:p w14:paraId="586F7478" w14:textId="46D417DB" w:rsidR="00AF752E" w:rsidRPr="004D32BA" w:rsidRDefault="00AF752E" w:rsidP="00153E3A">
      <w:pPr>
        <w:spacing w:line="360" w:lineRule="auto"/>
        <w:jc w:val="both"/>
        <w:rPr>
          <w:rFonts w:eastAsiaTheme="minorHAnsi"/>
          <w:u w:val="single"/>
          <w:lang w:val="en-US" w:eastAsia="en-US"/>
        </w:rPr>
      </w:pPr>
    </w:p>
    <w:p w14:paraId="51A3F47D" w14:textId="19E747A3" w:rsidR="00AF752E" w:rsidRPr="004D32BA" w:rsidRDefault="00AF752E" w:rsidP="00153E3A">
      <w:pPr>
        <w:spacing w:line="360" w:lineRule="auto"/>
        <w:jc w:val="both"/>
        <w:rPr>
          <w:rFonts w:eastAsiaTheme="minorHAnsi"/>
          <w:u w:val="single"/>
          <w:lang w:val="en-US" w:eastAsia="en-US"/>
        </w:rPr>
      </w:pPr>
    </w:p>
    <w:p w14:paraId="58B40517" w14:textId="0D342B22" w:rsidR="00AF752E" w:rsidRPr="004D32BA" w:rsidRDefault="00AF752E" w:rsidP="00153E3A">
      <w:pPr>
        <w:spacing w:line="360" w:lineRule="auto"/>
        <w:jc w:val="both"/>
        <w:rPr>
          <w:rFonts w:eastAsiaTheme="minorHAnsi"/>
          <w:u w:val="single"/>
          <w:lang w:val="en-US" w:eastAsia="en-US"/>
        </w:rPr>
      </w:pPr>
    </w:p>
    <w:p w14:paraId="256780C9" w14:textId="0EC452CC" w:rsidR="00AF752E" w:rsidRPr="004D32BA" w:rsidRDefault="00AF752E" w:rsidP="00153E3A">
      <w:pPr>
        <w:spacing w:line="360" w:lineRule="auto"/>
        <w:jc w:val="both"/>
        <w:rPr>
          <w:rFonts w:eastAsiaTheme="minorHAnsi"/>
          <w:u w:val="single"/>
          <w:lang w:val="en-US" w:eastAsia="en-US"/>
        </w:rPr>
      </w:pPr>
    </w:p>
    <w:p w14:paraId="1CA9234B" w14:textId="1FBBBD27" w:rsidR="00AF752E" w:rsidRPr="004D32BA" w:rsidRDefault="00AF752E" w:rsidP="00153E3A">
      <w:pPr>
        <w:spacing w:line="360" w:lineRule="auto"/>
        <w:jc w:val="both"/>
        <w:rPr>
          <w:rFonts w:eastAsiaTheme="minorHAnsi"/>
          <w:u w:val="single"/>
          <w:lang w:val="en-US" w:eastAsia="en-US"/>
        </w:rPr>
      </w:pPr>
    </w:p>
    <w:p w14:paraId="005450E5" w14:textId="3DB01EDC" w:rsidR="00AF752E" w:rsidRPr="004D32BA" w:rsidRDefault="00AF752E" w:rsidP="00153E3A">
      <w:pPr>
        <w:spacing w:line="360" w:lineRule="auto"/>
        <w:jc w:val="both"/>
        <w:rPr>
          <w:rFonts w:eastAsiaTheme="minorHAnsi"/>
          <w:u w:val="single"/>
          <w:lang w:val="en-US" w:eastAsia="en-US"/>
        </w:rPr>
      </w:pPr>
    </w:p>
    <w:p w14:paraId="289CA435" w14:textId="77777777" w:rsidR="00AF752E" w:rsidRPr="004D32BA" w:rsidRDefault="00AF752E" w:rsidP="00153E3A">
      <w:pPr>
        <w:spacing w:line="360" w:lineRule="auto"/>
        <w:jc w:val="both"/>
        <w:rPr>
          <w:rFonts w:eastAsiaTheme="minorHAnsi"/>
          <w:u w:val="single"/>
          <w:lang w:val="en-US" w:eastAsia="en-US"/>
        </w:rPr>
      </w:pPr>
    </w:p>
    <w:p w14:paraId="3A87FA5F" w14:textId="53D09EBC" w:rsidR="00020633" w:rsidRDefault="00020633" w:rsidP="00A97EE1">
      <w:pPr>
        <w:jc w:val="both"/>
        <w:rPr>
          <w:rFonts w:eastAsiaTheme="minorHAnsi"/>
          <w:u w:val="single"/>
          <w:lang w:val="en-US" w:eastAsia="en-US"/>
        </w:rPr>
      </w:pPr>
    </w:p>
    <w:p w14:paraId="05667F06" w14:textId="4823ABCC" w:rsidR="002D0CBB" w:rsidRDefault="002D0CBB" w:rsidP="00A97EE1">
      <w:pPr>
        <w:jc w:val="both"/>
        <w:rPr>
          <w:rFonts w:eastAsiaTheme="minorHAnsi"/>
          <w:u w:val="single"/>
          <w:lang w:val="en-US" w:eastAsia="en-US"/>
        </w:rPr>
      </w:pPr>
    </w:p>
    <w:p w14:paraId="1B8287CE" w14:textId="79A0A361" w:rsidR="002D0CBB" w:rsidRDefault="002D0CBB" w:rsidP="00A97EE1">
      <w:pPr>
        <w:jc w:val="both"/>
        <w:rPr>
          <w:rFonts w:eastAsiaTheme="minorHAnsi"/>
          <w:u w:val="single"/>
          <w:lang w:val="en-US" w:eastAsia="en-US"/>
        </w:rPr>
      </w:pPr>
    </w:p>
    <w:p w14:paraId="2FB22E8F" w14:textId="3C5A9343" w:rsidR="00B308E9" w:rsidRDefault="00B308E9" w:rsidP="00A97EE1">
      <w:pPr>
        <w:jc w:val="both"/>
        <w:rPr>
          <w:rFonts w:eastAsiaTheme="minorHAnsi"/>
          <w:u w:val="single"/>
          <w:lang w:val="en-US" w:eastAsia="en-US"/>
        </w:rPr>
      </w:pPr>
    </w:p>
    <w:p w14:paraId="79D05597" w14:textId="48708368" w:rsidR="00611176" w:rsidRDefault="00611176" w:rsidP="00A97EE1">
      <w:pPr>
        <w:jc w:val="both"/>
        <w:rPr>
          <w:rFonts w:eastAsiaTheme="minorHAnsi"/>
          <w:u w:val="single"/>
          <w:lang w:val="en-US" w:eastAsia="en-US"/>
        </w:rPr>
      </w:pPr>
    </w:p>
    <w:p w14:paraId="1F6E08DF" w14:textId="5B570F8D" w:rsidR="00611176" w:rsidRDefault="00611176" w:rsidP="00A97EE1">
      <w:pPr>
        <w:jc w:val="both"/>
        <w:rPr>
          <w:rFonts w:eastAsiaTheme="minorHAnsi"/>
          <w:u w:val="single"/>
          <w:lang w:val="en-US" w:eastAsia="en-US"/>
        </w:rPr>
      </w:pPr>
    </w:p>
    <w:p w14:paraId="35FC8B6F" w14:textId="347DFACA" w:rsidR="00611176" w:rsidRDefault="00611176" w:rsidP="00A97EE1">
      <w:pPr>
        <w:jc w:val="both"/>
        <w:rPr>
          <w:rFonts w:eastAsiaTheme="minorHAnsi"/>
          <w:u w:val="single"/>
          <w:lang w:val="en-US" w:eastAsia="en-US"/>
        </w:rPr>
      </w:pPr>
    </w:p>
    <w:p w14:paraId="600AEC93" w14:textId="1E22B166" w:rsidR="00611176" w:rsidRDefault="00611176" w:rsidP="00A97EE1">
      <w:pPr>
        <w:jc w:val="both"/>
        <w:rPr>
          <w:rFonts w:eastAsiaTheme="minorHAnsi"/>
          <w:u w:val="single"/>
          <w:lang w:val="en-US" w:eastAsia="en-US"/>
        </w:rPr>
      </w:pPr>
    </w:p>
    <w:p w14:paraId="33FC6268" w14:textId="74580D24" w:rsidR="00611176" w:rsidRDefault="00611176" w:rsidP="00A97EE1">
      <w:pPr>
        <w:jc w:val="both"/>
        <w:rPr>
          <w:rFonts w:eastAsiaTheme="minorHAnsi"/>
          <w:u w:val="single"/>
          <w:lang w:val="en-US" w:eastAsia="en-US"/>
        </w:rPr>
      </w:pPr>
    </w:p>
    <w:p w14:paraId="70FD045A" w14:textId="359CEEA7" w:rsidR="00611176" w:rsidRDefault="00611176" w:rsidP="00A97EE1">
      <w:pPr>
        <w:jc w:val="both"/>
        <w:rPr>
          <w:rFonts w:eastAsiaTheme="minorHAnsi"/>
          <w:u w:val="single"/>
          <w:lang w:val="en-US" w:eastAsia="en-US"/>
        </w:rPr>
      </w:pPr>
    </w:p>
    <w:p w14:paraId="607C3D2E" w14:textId="77777777" w:rsidR="00611176" w:rsidRDefault="00611176" w:rsidP="00A97EE1">
      <w:pPr>
        <w:jc w:val="both"/>
        <w:rPr>
          <w:rFonts w:eastAsiaTheme="minorHAnsi"/>
          <w:u w:val="single"/>
          <w:lang w:val="en-US" w:eastAsia="en-US"/>
        </w:rPr>
      </w:pPr>
    </w:p>
    <w:p w14:paraId="3EE426E3" w14:textId="0BB566FE" w:rsidR="00A2020D" w:rsidRPr="004D32BA" w:rsidRDefault="00A2020D" w:rsidP="00A2020D">
      <w:pPr>
        <w:spacing w:line="360" w:lineRule="auto"/>
        <w:jc w:val="both"/>
        <w:rPr>
          <w:rFonts w:eastAsiaTheme="minorHAnsi"/>
          <w:u w:val="single"/>
          <w:lang w:val="en-US" w:eastAsia="en-US"/>
        </w:rPr>
      </w:pPr>
      <w:r w:rsidRPr="004D32BA">
        <w:rPr>
          <w:rFonts w:eastAsiaTheme="minorHAnsi"/>
          <w:u w:val="single"/>
          <w:lang w:val="en-US" w:eastAsia="en-US"/>
        </w:rPr>
        <w:lastRenderedPageBreak/>
        <w:t>Supplementary Table S</w:t>
      </w:r>
      <w:r w:rsidR="008661B8" w:rsidRPr="004D32BA">
        <w:rPr>
          <w:rFonts w:eastAsiaTheme="minorHAnsi"/>
          <w:u w:val="single"/>
          <w:lang w:val="en-US" w:eastAsia="en-US"/>
        </w:rPr>
        <w:t>4</w:t>
      </w:r>
      <w:r w:rsidRPr="004D32BA">
        <w:rPr>
          <w:rFonts w:eastAsiaTheme="minorHAnsi"/>
          <w:u w:val="single"/>
          <w:lang w:val="en-US" w:eastAsia="en-US"/>
        </w:rPr>
        <w:t xml:space="preserve">. Reactions evaluated for Monte Carlo </w:t>
      </w:r>
      <w:r w:rsidR="007D3952" w:rsidRPr="004D32BA">
        <w:rPr>
          <w:rFonts w:eastAsiaTheme="minorHAnsi"/>
          <w:u w:val="single"/>
          <w:lang w:val="en-US" w:eastAsia="en-US"/>
        </w:rPr>
        <w:t xml:space="preserve">Sampling </w:t>
      </w:r>
      <w:r w:rsidRPr="004D32BA">
        <w:rPr>
          <w:rFonts w:eastAsiaTheme="minorHAnsi"/>
          <w:u w:val="single"/>
          <w:lang w:val="en-US" w:eastAsia="en-US"/>
        </w:rPr>
        <w:t xml:space="preserve">in </w:t>
      </w:r>
      <w:r w:rsidRPr="004D32BA">
        <w:rPr>
          <w:rFonts w:eastAsiaTheme="minorHAnsi"/>
          <w:i/>
          <w:iCs/>
          <w:u w:val="single"/>
          <w:lang w:val="en-US" w:eastAsia="en-US"/>
        </w:rPr>
        <w:t>E. coli</w:t>
      </w:r>
      <w:r w:rsidRPr="004D32BA">
        <w:rPr>
          <w:rFonts w:eastAsiaTheme="minorHAnsi"/>
          <w:u w:val="single"/>
          <w:lang w:val="en-US" w:eastAsia="en-US"/>
        </w:rPr>
        <w:t xml:space="preserve"> W.</w:t>
      </w:r>
    </w:p>
    <w:p w14:paraId="51B49FA4" w14:textId="77777777" w:rsidR="00A2020D" w:rsidRPr="004D32BA" w:rsidRDefault="00A2020D" w:rsidP="00A2020D">
      <w:pPr>
        <w:spacing w:line="360" w:lineRule="auto"/>
        <w:jc w:val="both"/>
        <w:rPr>
          <w:rFonts w:eastAsiaTheme="minorHAnsi"/>
          <w:u w:val="single"/>
          <w:lang w:val="en-US" w:eastAsia="en-US"/>
        </w:rPr>
      </w:pPr>
    </w:p>
    <w:tbl>
      <w:tblPr>
        <w:tblW w:w="8838" w:type="dxa"/>
        <w:tblInd w:w="-5" w:type="dxa"/>
        <w:tblCellMar>
          <w:left w:w="70" w:type="dxa"/>
          <w:right w:w="70" w:type="dxa"/>
        </w:tblCellMar>
        <w:tblLook w:val="04A0" w:firstRow="1" w:lastRow="0" w:firstColumn="1" w:lastColumn="0" w:noHBand="0" w:noVBand="1"/>
      </w:tblPr>
      <w:tblGrid>
        <w:gridCol w:w="1650"/>
        <w:gridCol w:w="2770"/>
        <w:gridCol w:w="1363"/>
        <w:gridCol w:w="3055"/>
      </w:tblGrid>
      <w:tr w:rsidR="00A2020D" w:rsidRPr="004D32BA" w14:paraId="4FAA9607" w14:textId="77777777" w:rsidTr="00621B9F">
        <w:trPr>
          <w:trHeight w:val="5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D33DE" w14:textId="77777777" w:rsidR="00A2020D" w:rsidRPr="004D32BA" w:rsidRDefault="00A2020D" w:rsidP="00621B9F">
            <w:pPr>
              <w:jc w:val="center"/>
              <w:rPr>
                <w:b/>
                <w:bCs/>
                <w:color w:val="000000"/>
                <w:sz w:val="18"/>
                <w:szCs w:val="18"/>
                <w:lang w:val="en-US"/>
              </w:rPr>
            </w:pPr>
            <w:r w:rsidRPr="004D32BA">
              <w:rPr>
                <w:b/>
                <w:bCs/>
                <w:color w:val="000000"/>
                <w:sz w:val="18"/>
                <w:szCs w:val="18"/>
                <w:lang w:val="en-US"/>
              </w:rPr>
              <w:t>Gen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9B8499" w14:textId="77777777" w:rsidR="00A2020D" w:rsidRPr="004D32BA" w:rsidRDefault="00A2020D" w:rsidP="00621B9F">
            <w:pPr>
              <w:jc w:val="center"/>
              <w:rPr>
                <w:b/>
                <w:bCs/>
                <w:color w:val="000000"/>
                <w:sz w:val="18"/>
                <w:szCs w:val="18"/>
                <w:lang w:val="en-US"/>
              </w:rPr>
            </w:pPr>
            <w:r w:rsidRPr="004D32BA">
              <w:rPr>
                <w:b/>
                <w:bCs/>
                <w:color w:val="000000"/>
                <w:sz w:val="18"/>
                <w:szCs w:val="18"/>
                <w:lang w:val="en-US"/>
              </w:rPr>
              <w:t>Enzyme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3A96DC" w14:textId="77777777" w:rsidR="00A2020D" w:rsidRPr="004D32BA" w:rsidRDefault="00A2020D" w:rsidP="00621B9F">
            <w:pPr>
              <w:jc w:val="center"/>
              <w:rPr>
                <w:b/>
                <w:bCs/>
                <w:color w:val="000000"/>
                <w:sz w:val="18"/>
                <w:szCs w:val="18"/>
                <w:lang w:val="en-US"/>
              </w:rPr>
            </w:pPr>
            <w:r w:rsidRPr="004D32BA">
              <w:rPr>
                <w:b/>
                <w:bCs/>
                <w:color w:val="000000"/>
                <w:sz w:val="18"/>
                <w:szCs w:val="18"/>
                <w:lang w:val="en-US"/>
              </w:rPr>
              <w:t>Reaction abbreviation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BA2F05" w14:textId="77777777" w:rsidR="00A2020D" w:rsidRPr="004D32BA" w:rsidRDefault="00A2020D" w:rsidP="00621B9F">
            <w:pPr>
              <w:jc w:val="center"/>
              <w:rPr>
                <w:b/>
                <w:bCs/>
                <w:color w:val="000000"/>
                <w:sz w:val="18"/>
                <w:szCs w:val="18"/>
                <w:lang w:val="en-US"/>
              </w:rPr>
            </w:pPr>
            <w:r w:rsidRPr="004D32BA">
              <w:rPr>
                <w:b/>
                <w:bCs/>
                <w:color w:val="000000"/>
                <w:sz w:val="18"/>
                <w:szCs w:val="18"/>
                <w:lang w:val="en-US"/>
              </w:rPr>
              <w:t>Reaction</w:t>
            </w:r>
          </w:p>
        </w:tc>
      </w:tr>
      <w:tr w:rsidR="00A2020D" w:rsidRPr="00EF447E" w14:paraId="0EB63ECB"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4A61C2" w14:textId="77777777" w:rsidR="00A2020D" w:rsidRPr="004D32BA" w:rsidRDefault="00A2020D" w:rsidP="00621B9F">
            <w:pPr>
              <w:jc w:val="center"/>
              <w:rPr>
                <w:i/>
                <w:iCs/>
                <w:color w:val="000000"/>
                <w:sz w:val="18"/>
                <w:szCs w:val="18"/>
                <w:lang w:val="en-US"/>
              </w:rPr>
            </w:pPr>
            <w:bookmarkStart w:id="4" w:name="_Hlk128134539"/>
            <w:proofErr w:type="spellStart"/>
            <w:r w:rsidRPr="004D32BA">
              <w:rPr>
                <w:i/>
                <w:iCs/>
                <w:color w:val="000000"/>
                <w:sz w:val="18"/>
                <w:szCs w:val="18"/>
                <w:lang w:val="en-US"/>
              </w:rPr>
              <w:t>pyk</w:t>
            </w:r>
            <w:r w:rsidRPr="004D32BA">
              <w:rPr>
                <w:color w:val="000000"/>
                <w:sz w:val="18"/>
                <w:szCs w:val="18"/>
                <w:lang w:val="en-US"/>
              </w:rPr>
              <w:t>AF</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69539CC" w14:textId="77777777" w:rsidR="00A2020D" w:rsidRPr="004D32BA" w:rsidRDefault="00A2020D" w:rsidP="00621B9F">
            <w:pPr>
              <w:rPr>
                <w:color w:val="000000"/>
                <w:sz w:val="18"/>
                <w:szCs w:val="18"/>
                <w:lang w:val="en-US"/>
              </w:rPr>
            </w:pPr>
            <w:r w:rsidRPr="004D32BA">
              <w:rPr>
                <w:color w:val="000000"/>
                <w:sz w:val="18"/>
                <w:szCs w:val="18"/>
                <w:lang w:val="en-US"/>
              </w:rPr>
              <w:t>Pyruvate kinase</w:t>
            </w:r>
          </w:p>
        </w:tc>
        <w:tc>
          <w:tcPr>
            <w:tcW w:w="0" w:type="auto"/>
            <w:tcBorders>
              <w:top w:val="nil"/>
              <w:left w:val="nil"/>
              <w:bottom w:val="single" w:sz="4" w:space="0" w:color="auto"/>
              <w:right w:val="single" w:sz="4" w:space="0" w:color="auto"/>
            </w:tcBorders>
            <w:shd w:val="clear" w:color="auto" w:fill="auto"/>
            <w:noWrap/>
            <w:vAlign w:val="center"/>
          </w:tcPr>
          <w:p w14:paraId="05D73DA6" w14:textId="77777777" w:rsidR="00A2020D" w:rsidRPr="004D32BA" w:rsidRDefault="00A2020D" w:rsidP="00621B9F">
            <w:pPr>
              <w:jc w:val="center"/>
              <w:rPr>
                <w:i/>
                <w:iCs/>
                <w:color w:val="000000"/>
                <w:sz w:val="18"/>
                <w:szCs w:val="18"/>
                <w:lang w:val="en-US"/>
              </w:rPr>
            </w:pPr>
            <w:r w:rsidRPr="004D32BA">
              <w:rPr>
                <w:color w:val="000000"/>
                <w:sz w:val="18"/>
                <w:szCs w:val="18"/>
                <w:lang w:val="en-US"/>
              </w:rPr>
              <w:t>PYK</w:t>
            </w:r>
          </w:p>
        </w:tc>
        <w:tc>
          <w:tcPr>
            <w:tcW w:w="0" w:type="auto"/>
            <w:tcBorders>
              <w:top w:val="nil"/>
              <w:left w:val="nil"/>
              <w:bottom w:val="single" w:sz="4" w:space="0" w:color="auto"/>
              <w:right w:val="single" w:sz="4" w:space="0" w:color="auto"/>
            </w:tcBorders>
            <w:shd w:val="clear" w:color="auto" w:fill="auto"/>
            <w:noWrap/>
            <w:vAlign w:val="center"/>
          </w:tcPr>
          <w:p w14:paraId="2D64CA6B" w14:textId="0094DC45" w:rsidR="00A2020D" w:rsidRPr="004D32BA" w:rsidRDefault="00A2020D" w:rsidP="00621B9F">
            <w:pPr>
              <w:rPr>
                <w:color w:val="000000"/>
                <w:sz w:val="18"/>
                <w:szCs w:val="18"/>
                <w:lang w:val="en-US"/>
              </w:rPr>
            </w:pPr>
            <w:proofErr w:type="spellStart"/>
            <w:r w:rsidRPr="004D32BA">
              <w:rPr>
                <w:color w:val="000000"/>
                <w:sz w:val="18"/>
                <w:szCs w:val="18"/>
                <w:lang w:val="en-US"/>
              </w:rPr>
              <w:t>adp</w:t>
            </w:r>
            <w:proofErr w:type="spellEnd"/>
            <w:r w:rsidRPr="004D32BA">
              <w:rPr>
                <w:color w:val="000000"/>
                <w:sz w:val="18"/>
                <w:szCs w:val="18"/>
                <w:lang w:val="en-US"/>
              </w:rPr>
              <w:t xml:space="preserve"> + </w:t>
            </w:r>
            <w:r w:rsidR="004858EF" w:rsidRPr="004D32BA">
              <w:rPr>
                <w:color w:val="000000"/>
                <w:sz w:val="18"/>
                <w:szCs w:val="18"/>
                <w:lang w:val="en-US"/>
              </w:rPr>
              <w:t>H</w:t>
            </w:r>
            <w:r w:rsidRPr="004D32BA">
              <w:rPr>
                <w:color w:val="000000"/>
                <w:sz w:val="18"/>
                <w:szCs w:val="18"/>
                <w:lang w:val="en-US"/>
              </w:rPr>
              <w:t xml:space="preserve"> + </w:t>
            </w:r>
            <w:proofErr w:type="gramStart"/>
            <w:r w:rsidRPr="004D32BA">
              <w:rPr>
                <w:color w:val="000000"/>
                <w:sz w:val="18"/>
                <w:szCs w:val="18"/>
                <w:lang w:val="en-US"/>
              </w:rPr>
              <w:t>pep  -</w:t>
            </w:r>
            <w:proofErr w:type="gramEnd"/>
            <w:r w:rsidRPr="004D32BA">
              <w:rPr>
                <w:color w:val="000000"/>
                <w:sz w:val="18"/>
                <w:szCs w:val="18"/>
                <w:lang w:val="en-US"/>
              </w:rPr>
              <w:t xml:space="preserve">&gt; </w:t>
            </w:r>
            <w:proofErr w:type="spellStart"/>
            <w:r w:rsidRPr="004D32BA">
              <w:rPr>
                <w:color w:val="000000"/>
                <w:sz w:val="18"/>
                <w:szCs w:val="18"/>
                <w:lang w:val="en-US"/>
              </w:rPr>
              <w:t>pyr</w:t>
            </w:r>
            <w:proofErr w:type="spellEnd"/>
            <w:r w:rsidRPr="004D32BA">
              <w:rPr>
                <w:color w:val="000000"/>
                <w:sz w:val="18"/>
                <w:szCs w:val="18"/>
                <w:lang w:val="en-US"/>
              </w:rPr>
              <w:t xml:space="preserve"> + </w:t>
            </w:r>
            <w:proofErr w:type="spellStart"/>
            <w:r w:rsidRPr="004D32BA">
              <w:rPr>
                <w:color w:val="000000"/>
                <w:sz w:val="18"/>
                <w:szCs w:val="18"/>
                <w:lang w:val="en-US"/>
              </w:rPr>
              <w:t>atp</w:t>
            </w:r>
            <w:proofErr w:type="spellEnd"/>
          </w:p>
        </w:tc>
      </w:tr>
      <w:tr w:rsidR="00212975" w:rsidRPr="00095C81" w14:paraId="38E8A39C"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860C8E" w14:textId="64F029F6"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ilv</w:t>
            </w:r>
            <w:r w:rsidRPr="004D32BA">
              <w:rPr>
                <w:color w:val="000000"/>
                <w:sz w:val="18"/>
                <w:szCs w:val="18"/>
                <w:lang w:val="en-US"/>
              </w:rPr>
              <w:t>BN</w:t>
            </w:r>
            <w:proofErr w:type="spellEnd"/>
            <w:r w:rsidRPr="004D32BA">
              <w:rPr>
                <w:color w:val="000000"/>
                <w:sz w:val="18"/>
                <w:szCs w:val="18"/>
                <w:lang w:val="en-US"/>
              </w:rPr>
              <w:t xml:space="preserve">, </w:t>
            </w:r>
            <w:proofErr w:type="spellStart"/>
            <w:r w:rsidRPr="004D32BA">
              <w:rPr>
                <w:i/>
                <w:iCs/>
                <w:color w:val="000000"/>
                <w:sz w:val="18"/>
                <w:szCs w:val="18"/>
                <w:lang w:val="en-US"/>
              </w:rPr>
              <w:t>ilv</w:t>
            </w:r>
            <w:r w:rsidRPr="004D32BA">
              <w:rPr>
                <w:color w:val="000000"/>
                <w:sz w:val="18"/>
                <w:szCs w:val="18"/>
                <w:lang w:val="en-US"/>
              </w:rPr>
              <w:t>GM</w:t>
            </w:r>
            <w:proofErr w:type="spellEnd"/>
            <w:r w:rsidRPr="004D32BA">
              <w:rPr>
                <w:i/>
                <w:iCs/>
                <w:color w:val="000000"/>
                <w:sz w:val="18"/>
                <w:szCs w:val="18"/>
                <w:lang w:val="en-US"/>
              </w:rPr>
              <w:t xml:space="preserve">, </w:t>
            </w:r>
            <w:proofErr w:type="spellStart"/>
            <w:r w:rsidRPr="004D32BA">
              <w:rPr>
                <w:i/>
                <w:iCs/>
                <w:color w:val="000000"/>
                <w:sz w:val="18"/>
                <w:szCs w:val="18"/>
                <w:lang w:val="en-US"/>
              </w:rPr>
              <w:t>ilv</w:t>
            </w:r>
            <w:r w:rsidRPr="004D32BA">
              <w:rPr>
                <w:color w:val="000000"/>
                <w:sz w:val="18"/>
                <w:szCs w:val="18"/>
                <w:lang w:val="en-US"/>
              </w:rPr>
              <w:t>IH</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609CADD4" w14:textId="6C86BCF3" w:rsidR="00212975" w:rsidRPr="004D32BA" w:rsidRDefault="00212975" w:rsidP="00621B9F">
            <w:pPr>
              <w:rPr>
                <w:color w:val="000000"/>
                <w:sz w:val="18"/>
                <w:szCs w:val="18"/>
                <w:lang w:val="en-US"/>
              </w:rPr>
            </w:pPr>
            <w:r w:rsidRPr="004D32BA">
              <w:rPr>
                <w:color w:val="000000"/>
                <w:sz w:val="18"/>
                <w:szCs w:val="18"/>
                <w:lang w:val="en-US"/>
              </w:rPr>
              <w:t>Acetolactate synthase</w:t>
            </w:r>
          </w:p>
        </w:tc>
        <w:tc>
          <w:tcPr>
            <w:tcW w:w="0" w:type="auto"/>
            <w:tcBorders>
              <w:top w:val="nil"/>
              <w:left w:val="nil"/>
              <w:bottom w:val="single" w:sz="4" w:space="0" w:color="auto"/>
              <w:right w:val="single" w:sz="4" w:space="0" w:color="auto"/>
            </w:tcBorders>
            <w:shd w:val="clear" w:color="auto" w:fill="auto"/>
            <w:noWrap/>
            <w:vAlign w:val="center"/>
          </w:tcPr>
          <w:p w14:paraId="75C57CCC" w14:textId="3F9615C8" w:rsidR="00212975" w:rsidRPr="004D32BA" w:rsidRDefault="00212975" w:rsidP="00621B9F">
            <w:pPr>
              <w:jc w:val="center"/>
              <w:rPr>
                <w:color w:val="000000"/>
                <w:sz w:val="18"/>
                <w:szCs w:val="18"/>
                <w:lang w:val="en-US"/>
              </w:rPr>
            </w:pPr>
            <w:r w:rsidRPr="004D32BA">
              <w:rPr>
                <w:color w:val="000000"/>
                <w:sz w:val="18"/>
                <w:szCs w:val="18"/>
                <w:lang w:val="en-US"/>
              </w:rPr>
              <w:t>ACLS</w:t>
            </w:r>
          </w:p>
        </w:tc>
        <w:tc>
          <w:tcPr>
            <w:tcW w:w="0" w:type="auto"/>
            <w:tcBorders>
              <w:top w:val="nil"/>
              <w:left w:val="nil"/>
              <w:bottom w:val="single" w:sz="4" w:space="0" w:color="auto"/>
              <w:right w:val="single" w:sz="4" w:space="0" w:color="auto"/>
            </w:tcBorders>
            <w:shd w:val="clear" w:color="auto" w:fill="auto"/>
            <w:noWrap/>
            <w:vAlign w:val="center"/>
          </w:tcPr>
          <w:p w14:paraId="345195B2" w14:textId="1F1BEE70" w:rsidR="00212975" w:rsidRPr="004D32BA" w:rsidRDefault="004858EF" w:rsidP="00621B9F">
            <w:pPr>
              <w:rPr>
                <w:color w:val="000000"/>
                <w:sz w:val="18"/>
                <w:szCs w:val="18"/>
                <w:lang w:val="en-US"/>
              </w:rPr>
            </w:pPr>
            <w:r>
              <w:rPr>
                <w:color w:val="000000"/>
                <w:sz w:val="18"/>
                <w:szCs w:val="18"/>
                <w:lang w:val="en-US"/>
              </w:rPr>
              <w:t>H</w:t>
            </w:r>
            <w:r w:rsidR="00212975" w:rsidRPr="004D32BA">
              <w:rPr>
                <w:color w:val="000000"/>
                <w:sz w:val="18"/>
                <w:szCs w:val="18"/>
                <w:lang w:val="en-US"/>
              </w:rPr>
              <w:t xml:space="preserve"> + 2pyr -&gt; </w:t>
            </w:r>
            <w:proofErr w:type="spellStart"/>
            <w:r w:rsidR="00212975" w:rsidRPr="004D32BA">
              <w:rPr>
                <w:color w:val="000000"/>
                <w:sz w:val="18"/>
                <w:szCs w:val="18"/>
                <w:lang w:val="en-US"/>
              </w:rPr>
              <w:t>alac</w:t>
            </w:r>
            <w:proofErr w:type="spellEnd"/>
            <w:r w:rsidR="00212975" w:rsidRPr="004D32BA">
              <w:rPr>
                <w:color w:val="000000"/>
                <w:sz w:val="18"/>
                <w:szCs w:val="18"/>
                <w:lang w:val="en-US"/>
              </w:rPr>
              <w:t xml:space="preserve"> + </w:t>
            </w:r>
            <w:r w:rsidRPr="004D32BA">
              <w:rPr>
                <w:color w:val="000000"/>
                <w:sz w:val="18"/>
                <w:szCs w:val="18"/>
                <w:lang w:val="en-US"/>
              </w:rPr>
              <w:t>CO</w:t>
            </w:r>
            <w:r w:rsidR="00212975" w:rsidRPr="004858EF">
              <w:rPr>
                <w:color w:val="000000"/>
                <w:sz w:val="18"/>
                <w:szCs w:val="18"/>
                <w:vertAlign w:val="subscript"/>
                <w:lang w:val="en-US"/>
              </w:rPr>
              <w:t>2</w:t>
            </w:r>
          </w:p>
        </w:tc>
      </w:tr>
      <w:tr w:rsidR="00212975" w:rsidRPr="004D32BA" w14:paraId="6A6C6019"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93B603" w14:textId="6B940476"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ilv</w:t>
            </w:r>
            <w:r w:rsidRPr="004D32BA">
              <w:rPr>
                <w:color w:val="000000"/>
                <w:sz w:val="18"/>
                <w:szCs w:val="18"/>
                <w:lang w:val="en-US"/>
              </w:rPr>
              <w:t>D</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DBA3069" w14:textId="3B1E34F3" w:rsidR="00212975" w:rsidRPr="004D32BA" w:rsidRDefault="00212975" w:rsidP="00621B9F">
            <w:pPr>
              <w:rPr>
                <w:color w:val="000000"/>
                <w:sz w:val="18"/>
                <w:szCs w:val="18"/>
                <w:lang w:val="en-US"/>
              </w:rPr>
            </w:pPr>
            <w:r w:rsidRPr="004D32BA">
              <w:rPr>
                <w:color w:val="000000"/>
                <w:sz w:val="18"/>
                <w:szCs w:val="18"/>
                <w:lang w:val="en-US"/>
              </w:rPr>
              <w:t>Dihydroxy-acid dehydratase</w:t>
            </w:r>
          </w:p>
        </w:tc>
        <w:tc>
          <w:tcPr>
            <w:tcW w:w="0" w:type="auto"/>
            <w:tcBorders>
              <w:top w:val="nil"/>
              <w:left w:val="nil"/>
              <w:bottom w:val="single" w:sz="4" w:space="0" w:color="auto"/>
              <w:right w:val="single" w:sz="4" w:space="0" w:color="auto"/>
            </w:tcBorders>
            <w:shd w:val="clear" w:color="auto" w:fill="auto"/>
            <w:noWrap/>
            <w:vAlign w:val="center"/>
          </w:tcPr>
          <w:p w14:paraId="2AE00324" w14:textId="4B83A29A" w:rsidR="00212975" w:rsidRPr="004D32BA" w:rsidRDefault="00212975" w:rsidP="00621B9F">
            <w:pPr>
              <w:jc w:val="center"/>
              <w:rPr>
                <w:color w:val="000000"/>
                <w:sz w:val="18"/>
                <w:szCs w:val="18"/>
                <w:lang w:val="en-US"/>
              </w:rPr>
            </w:pPr>
            <w:r w:rsidRPr="004D32BA">
              <w:rPr>
                <w:color w:val="000000"/>
                <w:sz w:val="18"/>
                <w:szCs w:val="18"/>
                <w:lang w:val="en-US"/>
              </w:rPr>
              <w:t>DHAD1</w:t>
            </w:r>
          </w:p>
        </w:tc>
        <w:tc>
          <w:tcPr>
            <w:tcW w:w="0" w:type="auto"/>
            <w:tcBorders>
              <w:top w:val="nil"/>
              <w:left w:val="nil"/>
              <w:bottom w:val="single" w:sz="4" w:space="0" w:color="auto"/>
              <w:right w:val="single" w:sz="4" w:space="0" w:color="auto"/>
            </w:tcBorders>
            <w:shd w:val="clear" w:color="auto" w:fill="auto"/>
            <w:noWrap/>
            <w:vAlign w:val="center"/>
          </w:tcPr>
          <w:p w14:paraId="6EE53698" w14:textId="1E9317C7" w:rsidR="00212975" w:rsidRPr="004D32BA" w:rsidRDefault="00212975" w:rsidP="00621B9F">
            <w:pPr>
              <w:rPr>
                <w:color w:val="000000"/>
                <w:sz w:val="18"/>
                <w:szCs w:val="18"/>
                <w:lang w:val="en-US"/>
              </w:rPr>
            </w:pPr>
            <w:r w:rsidRPr="004D32BA">
              <w:rPr>
                <w:color w:val="000000"/>
                <w:sz w:val="18"/>
                <w:szCs w:val="18"/>
                <w:lang w:val="en-US"/>
              </w:rPr>
              <w:t>23</w:t>
            </w:r>
            <w:proofErr w:type="gramStart"/>
            <w:r w:rsidRPr="004D32BA">
              <w:rPr>
                <w:color w:val="000000"/>
                <w:sz w:val="18"/>
                <w:szCs w:val="18"/>
                <w:lang w:val="en-US"/>
              </w:rPr>
              <w:t>dhmb  -</w:t>
            </w:r>
            <w:proofErr w:type="gramEnd"/>
            <w:r w:rsidRPr="004D32BA">
              <w:rPr>
                <w:color w:val="000000"/>
                <w:sz w:val="18"/>
                <w:szCs w:val="18"/>
                <w:lang w:val="en-US"/>
              </w:rPr>
              <w:t xml:space="preserve">&gt; 2-KIV + </w:t>
            </w:r>
            <w:r w:rsidR="004858EF" w:rsidRPr="004858EF">
              <w:rPr>
                <w:color w:val="000000"/>
                <w:sz w:val="18"/>
                <w:szCs w:val="18"/>
                <w:lang w:val="en-US"/>
              </w:rPr>
              <w:t>H</w:t>
            </w:r>
            <w:r w:rsidR="004858EF" w:rsidRPr="004858EF">
              <w:rPr>
                <w:color w:val="000000"/>
                <w:sz w:val="18"/>
                <w:szCs w:val="18"/>
                <w:vertAlign w:val="subscript"/>
                <w:lang w:val="en-US"/>
              </w:rPr>
              <w:t>2</w:t>
            </w:r>
            <w:r w:rsidR="004858EF" w:rsidRPr="004858EF">
              <w:rPr>
                <w:color w:val="000000"/>
                <w:sz w:val="18"/>
                <w:szCs w:val="18"/>
                <w:lang w:val="en-US"/>
              </w:rPr>
              <w:t>O</w:t>
            </w:r>
          </w:p>
        </w:tc>
      </w:tr>
      <w:tr w:rsidR="00212975" w:rsidRPr="004D32BA" w14:paraId="453C9BA2"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AF9B16" w14:textId="0CC23030"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pho</w:t>
            </w:r>
            <w:r w:rsidRPr="00701BF7">
              <w:rPr>
                <w:iCs/>
                <w:color w:val="000000"/>
                <w:sz w:val="18"/>
                <w:szCs w:val="18"/>
                <w:lang w:val="en-US"/>
              </w:rPr>
              <w:t>E</w:t>
            </w:r>
            <w:proofErr w:type="spellEnd"/>
            <w:r w:rsidRPr="004D32BA">
              <w:rPr>
                <w:i/>
                <w:iCs/>
                <w:color w:val="000000"/>
                <w:sz w:val="18"/>
                <w:szCs w:val="18"/>
                <w:lang w:val="en-US"/>
              </w:rPr>
              <w:t xml:space="preserve">, </w:t>
            </w:r>
            <w:proofErr w:type="spellStart"/>
            <w:r w:rsidRPr="004D32BA">
              <w:rPr>
                <w:i/>
                <w:iCs/>
                <w:color w:val="000000"/>
                <w:sz w:val="18"/>
                <w:szCs w:val="18"/>
                <w:lang w:val="en-US"/>
              </w:rPr>
              <w:t>omp</w:t>
            </w:r>
            <w:r w:rsidRPr="00701BF7">
              <w:rPr>
                <w:iCs/>
                <w:color w:val="000000"/>
                <w:sz w:val="18"/>
                <w:szCs w:val="18"/>
                <w:lang w:val="en-US"/>
              </w:rPr>
              <w:t>FNC</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DDD8C70" w14:textId="18F831DC" w:rsidR="00212975" w:rsidRPr="004D32BA" w:rsidRDefault="00212975" w:rsidP="00621B9F">
            <w:pPr>
              <w:rPr>
                <w:color w:val="000000"/>
                <w:sz w:val="18"/>
                <w:szCs w:val="18"/>
                <w:lang w:val="en-US"/>
              </w:rPr>
            </w:pPr>
            <w:r w:rsidRPr="004D32BA">
              <w:rPr>
                <w:color w:val="000000"/>
                <w:sz w:val="18"/>
                <w:szCs w:val="18"/>
                <w:lang w:val="en-US"/>
              </w:rPr>
              <w:t>Transport proteins</w:t>
            </w:r>
          </w:p>
        </w:tc>
        <w:tc>
          <w:tcPr>
            <w:tcW w:w="0" w:type="auto"/>
            <w:tcBorders>
              <w:top w:val="nil"/>
              <w:left w:val="nil"/>
              <w:bottom w:val="single" w:sz="4" w:space="0" w:color="auto"/>
              <w:right w:val="single" w:sz="4" w:space="0" w:color="auto"/>
            </w:tcBorders>
            <w:shd w:val="clear" w:color="auto" w:fill="auto"/>
            <w:noWrap/>
            <w:vAlign w:val="center"/>
          </w:tcPr>
          <w:p w14:paraId="57615850" w14:textId="2C1D24D1" w:rsidR="00212975" w:rsidRPr="004D32BA" w:rsidRDefault="00212975" w:rsidP="00621B9F">
            <w:pPr>
              <w:jc w:val="center"/>
              <w:rPr>
                <w:i/>
                <w:iCs/>
                <w:color w:val="000000"/>
                <w:sz w:val="18"/>
                <w:szCs w:val="18"/>
                <w:lang w:val="en-US"/>
              </w:rPr>
            </w:pPr>
            <w:r w:rsidRPr="004D32BA">
              <w:rPr>
                <w:color w:val="000000"/>
                <w:sz w:val="18"/>
                <w:szCs w:val="18"/>
                <w:lang w:val="en-US"/>
              </w:rPr>
              <w:t>EX-2KIV</w:t>
            </w:r>
          </w:p>
        </w:tc>
        <w:tc>
          <w:tcPr>
            <w:tcW w:w="0" w:type="auto"/>
            <w:tcBorders>
              <w:top w:val="nil"/>
              <w:left w:val="nil"/>
              <w:bottom w:val="single" w:sz="4" w:space="0" w:color="auto"/>
              <w:right w:val="single" w:sz="4" w:space="0" w:color="auto"/>
            </w:tcBorders>
            <w:shd w:val="clear" w:color="auto" w:fill="auto"/>
            <w:noWrap/>
            <w:vAlign w:val="center"/>
          </w:tcPr>
          <w:p w14:paraId="4C85D4AC" w14:textId="0A357D94" w:rsidR="00212975" w:rsidRPr="004D32BA" w:rsidRDefault="00212975" w:rsidP="00621B9F">
            <w:pPr>
              <w:rPr>
                <w:color w:val="000000"/>
                <w:sz w:val="18"/>
                <w:szCs w:val="18"/>
                <w:lang w:val="en-US"/>
              </w:rPr>
            </w:pPr>
            <w:r w:rsidRPr="004D32BA">
              <w:rPr>
                <w:color w:val="000000"/>
                <w:sz w:val="18"/>
                <w:szCs w:val="18"/>
                <w:lang w:val="en-US"/>
              </w:rPr>
              <w:t>EX_2-KIV[</w:t>
            </w:r>
            <w:proofErr w:type="spellStart"/>
            <w:r w:rsidRPr="004D32BA">
              <w:rPr>
                <w:color w:val="000000"/>
                <w:sz w:val="18"/>
                <w:szCs w:val="18"/>
                <w:lang w:val="en-US"/>
              </w:rPr>
              <w:t>Extra_</w:t>
            </w:r>
            <w:proofErr w:type="gramStart"/>
            <w:r w:rsidRPr="004D32BA">
              <w:rPr>
                <w:color w:val="000000"/>
                <w:sz w:val="18"/>
                <w:szCs w:val="18"/>
                <w:lang w:val="en-US"/>
              </w:rPr>
              <w:t>organism</w:t>
            </w:r>
            <w:proofErr w:type="spellEnd"/>
            <w:r w:rsidRPr="004D32BA">
              <w:rPr>
                <w:color w:val="000000"/>
                <w:sz w:val="18"/>
                <w:szCs w:val="18"/>
                <w:lang w:val="en-US"/>
              </w:rPr>
              <w:t>]  -</w:t>
            </w:r>
            <w:proofErr w:type="gramEnd"/>
            <w:r w:rsidRPr="004D32BA">
              <w:rPr>
                <w:color w:val="000000"/>
                <w:sz w:val="18"/>
                <w:szCs w:val="18"/>
                <w:lang w:val="en-US"/>
              </w:rPr>
              <w:t>&gt;</w:t>
            </w:r>
          </w:p>
        </w:tc>
      </w:tr>
      <w:tr w:rsidR="00212975" w:rsidRPr="004D32BA" w14:paraId="7440B8B2"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2B64D4" w14:textId="68B4FB17"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pho</w:t>
            </w:r>
            <w:r w:rsidRPr="00701BF7">
              <w:rPr>
                <w:iCs/>
                <w:color w:val="000000"/>
                <w:sz w:val="18"/>
                <w:szCs w:val="18"/>
                <w:lang w:val="en-US"/>
              </w:rPr>
              <w:t>E</w:t>
            </w:r>
            <w:proofErr w:type="spellEnd"/>
            <w:r w:rsidRPr="004D32BA">
              <w:rPr>
                <w:i/>
                <w:iCs/>
                <w:color w:val="000000"/>
                <w:sz w:val="18"/>
                <w:szCs w:val="18"/>
                <w:lang w:val="en-US"/>
              </w:rPr>
              <w:t xml:space="preserve">, </w:t>
            </w:r>
            <w:proofErr w:type="spellStart"/>
            <w:r w:rsidRPr="004D32BA">
              <w:rPr>
                <w:i/>
                <w:iCs/>
                <w:color w:val="000000"/>
                <w:sz w:val="18"/>
                <w:szCs w:val="18"/>
                <w:lang w:val="en-US"/>
              </w:rPr>
              <w:t>omp</w:t>
            </w:r>
            <w:r w:rsidRPr="00701BF7">
              <w:rPr>
                <w:iCs/>
                <w:color w:val="000000"/>
                <w:sz w:val="18"/>
                <w:szCs w:val="18"/>
                <w:lang w:val="en-US"/>
              </w:rPr>
              <w:t>FNC</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8C7DDBA" w14:textId="760BA3AD" w:rsidR="00212975" w:rsidRPr="004D32BA" w:rsidRDefault="00212975" w:rsidP="00621B9F">
            <w:pPr>
              <w:rPr>
                <w:color w:val="000000"/>
                <w:sz w:val="18"/>
                <w:szCs w:val="18"/>
                <w:lang w:val="en-US"/>
              </w:rPr>
            </w:pPr>
            <w:r w:rsidRPr="004D32BA">
              <w:rPr>
                <w:color w:val="000000"/>
                <w:sz w:val="18"/>
                <w:szCs w:val="18"/>
                <w:lang w:val="en-US"/>
              </w:rPr>
              <w:t>Transport proteins</w:t>
            </w:r>
          </w:p>
        </w:tc>
        <w:tc>
          <w:tcPr>
            <w:tcW w:w="0" w:type="auto"/>
            <w:tcBorders>
              <w:top w:val="nil"/>
              <w:left w:val="nil"/>
              <w:bottom w:val="single" w:sz="4" w:space="0" w:color="auto"/>
              <w:right w:val="single" w:sz="4" w:space="0" w:color="auto"/>
            </w:tcBorders>
            <w:shd w:val="clear" w:color="auto" w:fill="auto"/>
            <w:noWrap/>
            <w:vAlign w:val="center"/>
          </w:tcPr>
          <w:p w14:paraId="6691F1B3" w14:textId="1F93952A" w:rsidR="00212975" w:rsidRPr="004D32BA" w:rsidRDefault="00212975" w:rsidP="00621B9F">
            <w:pPr>
              <w:jc w:val="center"/>
              <w:rPr>
                <w:color w:val="000000"/>
                <w:sz w:val="18"/>
                <w:szCs w:val="18"/>
                <w:lang w:val="en-US"/>
              </w:rPr>
            </w:pPr>
            <w:r w:rsidRPr="004D32BA">
              <w:rPr>
                <w:color w:val="000000"/>
                <w:sz w:val="18"/>
                <w:szCs w:val="18"/>
                <w:lang w:val="en-US"/>
              </w:rPr>
              <w:t>EX-valine</w:t>
            </w:r>
          </w:p>
        </w:tc>
        <w:tc>
          <w:tcPr>
            <w:tcW w:w="0" w:type="auto"/>
            <w:tcBorders>
              <w:top w:val="nil"/>
              <w:left w:val="nil"/>
              <w:bottom w:val="single" w:sz="4" w:space="0" w:color="auto"/>
              <w:right w:val="single" w:sz="4" w:space="0" w:color="auto"/>
            </w:tcBorders>
            <w:shd w:val="clear" w:color="auto" w:fill="auto"/>
            <w:noWrap/>
            <w:vAlign w:val="center"/>
          </w:tcPr>
          <w:p w14:paraId="07F244A9" w14:textId="2E539915" w:rsidR="00212975" w:rsidRPr="004D32BA" w:rsidRDefault="00212975" w:rsidP="00621B9F">
            <w:pPr>
              <w:rPr>
                <w:color w:val="000000"/>
                <w:sz w:val="18"/>
                <w:szCs w:val="18"/>
                <w:lang w:val="en-US"/>
              </w:rPr>
            </w:pPr>
            <w:proofErr w:type="spellStart"/>
            <w:r w:rsidRPr="004D32BA">
              <w:rPr>
                <w:color w:val="000000"/>
                <w:sz w:val="18"/>
                <w:szCs w:val="18"/>
                <w:lang w:val="en-US"/>
              </w:rPr>
              <w:t>val_L</w:t>
            </w:r>
            <w:proofErr w:type="spellEnd"/>
            <w:r w:rsidRPr="004D32BA">
              <w:rPr>
                <w:color w:val="000000"/>
                <w:sz w:val="18"/>
                <w:szCs w:val="18"/>
                <w:lang w:val="en-US"/>
              </w:rPr>
              <w:t>[</w:t>
            </w:r>
            <w:proofErr w:type="spellStart"/>
            <w:r w:rsidRPr="004D32BA">
              <w:rPr>
                <w:color w:val="000000"/>
                <w:sz w:val="18"/>
                <w:szCs w:val="18"/>
                <w:lang w:val="en-US"/>
              </w:rPr>
              <w:t>Extra_</w:t>
            </w:r>
            <w:proofErr w:type="gramStart"/>
            <w:r w:rsidRPr="004D32BA">
              <w:rPr>
                <w:color w:val="000000"/>
                <w:sz w:val="18"/>
                <w:szCs w:val="18"/>
                <w:lang w:val="en-US"/>
              </w:rPr>
              <w:t>organism</w:t>
            </w:r>
            <w:proofErr w:type="spellEnd"/>
            <w:r w:rsidRPr="004D32BA">
              <w:rPr>
                <w:color w:val="000000"/>
                <w:sz w:val="18"/>
                <w:szCs w:val="18"/>
                <w:lang w:val="en-US"/>
              </w:rPr>
              <w:t>]  -</w:t>
            </w:r>
            <w:proofErr w:type="gramEnd"/>
            <w:r w:rsidRPr="004D32BA">
              <w:rPr>
                <w:color w:val="000000"/>
                <w:sz w:val="18"/>
                <w:szCs w:val="18"/>
                <w:lang w:val="en-US"/>
              </w:rPr>
              <w:t>&gt;</w:t>
            </w:r>
          </w:p>
        </w:tc>
      </w:tr>
      <w:tr w:rsidR="00212975" w:rsidRPr="004D32BA" w14:paraId="6713DF42"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FA726E" w14:textId="0B24B684"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mae</w:t>
            </w:r>
            <w:r w:rsidRPr="004D32BA">
              <w:rPr>
                <w:color w:val="000000"/>
                <w:sz w:val="18"/>
                <w:szCs w:val="18"/>
                <w:lang w:val="en-US"/>
              </w:rPr>
              <w:t>B</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004EA36" w14:textId="6BEFA78B" w:rsidR="00212975" w:rsidRPr="004D32BA" w:rsidRDefault="00212975" w:rsidP="00621B9F">
            <w:pPr>
              <w:rPr>
                <w:color w:val="000000"/>
                <w:sz w:val="18"/>
                <w:szCs w:val="18"/>
                <w:lang w:val="en-US"/>
              </w:rPr>
            </w:pPr>
            <w:r w:rsidRPr="004D32BA">
              <w:rPr>
                <w:color w:val="000000"/>
                <w:sz w:val="18"/>
                <w:szCs w:val="18"/>
                <w:lang w:val="en-US"/>
              </w:rPr>
              <w:t>Malate dehydrogenase ubiquinone-8</w:t>
            </w:r>
          </w:p>
        </w:tc>
        <w:tc>
          <w:tcPr>
            <w:tcW w:w="0" w:type="auto"/>
            <w:tcBorders>
              <w:top w:val="nil"/>
              <w:left w:val="nil"/>
              <w:bottom w:val="single" w:sz="4" w:space="0" w:color="auto"/>
              <w:right w:val="single" w:sz="4" w:space="0" w:color="auto"/>
            </w:tcBorders>
            <w:shd w:val="clear" w:color="auto" w:fill="auto"/>
            <w:noWrap/>
            <w:vAlign w:val="center"/>
          </w:tcPr>
          <w:p w14:paraId="4799E405" w14:textId="42C6431E" w:rsidR="00212975" w:rsidRPr="004D32BA" w:rsidRDefault="00212975" w:rsidP="00621B9F">
            <w:pPr>
              <w:jc w:val="center"/>
              <w:rPr>
                <w:color w:val="000000"/>
                <w:sz w:val="18"/>
                <w:szCs w:val="18"/>
                <w:lang w:val="en-US"/>
              </w:rPr>
            </w:pPr>
            <w:r w:rsidRPr="004D32BA">
              <w:rPr>
                <w:color w:val="000000"/>
                <w:sz w:val="18"/>
                <w:szCs w:val="18"/>
                <w:lang w:val="en-US"/>
              </w:rPr>
              <w:t>ME2</w:t>
            </w:r>
          </w:p>
        </w:tc>
        <w:tc>
          <w:tcPr>
            <w:tcW w:w="0" w:type="auto"/>
            <w:tcBorders>
              <w:top w:val="nil"/>
              <w:left w:val="nil"/>
              <w:bottom w:val="single" w:sz="4" w:space="0" w:color="auto"/>
              <w:right w:val="single" w:sz="4" w:space="0" w:color="auto"/>
            </w:tcBorders>
            <w:shd w:val="clear" w:color="auto" w:fill="auto"/>
            <w:noWrap/>
            <w:vAlign w:val="center"/>
          </w:tcPr>
          <w:p w14:paraId="75CD7BD0" w14:textId="44AF80DB" w:rsidR="00212975" w:rsidRPr="00212975" w:rsidRDefault="00212975" w:rsidP="00621B9F">
            <w:pPr>
              <w:rPr>
                <w:color w:val="000000"/>
                <w:sz w:val="18"/>
                <w:szCs w:val="18"/>
                <w:lang w:val="es-ES"/>
              </w:rPr>
            </w:pPr>
            <w:proofErr w:type="spellStart"/>
            <w:r w:rsidRPr="004D32BA">
              <w:rPr>
                <w:color w:val="000000"/>
                <w:sz w:val="18"/>
                <w:szCs w:val="18"/>
                <w:lang w:val="es-US"/>
              </w:rPr>
              <w:t>mal_L</w:t>
            </w:r>
            <w:proofErr w:type="spellEnd"/>
            <w:r w:rsidRPr="004D32BA">
              <w:rPr>
                <w:color w:val="000000"/>
                <w:sz w:val="18"/>
                <w:szCs w:val="18"/>
                <w:lang w:val="es-US"/>
              </w:rPr>
              <w:t xml:space="preserve"> + </w:t>
            </w:r>
            <w:proofErr w:type="spellStart"/>
            <w:proofErr w:type="gramStart"/>
            <w:r w:rsidRPr="004D32BA">
              <w:rPr>
                <w:color w:val="000000"/>
                <w:sz w:val="18"/>
                <w:szCs w:val="18"/>
                <w:lang w:val="es-US"/>
              </w:rPr>
              <w:t>nadp</w:t>
            </w:r>
            <w:proofErr w:type="spellEnd"/>
            <w:r w:rsidRPr="004D32BA">
              <w:rPr>
                <w:color w:val="000000"/>
                <w:sz w:val="18"/>
                <w:szCs w:val="18"/>
                <w:lang w:val="es-US"/>
              </w:rPr>
              <w:t xml:space="preserve">  -</w:t>
            </w:r>
            <w:proofErr w:type="gramEnd"/>
            <w:r w:rsidRPr="004D32BA">
              <w:rPr>
                <w:color w:val="000000"/>
                <w:sz w:val="18"/>
                <w:szCs w:val="18"/>
                <w:lang w:val="es-US"/>
              </w:rPr>
              <w:t xml:space="preserve">&gt; </w:t>
            </w:r>
            <w:proofErr w:type="spellStart"/>
            <w:r w:rsidRPr="004D32BA">
              <w:rPr>
                <w:color w:val="000000"/>
                <w:sz w:val="18"/>
                <w:szCs w:val="18"/>
                <w:lang w:val="es-US"/>
              </w:rPr>
              <w:t>nadph</w:t>
            </w:r>
            <w:proofErr w:type="spellEnd"/>
            <w:r w:rsidRPr="004D32BA">
              <w:rPr>
                <w:color w:val="000000"/>
                <w:sz w:val="18"/>
                <w:szCs w:val="18"/>
                <w:lang w:val="es-US"/>
              </w:rPr>
              <w:t xml:space="preserve"> + </w:t>
            </w:r>
            <w:r w:rsidR="004858EF" w:rsidRPr="004858EF">
              <w:rPr>
                <w:color w:val="000000"/>
                <w:sz w:val="18"/>
                <w:szCs w:val="18"/>
                <w:lang w:val="es-ES"/>
              </w:rPr>
              <w:t>CO</w:t>
            </w:r>
            <w:r w:rsidR="004858EF" w:rsidRPr="004858EF">
              <w:rPr>
                <w:color w:val="000000"/>
                <w:sz w:val="18"/>
                <w:szCs w:val="18"/>
                <w:vertAlign w:val="subscript"/>
                <w:lang w:val="es-ES"/>
              </w:rPr>
              <w:t>2</w:t>
            </w:r>
            <w:r w:rsidRPr="004D32BA">
              <w:rPr>
                <w:color w:val="000000"/>
                <w:sz w:val="18"/>
                <w:szCs w:val="18"/>
                <w:lang w:val="es-US"/>
              </w:rPr>
              <w:t xml:space="preserve"> + </w:t>
            </w:r>
            <w:proofErr w:type="spellStart"/>
            <w:r w:rsidRPr="004D32BA">
              <w:rPr>
                <w:color w:val="000000"/>
                <w:sz w:val="18"/>
                <w:szCs w:val="18"/>
                <w:lang w:val="es-US"/>
              </w:rPr>
              <w:t>pyr</w:t>
            </w:r>
            <w:proofErr w:type="spellEnd"/>
          </w:p>
        </w:tc>
      </w:tr>
      <w:tr w:rsidR="00212975" w:rsidRPr="00EF447E" w14:paraId="555DD962"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68DB32" w14:textId="12A4E1B9"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ace</w:t>
            </w:r>
            <w:r w:rsidRPr="004D32BA">
              <w:rPr>
                <w:color w:val="000000"/>
                <w:sz w:val="18"/>
                <w:szCs w:val="18"/>
                <w:lang w:val="en-US"/>
              </w:rPr>
              <w:t>F</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1ADB613" w14:textId="37C5D559" w:rsidR="00212975" w:rsidRPr="004D32BA" w:rsidRDefault="00212975" w:rsidP="00621B9F">
            <w:pPr>
              <w:rPr>
                <w:color w:val="000000"/>
                <w:sz w:val="18"/>
                <w:szCs w:val="18"/>
                <w:lang w:val="en-US"/>
              </w:rPr>
            </w:pPr>
            <w:r w:rsidRPr="004D32BA">
              <w:rPr>
                <w:color w:val="000000"/>
                <w:sz w:val="18"/>
                <w:szCs w:val="18"/>
                <w:lang w:val="en-US"/>
              </w:rPr>
              <w:t>Pyruvate dehydrogenase</w:t>
            </w:r>
          </w:p>
        </w:tc>
        <w:tc>
          <w:tcPr>
            <w:tcW w:w="0" w:type="auto"/>
            <w:tcBorders>
              <w:top w:val="nil"/>
              <w:left w:val="nil"/>
              <w:bottom w:val="single" w:sz="4" w:space="0" w:color="auto"/>
              <w:right w:val="single" w:sz="4" w:space="0" w:color="auto"/>
            </w:tcBorders>
            <w:shd w:val="clear" w:color="auto" w:fill="auto"/>
            <w:noWrap/>
            <w:vAlign w:val="center"/>
          </w:tcPr>
          <w:p w14:paraId="102ED77D" w14:textId="1840EE32" w:rsidR="00212975" w:rsidRPr="004D32BA" w:rsidRDefault="00212975" w:rsidP="00621B9F">
            <w:pPr>
              <w:jc w:val="center"/>
              <w:rPr>
                <w:color w:val="000000"/>
                <w:sz w:val="18"/>
                <w:szCs w:val="18"/>
                <w:lang w:val="en-US"/>
              </w:rPr>
            </w:pPr>
            <w:r w:rsidRPr="004D32BA">
              <w:rPr>
                <w:color w:val="000000"/>
                <w:sz w:val="18"/>
                <w:szCs w:val="18"/>
                <w:lang w:val="en-US"/>
              </w:rPr>
              <w:t>PDH</w:t>
            </w:r>
          </w:p>
        </w:tc>
        <w:tc>
          <w:tcPr>
            <w:tcW w:w="0" w:type="auto"/>
            <w:tcBorders>
              <w:top w:val="nil"/>
              <w:left w:val="nil"/>
              <w:bottom w:val="single" w:sz="4" w:space="0" w:color="auto"/>
              <w:right w:val="single" w:sz="4" w:space="0" w:color="auto"/>
            </w:tcBorders>
            <w:shd w:val="clear" w:color="auto" w:fill="auto"/>
            <w:noWrap/>
            <w:vAlign w:val="center"/>
          </w:tcPr>
          <w:p w14:paraId="700D9D71" w14:textId="40B4417D" w:rsidR="00212975" w:rsidRPr="00212975" w:rsidRDefault="00212975" w:rsidP="00621B9F">
            <w:pPr>
              <w:rPr>
                <w:color w:val="000000"/>
                <w:sz w:val="18"/>
                <w:szCs w:val="18"/>
                <w:lang w:val="en-US"/>
              </w:rPr>
            </w:pPr>
            <w:proofErr w:type="spellStart"/>
            <w:r w:rsidRPr="004D32BA">
              <w:rPr>
                <w:color w:val="000000"/>
                <w:sz w:val="18"/>
                <w:szCs w:val="18"/>
                <w:lang w:val="en-US"/>
              </w:rPr>
              <w:t>coa</w:t>
            </w:r>
            <w:proofErr w:type="spellEnd"/>
            <w:r w:rsidRPr="004D32BA">
              <w:rPr>
                <w:color w:val="000000"/>
                <w:sz w:val="18"/>
                <w:szCs w:val="18"/>
                <w:lang w:val="en-US"/>
              </w:rPr>
              <w:t xml:space="preserve"> + </w:t>
            </w:r>
            <w:proofErr w:type="spellStart"/>
            <w:r w:rsidRPr="004D32BA">
              <w:rPr>
                <w:color w:val="000000"/>
                <w:sz w:val="18"/>
                <w:szCs w:val="18"/>
                <w:lang w:val="en-US"/>
              </w:rPr>
              <w:t>nad</w:t>
            </w:r>
            <w:proofErr w:type="spellEnd"/>
            <w:r w:rsidRPr="004D32BA">
              <w:rPr>
                <w:color w:val="000000"/>
                <w:sz w:val="18"/>
                <w:szCs w:val="18"/>
                <w:lang w:val="en-US"/>
              </w:rPr>
              <w:t xml:space="preserve"> + </w:t>
            </w:r>
            <w:proofErr w:type="spellStart"/>
            <w:proofErr w:type="gramStart"/>
            <w:r w:rsidRPr="004D32BA">
              <w:rPr>
                <w:color w:val="000000"/>
                <w:sz w:val="18"/>
                <w:szCs w:val="18"/>
                <w:lang w:val="en-US"/>
              </w:rPr>
              <w:t>pyr</w:t>
            </w:r>
            <w:proofErr w:type="spellEnd"/>
            <w:r w:rsidRPr="004D32BA">
              <w:rPr>
                <w:color w:val="000000"/>
                <w:sz w:val="18"/>
                <w:szCs w:val="18"/>
                <w:lang w:val="en-US"/>
              </w:rPr>
              <w:t xml:space="preserve">  -</w:t>
            </w:r>
            <w:proofErr w:type="gramEnd"/>
            <w:r w:rsidRPr="004D32BA">
              <w:rPr>
                <w:color w:val="000000"/>
                <w:sz w:val="18"/>
                <w:szCs w:val="18"/>
                <w:lang w:val="en-US"/>
              </w:rPr>
              <w:t xml:space="preserve">&gt; </w:t>
            </w:r>
            <w:r w:rsidR="004858EF" w:rsidRPr="004D32BA">
              <w:rPr>
                <w:color w:val="000000"/>
                <w:sz w:val="18"/>
                <w:szCs w:val="18"/>
                <w:lang w:val="en-US"/>
              </w:rPr>
              <w:t>CO</w:t>
            </w:r>
            <w:r w:rsidR="004858EF" w:rsidRPr="004858EF">
              <w:rPr>
                <w:color w:val="000000"/>
                <w:sz w:val="18"/>
                <w:szCs w:val="18"/>
                <w:vertAlign w:val="subscript"/>
                <w:lang w:val="en-US"/>
              </w:rPr>
              <w:t>2</w:t>
            </w:r>
            <w:r w:rsidRPr="004D32BA">
              <w:rPr>
                <w:color w:val="000000"/>
                <w:sz w:val="18"/>
                <w:szCs w:val="18"/>
                <w:lang w:val="en-US"/>
              </w:rPr>
              <w:t xml:space="preserve"> + </w:t>
            </w:r>
            <w:proofErr w:type="spellStart"/>
            <w:r w:rsidRPr="004D32BA">
              <w:rPr>
                <w:color w:val="000000"/>
                <w:sz w:val="18"/>
                <w:szCs w:val="18"/>
                <w:lang w:val="en-US"/>
              </w:rPr>
              <w:t>nadh</w:t>
            </w:r>
            <w:proofErr w:type="spellEnd"/>
            <w:r w:rsidRPr="004D32BA">
              <w:rPr>
                <w:color w:val="000000"/>
                <w:sz w:val="18"/>
                <w:szCs w:val="18"/>
                <w:lang w:val="en-US"/>
              </w:rPr>
              <w:t xml:space="preserve"> + </w:t>
            </w:r>
            <w:proofErr w:type="spellStart"/>
            <w:r w:rsidRPr="004D32BA">
              <w:rPr>
                <w:color w:val="000000"/>
                <w:sz w:val="18"/>
                <w:szCs w:val="18"/>
                <w:lang w:val="en-US"/>
              </w:rPr>
              <w:t>accoa</w:t>
            </w:r>
            <w:proofErr w:type="spellEnd"/>
          </w:p>
        </w:tc>
      </w:tr>
      <w:tr w:rsidR="00212975" w:rsidRPr="00EF447E" w14:paraId="26E5AF19"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695CA5" w14:textId="799119C4"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ppc</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13E9D4" w14:textId="7AAC662A" w:rsidR="00212975" w:rsidRPr="004D32BA" w:rsidRDefault="00212975" w:rsidP="00621B9F">
            <w:pPr>
              <w:rPr>
                <w:color w:val="000000"/>
                <w:sz w:val="18"/>
                <w:szCs w:val="18"/>
                <w:lang w:val="en-US"/>
              </w:rPr>
            </w:pPr>
            <w:r w:rsidRPr="004D32BA">
              <w:rPr>
                <w:color w:val="000000"/>
                <w:sz w:val="18"/>
                <w:szCs w:val="18"/>
                <w:lang w:val="en-US"/>
              </w:rPr>
              <w:t>Phosphoenolpyruvate carboxylase</w:t>
            </w:r>
          </w:p>
        </w:tc>
        <w:tc>
          <w:tcPr>
            <w:tcW w:w="0" w:type="auto"/>
            <w:tcBorders>
              <w:top w:val="nil"/>
              <w:left w:val="nil"/>
              <w:bottom w:val="single" w:sz="4" w:space="0" w:color="auto"/>
              <w:right w:val="single" w:sz="4" w:space="0" w:color="auto"/>
            </w:tcBorders>
            <w:shd w:val="clear" w:color="auto" w:fill="auto"/>
            <w:noWrap/>
            <w:vAlign w:val="center"/>
          </w:tcPr>
          <w:p w14:paraId="33FE3339" w14:textId="02A4A1C2" w:rsidR="00212975" w:rsidRPr="004D32BA" w:rsidRDefault="00212975" w:rsidP="00621B9F">
            <w:pPr>
              <w:jc w:val="center"/>
              <w:rPr>
                <w:color w:val="000000"/>
                <w:sz w:val="18"/>
                <w:szCs w:val="18"/>
                <w:lang w:val="en-US"/>
              </w:rPr>
            </w:pPr>
            <w:r w:rsidRPr="004D32BA">
              <w:rPr>
                <w:color w:val="000000"/>
                <w:sz w:val="18"/>
                <w:szCs w:val="18"/>
                <w:lang w:val="en-US"/>
              </w:rPr>
              <w:t>PPC</w:t>
            </w:r>
          </w:p>
        </w:tc>
        <w:tc>
          <w:tcPr>
            <w:tcW w:w="0" w:type="auto"/>
            <w:tcBorders>
              <w:top w:val="nil"/>
              <w:left w:val="nil"/>
              <w:bottom w:val="single" w:sz="4" w:space="0" w:color="auto"/>
              <w:right w:val="single" w:sz="4" w:space="0" w:color="auto"/>
            </w:tcBorders>
            <w:shd w:val="clear" w:color="auto" w:fill="auto"/>
            <w:noWrap/>
            <w:vAlign w:val="center"/>
          </w:tcPr>
          <w:p w14:paraId="39FFD6F1" w14:textId="67B927AF" w:rsidR="00212975" w:rsidRPr="004D32BA" w:rsidRDefault="004858EF" w:rsidP="00621B9F">
            <w:pPr>
              <w:rPr>
                <w:color w:val="000000"/>
                <w:sz w:val="18"/>
                <w:szCs w:val="18"/>
                <w:lang w:val="en-US"/>
              </w:rPr>
            </w:pPr>
            <w:r w:rsidRPr="004858EF">
              <w:rPr>
                <w:color w:val="000000"/>
                <w:sz w:val="18"/>
                <w:szCs w:val="18"/>
                <w:lang w:val="en-US"/>
              </w:rPr>
              <w:t>H</w:t>
            </w:r>
            <w:r w:rsidRPr="004858EF">
              <w:rPr>
                <w:color w:val="000000"/>
                <w:sz w:val="18"/>
                <w:szCs w:val="18"/>
                <w:vertAlign w:val="subscript"/>
                <w:lang w:val="en-US"/>
              </w:rPr>
              <w:t>2</w:t>
            </w:r>
            <w:r w:rsidRPr="004858EF">
              <w:rPr>
                <w:color w:val="000000"/>
                <w:sz w:val="18"/>
                <w:szCs w:val="18"/>
                <w:lang w:val="en-US"/>
              </w:rPr>
              <w:t>O</w:t>
            </w:r>
            <w:r w:rsidR="00212975" w:rsidRPr="004D32BA">
              <w:rPr>
                <w:color w:val="000000"/>
                <w:sz w:val="18"/>
                <w:szCs w:val="18"/>
                <w:lang w:val="en-US"/>
              </w:rPr>
              <w:t xml:space="preserve"> + pep + </w:t>
            </w:r>
            <w:proofErr w:type="gramStart"/>
            <w:r w:rsidRPr="004D32BA">
              <w:rPr>
                <w:color w:val="000000"/>
                <w:sz w:val="18"/>
                <w:szCs w:val="18"/>
                <w:lang w:val="en-US"/>
              </w:rPr>
              <w:t>CO</w:t>
            </w:r>
            <w:r w:rsidRPr="004858EF">
              <w:rPr>
                <w:color w:val="000000"/>
                <w:sz w:val="18"/>
                <w:szCs w:val="18"/>
                <w:vertAlign w:val="subscript"/>
                <w:lang w:val="en-US"/>
              </w:rPr>
              <w:t>2</w:t>
            </w:r>
            <w:r w:rsidR="00212975" w:rsidRPr="004D32BA">
              <w:rPr>
                <w:color w:val="000000"/>
                <w:sz w:val="18"/>
                <w:szCs w:val="18"/>
                <w:lang w:val="en-US"/>
              </w:rPr>
              <w:t xml:space="preserve">  -</w:t>
            </w:r>
            <w:proofErr w:type="gramEnd"/>
            <w:r w:rsidR="00212975" w:rsidRPr="004D32BA">
              <w:rPr>
                <w:color w:val="000000"/>
                <w:sz w:val="18"/>
                <w:szCs w:val="18"/>
                <w:lang w:val="en-US"/>
              </w:rPr>
              <w:t xml:space="preserve">&gt; pi + h + </w:t>
            </w:r>
            <w:proofErr w:type="spellStart"/>
            <w:r w:rsidR="00212975" w:rsidRPr="004D32BA">
              <w:rPr>
                <w:color w:val="000000"/>
                <w:sz w:val="18"/>
                <w:szCs w:val="18"/>
                <w:lang w:val="en-US"/>
              </w:rPr>
              <w:t>oaa</w:t>
            </w:r>
            <w:proofErr w:type="spellEnd"/>
          </w:p>
        </w:tc>
      </w:tr>
      <w:tr w:rsidR="00212975" w:rsidRPr="00212975" w14:paraId="7DA45E70"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7B19DD" w14:textId="2E1DAAC3"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mdh</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19C0D94" w14:textId="2636336F" w:rsidR="00212975" w:rsidRPr="004D32BA" w:rsidRDefault="00212975" w:rsidP="00621B9F">
            <w:pPr>
              <w:rPr>
                <w:color w:val="000000"/>
                <w:sz w:val="18"/>
                <w:szCs w:val="18"/>
                <w:lang w:val="en-US"/>
              </w:rPr>
            </w:pPr>
            <w:r w:rsidRPr="004D32BA">
              <w:rPr>
                <w:color w:val="000000"/>
                <w:sz w:val="18"/>
                <w:szCs w:val="18"/>
                <w:lang w:val="en-US"/>
              </w:rPr>
              <w:t>Malate dehydrogenase</w:t>
            </w:r>
          </w:p>
        </w:tc>
        <w:tc>
          <w:tcPr>
            <w:tcW w:w="0" w:type="auto"/>
            <w:tcBorders>
              <w:top w:val="nil"/>
              <w:left w:val="nil"/>
              <w:bottom w:val="single" w:sz="4" w:space="0" w:color="auto"/>
              <w:right w:val="single" w:sz="4" w:space="0" w:color="auto"/>
            </w:tcBorders>
            <w:shd w:val="clear" w:color="auto" w:fill="auto"/>
            <w:noWrap/>
            <w:vAlign w:val="center"/>
          </w:tcPr>
          <w:p w14:paraId="2AC19586" w14:textId="628C4049" w:rsidR="00212975" w:rsidRPr="004D32BA" w:rsidRDefault="00212975" w:rsidP="00621B9F">
            <w:pPr>
              <w:jc w:val="center"/>
              <w:rPr>
                <w:color w:val="000000"/>
                <w:sz w:val="18"/>
                <w:szCs w:val="18"/>
                <w:lang w:val="en-US"/>
              </w:rPr>
            </w:pPr>
            <w:r w:rsidRPr="004D32BA">
              <w:rPr>
                <w:color w:val="000000"/>
                <w:sz w:val="18"/>
                <w:szCs w:val="18"/>
                <w:lang w:val="en-US"/>
              </w:rPr>
              <w:t>MDH</w:t>
            </w:r>
          </w:p>
        </w:tc>
        <w:tc>
          <w:tcPr>
            <w:tcW w:w="0" w:type="auto"/>
            <w:tcBorders>
              <w:top w:val="nil"/>
              <w:left w:val="nil"/>
              <w:bottom w:val="single" w:sz="4" w:space="0" w:color="auto"/>
              <w:right w:val="single" w:sz="4" w:space="0" w:color="auto"/>
            </w:tcBorders>
            <w:shd w:val="clear" w:color="auto" w:fill="auto"/>
            <w:noWrap/>
            <w:vAlign w:val="center"/>
          </w:tcPr>
          <w:p w14:paraId="5F91F657" w14:textId="2AE4A5E0" w:rsidR="00212975" w:rsidRPr="00212975" w:rsidRDefault="00212975" w:rsidP="00621B9F">
            <w:pPr>
              <w:rPr>
                <w:color w:val="000000"/>
                <w:sz w:val="18"/>
                <w:szCs w:val="18"/>
                <w:lang w:val="es-ES"/>
              </w:rPr>
            </w:pPr>
            <w:proofErr w:type="spellStart"/>
            <w:r w:rsidRPr="004D32BA">
              <w:rPr>
                <w:color w:val="000000"/>
                <w:sz w:val="18"/>
                <w:szCs w:val="18"/>
              </w:rPr>
              <w:t>mal_L</w:t>
            </w:r>
            <w:proofErr w:type="spellEnd"/>
            <w:r w:rsidRPr="004D32BA">
              <w:rPr>
                <w:color w:val="000000"/>
                <w:sz w:val="18"/>
                <w:szCs w:val="18"/>
              </w:rPr>
              <w:t xml:space="preserve"> + </w:t>
            </w:r>
            <w:proofErr w:type="spellStart"/>
            <w:proofErr w:type="gramStart"/>
            <w:r w:rsidRPr="004D32BA">
              <w:rPr>
                <w:color w:val="000000"/>
                <w:sz w:val="18"/>
                <w:szCs w:val="18"/>
              </w:rPr>
              <w:t>nad</w:t>
            </w:r>
            <w:proofErr w:type="spellEnd"/>
            <w:r w:rsidRPr="004D32BA">
              <w:rPr>
                <w:color w:val="000000"/>
                <w:sz w:val="18"/>
                <w:szCs w:val="18"/>
              </w:rPr>
              <w:t xml:space="preserve">  &lt;</w:t>
            </w:r>
            <w:proofErr w:type="gramEnd"/>
            <w:r w:rsidRPr="004D32BA">
              <w:rPr>
                <w:color w:val="000000"/>
                <w:sz w:val="18"/>
                <w:szCs w:val="18"/>
              </w:rPr>
              <w:t xml:space="preserve">=&gt; h + </w:t>
            </w:r>
            <w:proofErr w:type="spellStart"/>
            <w:r w:rsidRPr="004D32BA">
              <w:rPr>
                <w:color w:val="000000"/>
                <w:sz w:val="18"/>
                <w:szCs w:val="18"/>
              </w:rPr>
              <w:t>nadh</w:t>
            </w:r>
            <w:proofErr w:type="spellEnd"/>
            <w:r w:rsidRPr="004D32BA">
              <w:rPr>
                <w:color w:val="000000"/>
                <w:sz w:val="18"/>
                <w:szCs w:val="18"/>
              </w:rPr>
              <w:t xml:space="preserve"> + </w:t>
            </w:r>
            <w:proofErr w:type="spellStart"/>
            <w:r w:rsidRPr="004D32BA">
              <w:rPr>
                <w:color w:val="000000"/>
                <w:sz w:val="18"/>
                <w:szCs w:val="18"/>
              </w:rPr>
              <w:t>oaa</w:t>
            </w:r>
            <w:proofErr w:type="spellEnd"/>
          </w:p>
        </w:tc>
      </w:tr>
      <w:tr w:rsidR="00212975" w:rsidRPr="004D32BA" w14:paraId="31DBCF8B"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C7F20A" w14:textId="701A15FA"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pho</w:t>
            </w:r>
            <w:r w:rsidRPr="00701BF7">
              <w:rPr>
                <w:iCs/>
                <w:color w:val="000000"/>
                <w:sz w:val="18"/>
                <w:szCs w:val="18"/>
                <w:lang w:val="en-US"/>
              </w:rPr>
              <w:t>E</w:t>
            </w:r>
            <w:proofErr w:type="spellEnd"/>
            <w:r w:rsidRPr="004D32BA">
              <w:rPr>
                <w:i/>
                <w:iCs/>
                <w:color w:val="000000"/>
                <w:sz w:val="18"/>
                <w:szCs w:val="18"/>
                <w:lang w:val="en-US"/>
              </w:rPr>
              <w:t xml:space="preserve">, </w:t>
            </w:r>
            <w:proofErr w:type="spellStart"/>
            <w:r w:rsidRPr="004D32BA">
              <w:rPr>
                <w:i/>
                <w:iCs/>
                <w:color w:val="000000"/>
                <w:sz w:val="18"/>
                <w:szCs w:val="18"/>
                <w:lang w:val="en-US"/>
              </w:rPr>
              <w:t>omp</w:t>
            </w:r>
            <w:r w:rsidRPr="00701BF7">
              <w:rPr>
                <w:iCs/>
                <w:color w:val="000000"/>
                <w:sz w:val="18"/>
                <w:szCs w:val="18"/>
                <w:lang w:val="en-US"/>
              </w:rPr>
              <w:t>FNC</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029D2D26" w14:textId="67C9B560" w:rsidR="00212975" w:rsidRPr="004D32BA" w:rsidRDefault="00212975" w:rsidP="00621B9F">
            <w:pPr>
              <w:rPr>
                <w:color w:val="000000"/>
                <w:sz w:val="18"/>
                <w:szCs w:val="18"/>
                <w:lang w:val="en-US"/>
              </w:rPr>
            </w:pPr>
            <w:r w:rsidRPr="004D32BA">
              <w:rPr>
                <w:color w:val="000000"/>
                <w:sz w:val="18"/>
                <w:szCs w:val="18"/>
                <w:lang w:val="en-US"/>
              </w:rPr>
              <w:t>Transport proteins</w:t>
            </w:r>
          </w:p>
        </w:tc>
        <w:tc>
          <w:tcPr>
            <w:tcW w:w="0" w:type="auto"/>
            <w:tcBorders>
              <w:top w:val="nil"/>
              <w:left w:val="nil"/>
              <w:bottom w:val="single" w:sz="4" w:space="0" w:color="auto"/>
              <w:right w:val="single" w:sz="4" w:space="0" w:color="auto"/>
            </w:tcBorders>
            <w:shd w:val="clear" w:color="auto" w:fill="auto"/>
            <w:vAlign w:val="center"/>
          </w:tcPr>
          <w:p w14:paraId="62D9B12B" w14:textId="743CACE5" w:rsidR="00212975" w:rsidRPr="004D32BA" w:rsidRDefault="00212975" w:rsidP="00621B9F">
            <w:pPr>
              <w:jc w:val="center"/>
              <w:rPr>
                <w:color w:val="000000"/>
                <w:sz w:val="18"/>
                <w:szCs w:val="18"/>
                <w:lang w:val="en-US"/>
              </w:rPr>
            </w:pPr>
            <w:r w:rsidRPr="004D32BA">
              <w:rPr>
                <w:color w:val="000000"/>
                <w:sz w:val="18"/>
                <w:szCs w:val="18"/>
                <w:lang w:val="en-US"/>
              </w:rPr>
              <w:t>EX-acetate</w:t>
            </w:r>
          </w:p>
        </w:tc>
        <w:tc>
          <w:tcPr>
            <w:tcW w:w="0" w:type="auto"/>
            <w:tcBorders>
              <w:top w:val="nil"/>
              <w:left w:val="nil"/>
              <w:bottom w:val="single" w:sz="4" w:space="0" w:color="auto"/>
              <w:right w:val="single" w:sz="4" w:space="0" w:color="auto"/>
            </w:tcBorders>
            <w:shd w:val="clear" w:color="auto" w:fill="auto"/>
            <w:vAlign w:val="center"/>
          </w:tcPr>
          <w:p w14:paraId="546E9876" w14:textId="5C7D86C7" w:rsidR="00212975" w:rsidRPr="004D32BA" w:rsidRDefault="00212975" w:rsidP="00621B9F">
            <w:pPr>
              <w:rPr>
                <w:color w:val="000000"/>
                <w:sz w:val="18"/>
                <w:szCs w:val="18"/>
              </w:rPr>
            </w:pPr>
            <w:r w:rsidRPr="004D32BA">
              <w:rPr>
                <w:color w:val="000000"/>
                <w:sz w:val="18"/>
                <w:szCs w:val="18"/>
                <w:lang w:val="en-US"/>
              </w:rPr>
              <w:t>ac</w:t>
            </w:r>
            <w:r w:rsidR="005D2ED0">
              <w:rPr>
                <w:color w:val="000000"/>
                <w:sz w:val="18"/>
                <w:szCs w:val="18"/>
                <w:lang w:val="en-US"/>
              </w:rPr>
              <w:t xml:space="preserve"> </w:t>
            </w:r>
            <w:r w:rsidRPr="004D32BA">
              <w:rPr>
                <w:color w:val="000000"/>
                <w:sz w:val="18"/>
                <w:szCs w:val="18"/>
                <w:lang w:val="en-US"/>
              </w:rPr>
              <w:t>[</w:t>
            </w:r>
            <w:proofErr w:type="spellStart"/>
            <w:r w:rsidRPr="004D32BA">
              <w:rPr>
                <w:color w:val="000000"/>
                <w:sz w:val="18"/>
                <w:szCs w:val="18"/>
                <w:lang w:val="en-US"/>
              </w:rPr>
              <w:t>Extra_</w:t>
            </w:r>
            <w:proofErr w:type="gramStart"/>
            <w:r w:rsidRPr="004D32BA">
              <w:rPr>
                <w:color w:val="000000"/>
                <w:sz w:val="18"/>
                <w:szCs w:val="18"/>
                <w:lang w:val="en-US"/>
              </w:rPr>
              <w:t>organism</w:t>
            </w:r>
            <w:proofErr w:type="spellEnd"/>
            <w:r w:rsidRPr="004D32BA">
              <w:rPr>
                <w:color w:val="000000"/>
                <w:sz w:val="18"/>
                <w:szCs w:val="18"/>
                <w:lang w:val="en-US"/>
              </w:rPr>
              <w:t>]  -</w:t>
            </w:r>
            <w:proofErr w:type="gramEnd"/>
            <w:r w:rsidRPr="004D32BA">
              <w:rPr>
                <w:color w:val="000000"/>
                <w:sz w:val="18"/>
                <w:szCs w:val="18"/>
                <w:lang w:val="en-US"/>
              </w:rPr>
              <w:t>&gt;</w:t>
            </w:r>
          </w:p>
        </w:tc>
      </w:tr>
      <w:tr w:rsidR="00212975" w:rsidRPr="00701BF7" w14:paraId="5670080C"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2209F8B" w14:textId="3B7C63AC" w:rsidR="00701BF7" w:rsidRPr="00701BF7" w:rsidRDefault="00701BF7" w:rsidP="00701BF7">
            <w:pPr>
              <w:jc w:val="center"/>
              <w:rPr>
                <w:i/>
                <w:iCs/>
                <w:color w:val="000000"/>
                <w:sz w:val="18"/>
                <w:szCs w:val="18"/>
              </w:rPr>
            </w:pPr>
            <w:proofErr w:type="spellStart"/>
            <w:r w:rsidRPr="00701BF7">
              <w:rPr>
                <w:i/>
                <w:iCs/>
                <w:color w:val="000000"/>
                <w:sz w:val="18"/>
                <w:szCs w:val="18"/>
              </w:rPr>
              <w:t>tdc</w:t>
            </w:r>
            <w:r w:rsidRPr="00701BF7">
              <w:rPr>
                <w:iCs/>
                <w:color w:val="000000"/>
                <w:sz w:val="18"/>
                <w:szCs w:val="18"/>
              </w:rPr>
              <w:t>E</w:t>
            </w:r>
            <w:proofErr w:type="spellEnd"/>
            <w:r>
              <w:rPr>
                <w:i/>
                <w:iCs/>
                <w:color w:val="000000"/>
                <w:sz w:val="18"/>
                <w:szCs w:val="18"/>
              </w:rPr>
              <w:t xml:space="preserve">, </w:t>
            </w:r>
            <w:proofErr w:type="spellStart"/>
            <w:r w:rsidRPr="00701BF7">
              <w:rPr>
                <w:i/>
                <w:iCs/>
                <w:color w:val="000000"/>
                <w:sz w:val="18"/>
                <w:szCs w:val="18"/>
              </w:rPr>
              <w:t>pfl</w:t>
            </w:r>
            <w:r w:rsidRPr="00701BF7">
              <w:rPr>
                <w:iCs/>
                <w:color w:val="000000"/>
                <w:sz w:val="18"/>
                <w:szCs w:val="18"/>
              </w:rPr>
              <w:t>ABDC</w:t>
            </w:r>
            <w:proofErr w:type="spellEnd"/>
            <w:r>
              <w:rPr>
                <w:i/>
                <w:iCs/>
                <w:color w:val="000000"/>
                <w:sz w:val="18"/>
                <w:szCs w:val="18"/>
              </w:rPr>
              <w:t xml:space="preserve">, </w:t>
            </w:r>
            <w:proofErr w:type="spellStart"/>
            <w:r w:rsidRPr="00701BF7">
              <w:rPr>
                <w:i/>
                <w:iCs/>
                <w:color w:val="000000"/>
                <w:sz w:val="18"/>
                <w:szCs w:val="18"/>
              </w:rPr>
              <w:t>yfi</w:t>
            </w:r>
            <w:r w:rsidRPr="00701BF7">
              <w:rPr>
                <w:iCs/>
                <w:color w:val="000000"/>
                <w:sz w:val="18"/>
                <w:szCs w:val="18"/>
              </w:rPr>
              <w:t>D</w:t>
            </w:r>
            <w:proofErr w:type="spellEnd"/>
          </w:p>
          <w:p w14:paraId="58B5D7D1" w14:textId="6317765C" w:rsidR="00212975" w:rsidRPr="004D32BA" w:rsidRDefault="00212975" w:rsidP="00701BF7">
            <w:pPr>
              <w:jc w:val="center"/>
              <w:rPr>
                <w:i/>
                <w:iCs/>
                <w:color w:val="000000"/>
                <w:sz w:val="18"/>
                <w:szCs w:val="18"/>
                <w:lang w:val="en-US"/>
              </w:rPr>
            </w:pPr>
          </w:p>
        </w:tc>
        <w:tc>
          <w:tcPr>
            <w:tcW w:w="0" w:type="auto"/>
            <w:tcBorders>
              <w:top w:val="nil"/>
              <w:left w:val="nil"/>
              <w:bottom w:val="single" w:sz="4" w:space="0" w:color="auto"/>
              <w:right w:val="single" w:sz="4" w:space="0" w:color="auto"/>
            </w:tcBorders>
            <w:shd w:val="clear" w:color="auto" w:fill="auto"/>
            <w:noWrap/>
            <w:vAlign w:val="center"/>
          </w:tcPr>
          <w:p w14:paraId="53256256" w14:textId="04D7FF5A" w:rsidR="00212975" w:rsidRPr="004D32BA" w:rsidRDefault="00701BF7" w:rsidP="00621B9F">
            <w:pPr>
              <w:rPr>
                <w:color w:val="000000"/>
                <w:sz w:val="18"/>
                <w:szCs w:val="18"/>
                <w:lang w:val="en-US"/>
              </w:rPr>
            </w:pPr>
            <w:r w:rsidRPr="00701BF7">
              <w:rPr>
                <w:color w:val="000000"/>
                <w:sz w:val="18"/>
                <w:szCs w:val="18"/>
                <w:lang w:val="en-US"/>
              </w:rPr>
              <w:t xml:space="preserve">Pyruvate </w:t>
            </w:r>
            <w:proofErr w:type="spellStart"/>
            <w:r w:rsidRPr="00701BF7">
              <w:rPr>
                <w:color w:val="000000"/>
                <w:sz w:val="18"/>
                <w:szCs w:val="18"/>
                <w:lang w:val="en-US"/>
              </w:rPr>
              <w:t>formate</w:t>
            </w:r>
            <w:proofErr w:type="spellEnd"/>
            <w:r w:rsidRPr="00701BF7">
              <w:rPr>
                <w:color w:val="000000"/>
                <w:sz w:val="18"/>
                <w:szCs w:val="18"/>
                <w:lang w:val="en-US"/>
              </w:rPr>
              <w:t xml:space="preserve"> lyase</w:t>
            </w:r>
          </w:p>
        </w:tc>
        <w:tc>
          <w:tcPr>
            <w:tcW w:w="0" w:type="auto"/>
            <w:tcBorders>
              <w:top w:val="nil"/>
              <w:left w:val="nil"/>
              <w:bottom w:val="single" w:sz="4" w:space="0" w:color="auto"/>
              <w:right w:val="single" w:sz="4" w:space="0" w:color="auto"/>
            </w:tcBorders>
            <w:shd w:val="clear" w:color="auto" w:fill="auto"/>
            <w:vAlign w:val="center"/>
          </w:tcPr>
          <w:p w14:paraId="5C3A6F48" w14:textId="285DCC82" w:rsidR="00212975" w:rsidRPr="004D32BA" w:rsidRDefault="00164984" w:rsidP="00621B9F">
            <w:pPr>
              <w:jc w:val="center"/>
              <w:rPr>
                <w:color w:val="000000"/>
                <w:sz w:val="18"/>
                <w:szCs w:val="18"/>
                <w:lang w:val="en-US"/>
              </w:rPr>
            </w:pPr>
            <w:r>
              <w:rPr>
                <w:color w:val="000000"/>
                <w:sz w:val="18"/>
                <w:szCs w:val="18"/>
                <w:lang w:val="en-US"/>
              </w:rPr>
              <w:t>PFL</w:t>
            </w:r>
          </w:p>
        </w:tc>
        <w:tc>
          <w:tcPr>
            <w:tcW w:w="0" w:type="auto"/>
            <w:tcBorders>
              <w:top w:val="nil"/>
              <w:left w:val="nil"/>
              <w:bottom w:val="single" w:sz="4" w:space="0" w:color="auto"/>
              <w:right w:val="single" w:sz="4" w:space="0" w:color="auto"/>
            </w:tcBorders>
            <w:shd w:val="clear" w:color="auto" w:fill="auto"/>
            <w:vAlign w:val="center"/>
          </w:tcPr>
          <w:p w14:paraId="48CC0887" w14:textId="5C6C9733" w:rsidR="00212975" w:rsidRPr="004D32BA" w:rsidRDefault="00701BF7" w:rsidP="00621B9F">
            <w:pPr>
              <w:rPr>
                <w:color w:val="000000"/>
                <w:sz w:val="18"/>
                <w:szCs w:val="18"/>
                <w:lang w:val="en-US"/>
              </w:rPr>
            </w:pPr>
            <w:proofErr w:type="spellStart"/>
            <w:r w:rsidRPr="00701BF7">
              <w:rPr>
                <w:color w:val="000000"/>
                <w:sz w:val="18"/>
                <w:szCs w:val="18"/>
                <w:lang w:val="en-US"/>
              </w:rPr>
              <w:t>coa</w:t>
            </w:r>
            <w:proofErr w:type="spellEnd"/>
            <w:r w:rsidRPr="00701BF7">
              <w:rPr>
                <w:color w:val="000000"/>
                <w:sz w:val="18"/>
                <w:szCs w:val="18"/>
                <w:lang w:val="en-US"/>
              </w:rPr>
              <w:t xml:space="preserve"> + </w:t>
            </w:r>
            <w:proofErr w:type="spellStart"/>
            <w:r w:rsidRPr="00701BF7">
              <w:rPr>
                <w:color w:val="000000"/>
                <w:sz w:val="18"/>
                <w:szCs w:val="18"/>
                <w:lang w:val="en-US"/>
              </w:rPr>
              <w:t>pyr</w:t>
            </w:r>
            <w:proofErr w:type="spellEnd"/>
            <w:r w:rsidRPr="00701BF7">
              <w:rPr>
                <w:color w:val="000000"/>
                <w:sz w:val="18"/>
                <w:szCs w:val="18"/>
                <w:lang w:val="en-US"/>
              </w:rPr>
              <w:t xml:space="preserve"> </w:t>
            </w:r>
            <w:r w:rsidR="00884413" w:rsidRPr="004D32BA">
              <w:rPr>
                <w:color w:val="000000"/>
                <w:sz w:val="18"/>
                <w:szCs w:val="18"/>
              </w:rPr>
              <w:t>&lt;=&gt;</w:t>
            </w:r>
            <w:r w:rsidRPr="00701BF7">
              <w:rPr>
                <w:color w:val="000000"/>
                <w:sz w:val="18"/>
                <w:szCs w:val="18"/>
                <w:lang w:val="en-US"/>
              </w:rPr>
              <w:t xml:space="preserve"> </w:t>
            </w:r>
            <w:proofErr w:type="spellStart"/>
            <w:r w:rsidRPr="00701BF7">
              <w:rPr>
                <w:color w:val="000000"/>
                <w:sz w:val="18"/>
                <w:szCs w:val="18"/>
                <w:lang w:val="en-US"/>
              </w:rPr>
              <w:t>accoa</w:t>
            </w:r>
            <w:proofErr w:type="spellEnd"/>
            <w:r w:rsidRPr="00701BF7">
              <w:rPr>
                <w:color w:val="000000"/>
                <w:sz w:val="18"/>
                <w:szCs w:val="18"/>
                <w:lang w:val="en-US"/>
              </w:rPr>
              <w:t xml:space="preserve"> + for</w:t>
            </w:r>
          </w:p>
        </w:tc>
      </w:tr>
      <w:tr w:rsidR="00212975" w:rsidRPr="004D32BA" w14:paraId="07DFFB4B"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F18882" w14:textId="199D8A3E"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ace</w:t>
            </w:r>
            <w:r w:rsidRPr="004D32BA">
              <w:rPr>
                <w:color w:val="000000"/>
                <w:sz w:val="18"/>
                <w:szCs w:val="18"/>
                <w:lang w:val="en-US"/>
              </w:rPr>
              <w:t>A</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270E9608" w14:textId="1B7621F4" w:rsidR="00212975" w:rsidRPr="004D32BA" w:rsidRDefault="00212975" w:rsidP="00621B9F">
            <w:pPr>
              <w:rPr>
                <w:color w:val="000000"/>
                <w:sz w:val="18"/>
                <w:szCs w:val="18"/>
                <w:lang w:val="en-US"/>
              </w:rPr>
            </w:pPr>
            <w:r w:rsidRPr="004D32BA">
              <w:rPr>
                <w:color w:val="000000"/>
                <w:sz w:val="18"/>
                <w:szCs w:val="18"/>
                <w:lang w:val="en-US"/>
              </w:rPr>
              <w:t>Isocitrate lyase</w:t>
            </w:r>
          </w:p>
        </w:tc>
        <w:tc>
          <w:tcPr>
            <w:tcW w:w="0" w:type="auto"/>
            <w:tcBorders>
              <w:top w:val="nil"/>
              <w:left w:val="nil"/>
              <w:bottom w:val="single" w:sz="4" w:space="0" w:color="auto"/>
              <w:right w:val="single" w:sz="4" w:space="0" w:color="auto"/>
            </w:tcBorders>
            <w:shd w:val="clear" w:color="auto" w:fill="auto"/>
            <w:vAlign w:val="center"/>
          </w:tcPr>
          <w:p w14:paraId="759E6A39" w14:textId="332E766C" w:rsidR="00212975" w:rsidRPr="004D32BA" w:rsidRDefault="00212975" w:rsidP="00621B9F">
            <w:pPr>
              <w:jc w:val="center"/>
              <w:rPr>
                <w:color w:val="000000"/>
                <w:sz w:val="18"/>
                <w:szCs w:val="18"/>
                <w:lang w:val="en-US"/>
              </w:rPr>
            </w:pPr>
            <w:r w:rsidRPr="004D32BA">
              <w:rPr>
                <w:color w:val="000000"/>
                <w:sz w:val="18"/>
                <w:szCs w:val="18"/>
                <w:lang w:val="en-US"/>
              </w:rPr>
              <w:t>ICL</w:t>
            </w:r>
          </w:p>
        </w:tc>
        <w:tc>
          <w:tcPr>
            <w:tcW w:w="0" w:type="auto"/>
            <w:tcBorders>
              <w:top w:val="nil"/>
              <w:left w:val="nil"/>
              <w:bottom w:val="single" w:sz="4" w:space="0" w:color="auto"/>
              <w:right w:val="single" w:sz="4" w:space="0" w:color="auto"/>
            </w:tcBorders>
            <w:shd w:val="clear" w:color="auto" w:fill="auto"/>
            <w:vAlign w:val="center"/>
          </w:tcPr>
          <w:p w14:paraId="595E0B2F" w14:textId="4929057B" w:rsidR="00212975" w:rsidRPr="004D32BA" w:rsidRDefault="00212975" w:rsidP="00621B9F">
            <w:pPr>
              <w:rPr>
                <w:color w:val="000000"/>
                <w:sz w:val="18"/>
                <w:szCs w:val="18"/>
                <w:lang w:val="en-US"/>
              </w:rPr>
            </w:pPr>
            <w:proofErr w:type="spellStart"/>
            <w:proofErr w:type="gramStart"/>
            <w:r w:rsidRPr="004D32BA">
              <w:rPr>
                <w:color w:val="000000"/>
                <w:sz w:val="18"/>
                <w:szCs w:val="18"/>
                <w:lang w:val="en-US"/>
              </w:rPr>
              <w:t>icit</w:t>
            </w:r>
            <w:proofErr w:type="spellEnd"/>
            <w:r w:rsidRPr="004D32BA">
              <w:rPr>
                <w:color w:val="000000"/>
                <w:sz w:val="18"/>
                <w:szCs w:val="18"/>
                <w:lang w:val="en-US"/>
              </w:rPr>
              <w:t xml:space="preserve">  -</w:t>
            </w:r>
            <w:proofErr w:type="gramEnd"/>
            <w:r w:rsidRPr="004D32BA">
              <w:rPr>
                <w:color w:val="000000"/>
                <w:sz w:val="18"/>
                <w:szCs w:val="18"/>
                <w:lang w:val="en-US"/>
              </w:rPr>
              <w:t xml:space="preserve">&gt; </w:t>
            </w:r>
            <w:proofErr w:type="spellStart"/>
            <w:r w:rsidRPr="004D32BA">
              <w:rPr>
                <w:color w:val="000000"/>
                <w:sz w:val="18"/>
                <w:szCs w:val="18"/>
                <w:lang w:val="en-US"/>
              </w:rPr>
              <w:t>glx</w:t>
            </w:r>
            <w:proofErr w:type="spellEnd"/>
            <w:r w:rsidRPr="004D32BA">
              <w:rPr>
                <w:color w:val="000000"/>
                <w:sz w:val="18"/>
                <w:szCs w:val="18"/>
                <w:lang w:val="en-US"/>
              </w:rPr>
              <w:t xml:space="preserve"> + </w:t>
            </w:r>
            <w:proofErr w:type="spellStart"/>
            <w:r w:rsidRPr="004D32BA">
              <w:rPr>
                <w:color w:val="000000"/>
                <w:sz w:val="18"/>
                <w:szCs w:val="18"/>
                <w:lang w:val="en-US"/>
              </w:rPr>
              <w:t>succ</w:t>
            </w:r>
            <w:proofErr w:type="spellEnd"/>
          </w:p>
        </w:tc>
      </w:tr>
      <w:tr w:rsidR="00212975" w:rsidRPr="00EF447E" w14:paraId="22AF5773" w14:textId="77777777" w:rsidTr="00621B9F">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B83155" w14:textId="103C0E09"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icd</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3494F7D" w14:textId="0C18B01B" w:rsidR="00212975" w:rsidRPr="004D32BA" w:rsidRDefault="00212975" w:rsidP="00621B9F">
            <w:pPr>
              <w:rPr>
                <w:color w:val="000000"/>
                <w:sz w:val="18"/>
                <w:szCs w:val="18"/>
                <w:lang w:val="en-US"/>
              </w:rPr>
            </w:pPr>
            <w:r w:rsidRPr="004D32BA">
              <w:rPr>
                <w:color w:val="000000"/>
                <w:sz w:val="18"/>
                <w:szCs w:val="18"/>
                <w:lang w:val="en-US"/>
              </w:rPr>
              <w:t>Isocitrate dehydrogenase - NADP</w:t>
            </w:r>
          </w:p>
        </w:tc>
        <w:tc>
          <w:tcPr>
            <w:tcW w:w="0" w:type="auto"/>
            <w:tcBorders>
              <w:top w:val="nil"/>
              <w:left w:val="nil"/>
              <w:bottom w:val="single" w:sz="4" w:space="0" w:color="auto"/>
              <w:right w:val="single" w:sz="4" w:space="0" w:color="auto"/>
            </w:tcBorders>
            <w:shd w:val="clear" w:color="auto" w:fill="auto"/>
            <w:vAlign w:val="center"/>
          </w:tcPr>
          <w:p w14:paraId="3E7B3E6F" w14:textId="76E1C94A" w:rsidR="00212975" w:rsidRPr="004D32BA" w:rsidRDefault="00212975" w:rsidP="00621B9F">
            <w:pPr>
              <w:jc w:val="center"/>
              <w:rPr>
                <w:color w:val="000000"/>
                <w:sz w:val="18"/>
                <w:szCs w:val="18"/>
                <w:lang w:val="en-US"/>
              </w:rPr>
            </w:pPr>
            <w:proofErr w:type="spellStart"/>
            <w:r w:rsidRPr="004D32BA">
              <w:rPr>
                <w:color w:val="000000"/>
                <w:sz w:val="18"/>
                <w:szCs w:val="18"/>
                <w:lang w:val="en-US"/>
              </w:rPr>
              <w:t>ICDHyr</w:t>
            </w:r>
            <w:proofErr w:type="spellEnd"/>
          </w:p>
        </w:tc>
        <w:tc>
          <w:tcPr>
            <w:tcW w:w="0" w:type="auto"/>
            <w:tcBorders>
              <w:top w:val="nil"/>
              <w:left w:val="nil"/>
              <w:bottom w:val="single" w:sz="4" w:space="0" w:color="auto"/>
              <w:right w:val="single" w:sz="4" w:space="0" w:color="auto"/>
            </w:tcBorders>
            <w:shd w:val="clear" w:color="auto" w:fill="auto"/>
            <w:vAlign w:val="center"/>
          </w:tcPr>
          <w:p w14:paraId="191701DE" w14:textId="008D5736" w:rsidR="00212975" w:rsidRPr="004D32BA" w:rsidRDefault="00212975" w:rsidP="00621B9F">
            <w:pPr>
              <w:rPr>
                <w:color w:val="000000"/>
                <w:sz w:val="18"/>
                <w:szCs w:val="18"/>
                <w:lang w:val="en-US"/>
              </w:rPr>
            </w:pPr>
            <w:proofErr w:type="spellStart"/>
            <w:r w:rsidRPr="004D32BA">
              <w:rPr>
                <w:color w:val="000000"/>
                <w:sz w:val="18"/>
                <w:szCs w:val="18"/>
                <w:lang w:val="en-US"/>
              </w:rPr>
              <w:t>icit</w:t>
            </w:r>
            <w:proofErr w:type="spellEnd"/>
            <w:r w:rsidRPr="004D32BA">
              <w:rPr>
                <w:color w:val="000000"/>
                <w:sz w:val="18"/>
                <w:szCs w:val="18"/>
                <w:lang w:val="en-US"/>
              </w:rPr>
              <w:t xml:space="preserve"> + </w:t>
            </w:r>
            <w:proofErr w:type="spellStart"/>
            <w:proofErr w:type="gramStart"/>
            <w:r w:rsidRPr="004D32BA">
              <w:rPr>
                <w:color w:val="000000"/>
                <w:sz w:val="18"/>
                <w:szCs w:val="18"/>
                <w:lang w:val="en-US"/>
              </w:rPr>
              <w:t>nadp</w:t>
            </w:r>
            <w:proofErr w:type="spellEnd"/>
            <w:r w:rsidRPr="004D32BA">
              <w:rPr>
                <w:color w:val="000000"/>
                <w:sz w:val="18"/>
                <w:szCs w:val="18"/>
                <w:lang w:val="en-US"/>
              </w:rPr>
              <w:t xml:space="preserve">  &lt;</w:t>
            </w:r>
            <w:proofErr w:type="gramEnd"/>
            <w:r w:rsidRPr="004D32BA">
              <w:rPr>
                <w:color w:val="000000"/>
                <w:sz w:val="18"/>
                <w:szCs w:val="18"/>
                <w:lang w:val="en-US"/>
              </w:rPr>
              <w:t xml:space="preserve">=&gt; </w:t>
            </w:r>
            <w:proofErr w:type="spellStart"/>
            <w:r w:rsidRPr="004D32BA">
              <w:rPr>
                <w:color w:val="000000"/>
                <w:sz w:val="18"/>
                <w:szCs w:val="18"/>
                <w:lang w:val="en-US"/>
              </w:rPr>
              <w:t>nadph</w:t>
            </w:r>
            <w:proofErr w:type="spellEnd"/>
            <w:r w:rsidRPr="004D32BA">
              <w:rPr>
                <w:color w:val="000000"/>
                <w:sz w:val="18"/>
                <w:szCs w:val="18"/>
                <w:lang w:val="en-US"/>
              </w:rPr>
              <w:t xml:space="preserve"> + </w:t>
            </w:r>
            <w:proofErr w:type="spellStart"/>
            <w:r w:rsidRPr="004D32BA">
              <w:rPr>
                <w:color w:val="000000"/>
                <w:sz w:val="18"/>
                <w:szCs w:val="18"/>
                <w:lang w:val="en-US"/>
              </w:rPr>
              <w:t>akg</w:t>
            </w:r>
            <w:proofErr w:type="spellEnd"/>
            <w:r w:rsidRPr="004D32BA">
              <w:rPr>
                <w:color w:val="000000"/>
                <w:sz w:val="18"/>
                <w:szCs w:val="18"/>
                <w:lang w:val="en-US"/>
              </w:rPr>
              <w:t xml:space="preserve"> + </w:t>
            </w:r>
            <w:r w:rsidR="004858EF" w:rsidRPr="004D32BA">
              <w:rPr>
                <w:color w:val="000000"/>
                <w:sz w:val="18"/>
                <w:szCs w:val="18"/>
                <w:lang w:val="en-US"/>
              </w:rPr>
              <w:t>CO</w:t>
            </w:r>
            <w:r w:rsidR="004858EF" w:rsidRPr="004858EF">
              <w:rPr>
                <w:color w:val="000000"/>
                <w:sz w:val="18"/>
                <w:szCs w:val="18"/>
                <w:vertAlign w:val="subscript"/>
                <w:lang w:val="en-US"/>
              </w:rPr>
              <w:t>2</w:t>
            </w:r>
          </w:p>
        </w:tc>
      </w:tr>
      <w:tr w:rsidR="00212975" w:rsidRPr="00EF447E" w14:paraId="7C53693A" w14:textId="77777777" w:rsidTr="00701BF7">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BA9A4A" w14:textId="5DB5E49B" w:rsidR="00212975" w:rsidRPr="004D32BA" w:rsidRDefault="00212975" w:rsidP="00621B9F">
            <w:pPr>
              <w:jc w:val="center"/>
              <w:rPr>
                <w:i/>
                <w:iCs/>
                <w:color w:val="000000"/>
                <w:sz w:val="18"/>
                <w:szCs w:val="18"/>
                <w:lang w:val="en-US"/>
              </w:rPr>
            </w:pPr>
            <w:proofErr w:type="spellStart"/>
            <w:r w:rsidRPr="004D32BA">
              <w:rPr>
                <w:i/>
                <w:iCs/>
                <w:color w:val="000000"/>
                <w:sz w:val="18"/>
                <w:szCs w:val="18"/>
                <w:lang w:val="en-US"/>
              </w:rPr>
              <w:t>suc</w:t>
            </w:r>
            <w:r w:rsidRPr="004D32BA">
              <w:rPr>
                <w:color w:val="000000"/>
                <w:sz w:val="18"/>
                <w:szCs w:val="18"/>
                <w:lang w:val="en-US"/>
              </w:rPr>
              <w:t>AB</w:t>
            </w:r>
            <w:proofErr w:type="spellEnd"/>
            <w:r w:rsidR="00701BF7">
              <w:rPr>
                <w:color w:val="000000"/>
                <w:sz w:val="18"/>
                <w:szCs w:val="18"/>
                <w:lang w:val="en-US"/>
              </w:rPr>
              <w:t>,</w:t>
            </w:r>
            <w:r w:rsidRPr="004D32BA">
              <w:rPr>
                <w:i/>
                <w:iCs/>
                <w:color w:val="000000"/>
                <w:sz w:val="18"/>
                <w:szCs w:val="18"/>
                <w:lang w:val="en-US"/>
              </w:rPr>
              <w:t xml:space="preserve"> </w:t>
            </w:r>
            <w:proofErr w:type="spellStart"/>
            <w:r w:rsidRPr="004D32BA">
              <w:rPr>
                <w:i/>
                <w:iCs/>
                <w:color w:val="000000"/>
                <w:sz w:val="18"/>
                <w:szCs w:val="18"/>
                <w:lang w:val="en-US"/>
              </w:rPr>
              <w:t>lpd</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00BDD59D" w14:textId="332111B1" w:rsidR="00212975" w:rsidRPr="004D32BA" w:rsidRDefault="00212975" w:rsidP="00621B9F">
            <w:pPr>
              <w:rPr>
                <w:color w:val="000000"/>
                <w:sz w:val="18"/>
                <w:szCs w:val="18"/>
                <w:lang w:val="en-US"/>
              </w:rPr>
            </w:pPr>
            <w:proofErr w:type="spellStart"/>
            <w:r w:rsidRPr="004D32BA">
              <w:rPr>
                <w:color w:val="000000"/>
                <w:sz w:val="18"/>
                <w:szCs w:val="18"/>
                <w:lang w:val="en-US"/>
              </w:rPr>
              <w:t>Oxogluterato</w:t>
            </w:r>
            <w:proofErr w:type="spellEnd"/>
            <w:r w:rsidRPr="004D32BA">
              <w:rPr>
                <w:color w:val="000000"/>
                <w:sz w:val="18"/>
                <w:szCs w:val="18"/>
                <w:lang w:val="en-US"/>
              </w:rPr>
              <w:t xml:space="preserve"> </w:t>
            </w:r>
            <w:proofErr w:type="spellStart"/>
            <w:r w:rsidRPr="004D32BA">
              <w:rPr>
                <w:color w:val="000000"/>
                <w:sz w:val="18"/>
                <w:szCs w:val="18"/>
                <w:lang w:val="en-US"/>
              </w:rPr>
              <w:t>deshidrogenasa</w:t>
            </w:r>
            <w:proofErr w:type="spellEnd"/>
          </w:p>
        </w:tc>
        <w:tc>
          <w:tcPr>
            <w:tcW w:w="0" w:type="auto"/>
            <w:tcBorders>
              <w:top w:val="nil"/>
              <w:left w:val="nil"/>
              <w:bottom w:val="single" w:sz="4" w:space="0" w:color="auto"/>
              <w:right w:val="single" w:sz="4" w:space="0" w:color="auto"/>
            </w:tcBorders>
            <w:shd w:val="clear" w:color="auto" w:fill="auto"/>
            <w:vAlign w:val="center"/>
          </w:tcPr>
          <w:p w14:paraId="0DB89B84" w14:textId="0A047F37" w:rsidR="00212975" w:rsidRPr="004D32BA" w:rsidRDefault="00212975" w:rsidP="00621B9F">
            <w:pPr>
              <w:jc w:val="center"/>
              <w:rPr>
                <w:color w:val="000000"/>
                <w:sz w:val="18"/>
                <w:szCs w:val="18"/>
                <w:lang w:val="en-US"/>
              </w:rPr>
            </w:pPr>
            <w:r w:rsidRPr="004D32BA">
              <w:rPr>
                <w:color w:val="000000"/>
                <w:sz w:val="18"/>
                <w:szCs w:val="18"/>
                <w:lang w:val="en-US"/>
              </w:rPr>
              <w:t>AKGDH</w:t>
            </w:r>
          </w:p>
        </w:tc>
        <w:tc>
          <w:tcPr>
            <w:tcW w:w="0" w:type="auto"/>
            <w:tcBorders>
              <w:top w:val="nil"/>
              <w:left w:val="nil"/>
              <w:bottom w:val="single" w:sz="4" w:space="0" w:color="auto"/>
              <w:right w:val="single" w:sz="4" w:space="0" w:color="auto"/>
            </w:tcBorders>
            <w:shd w:val="clear" w:color="auto" w:fill="auto"/>
            <w:vAlign w:val="center"/>
          </w:tcPr>
          <w:p w14:paraId="7E32C242" w14:textId="362E7856" w:rsidR="00212975" w:rsidRPr="004D32BA" w:rsidRDefault="00212975" w:rsidP="00621B9F">
            <w:pPr>
              <w:rPr>
                <w:color w:val="000000"/>
                <w:sz w:val="18"/>
                <w:szCs w:val="18"/>
                <w:lang w:val="en-US"/>
              </w:rPr>
            </w:pPr>
            <w:proofErr w:type="spellStart"/>
            <w:r w:rsidRPr="004D32BA">
              <w:rPr>
                <w:color w:val="000000"/>
                <w:sz w:val="18"/>
                <w:szCs w:val="18"/>
                <w:lang w:val="en-US"/>
              </w:rPr>
              <w:t>akg</w:t>
            </w:r>
            <w:proofErr w:type="spellEnd"/>
            <w:r w:rsidRPr="004D32BA">
              <w:rPr>
                <w:color w:val="000000"/>
                <w:sz w:val="18"/>
                <w:szCs w:val="18"/>
                <w:lang w:val="en-US"/>
              </w:rPr>
              <w:t xml:space="preserve"> + </w:t>
            </w:r>
            <w:proofErr w:type="spellStart"/>
            <w:r w:rsidRPr="004D32BA">
              <w:rPr>
                <w:color w:val="000000"/>
                <w:sz w:val="18"/>
                <w:szCs w:val="18"/>
                <w:lang w:val="en-US"/>
              </w:rPr>
              <w:t>coa</w:t>
            </w:r>
            <w:proofErr w:type="spellEnd"/>
            <w:r w:rsidRPr="004D32BA">
              <w:rPr>
                <w:color w:val="000000"/>
                <w:sz w:val="18"/>
                <w:szCs w:val="18"/>
                <w:lang w:val="en-US"/>
              </w:rPr>
              <w:t xml:space="preserve"> + </w:t>
            </w:r>
            <w:proofErr w:type="spellStart"/>
            <w:proofErr w:type="gramStart"/>
            <w:r w:rsidRPr="004D32BA">
              <w:rPr>
                <w:color w:val="000000"/>
                <w:sz w:val="18"/>
                <w:szCs w:val="18"/>
                <w:lang w:val="en-US"/>
              </w:rPr>
              <w:t>nad</w:t>
            </w:r>
            <w:proofErr w:type="spellEnd"/>
            <w:r w:rsidRPr="004D32BA">
              <w:rPr>
                <w:color w:val="000000"/>
                <w:sz w:val="18"/>
                <w:szCs w:val="18"/>
                <w:lang w:val="en-US"/>
              </w:rPr>
              <w:t xml:space="preserve">  -</w:t>
            </w:r>
            <w:proofErr w:type="gramEnd"/>
            <w:r w:rsidRPr="004D32BA">
              <w:rPr>
                <w:color w:val="000000"/>
                <w:sz w:val="18"/>
                <w:szCs w:val="18"/>
                <w:lang w:val="en-US"/>
              </w:rPr>
              <w:t xml:space="preserve">&gt; </w:t>
            </w:r>
            <w:r w:rsidR="004858EF" w:rsidRPr="004D32BA">
              <w:rPr>
                <w:color w:val="000000"/>
                <w:sz w:val="18"/>
                <w:szCs w:val="18"/>
                <w:lang w:val="en-US"/>
              </w:rPr>
              <w:t>CO</w:t>
            </w:r>
            <w:r w:rsidR="004858EF" w:rsidRPr="004858EF">
              <w:rPr>
                <w:color w:val="000000"/>
                <w:sz w:val="18"/>
                <w:szCs w:val="18"/>
                <w:vertAlign w:val="subscript"/>
                <w:lang w:val="en-US"/>
              </w:rPr>
              <w:t>2</w:t>
            </w:r>
            <w:r w:rsidRPr="004D32BA">
              <w:rPr>
                <w:color w:val="000000"/>
                <w:sz w:val="18"/>
                <w:szCs w:val="18"/>
                <w:lang w:val="en-US"/>
              </w:rPr>
              <w:t xml:space="preserve"> + </w:t>
            </w:r>
            <w:proofErr w:type="spellStart"/>
            <w:r w:rsidRPr="004D32BA">
              <w:rPr>
                <w:color w:val="000000"/>
                <w:sz w:val="18"/>
                <w:szCs w:val="18"/>
                <w:lang w:val="en-US"/>
              </w:rPr>
              <w:t>nadh</w:t>
            </w:r>
            <w:proofErr w:type="spellEnd"/>
            <w:r w:rsidRPr="004D32BA">
              <w:rPr>
                <w:color w:val="000000"/>
                <w:sz w:val="18"/>
                <w:szCs w:val="18"/>
                <w:lang w:val="en-US"/>
              </w:rPr>
              <w:t xml:space="preserve"> + </w:t>
            </w:r>
            <w:proofErr w:type="spellStart"/>
            <w:r w:rsidRPr="004D32BA">
              <w:rPr>
                <w:color w:val="000000"/>
                <w:sz w:val="18"/>
                <w:szCs w:val="18"/>
                <w:lang w:val="en-US"/>
              </w:rPr>
              <w:t>succoa</w:t>
            </w:r>
            <w:proofErr w:type="spellEnd"/>
          </w:p>
        </w:tc>
      </w:tr>
      <w:tr w:rsidR="00212975" w:rsidRPr="00A86450" w14:paraId="25210DA0" w14:textId="77777777" w:rsidTr="00701BF7">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F8D96C" w14:textId="405FA1E2" w:rsidR="00212975" w:rsidRPr="004D32BA" w:rsidRDefault="00043629" w:rsidP="00621B9F">
            <w:pPr>
              <w:jc w:val="center"/>
              <w:rPr>
                <w:i/>
                <w:iCs/>
                <w:color w:val="000000"/>
                <w:sz w:val="18"/>
                <w:szCs w:val="18"/>
                <w:lang w:val="en-US"/>
              </w:rPr>
            </w:pPr>
            <w:proofErr w:type="spellStart"/>
            <w:r w:rsidRPr="00043629">
              <w:rPr>
                <w:i/>
                <w:iCs/>
                <w:color w:val="000000"/>
                <w:sz w:val="18"/>
                <w:szCs w:val="18"/>
                <w:lang w:val="en-US"/>
              </w:rPr>
              <w:t>acn</w:t>
            </w:r>
            <w:r w:rsidRPr="00043629">
              <w:rPr>
                <w:iCs/>
                <w:color w:val="000000"/>
                <w:sz w:val="18"/>
                <w:szCs w:val="18"/>
                <w:lang w:val="en-US"/>
              </w:rPr>
              <w:t>AB</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33B9C7BF" w14:textId="0E254289" w:rsidR="00212975" w:rsidRPr="004D32BA" w:rsidRDefault="00043629" w:rsidP="00621B9F">
            <w:pPr>
              <w:rPr>
                <w:color w:val="000000"/>
                <w:sz w:val="18"/>
                <w:szCs w:val="18"/>
                <w:lang w:val="en-US"/>
              </w:rPr>
            </w:pPr>
            <w:r w:rsidRPr="00043629">
              <w:rPr>
                <w:color w:val="000000"/>
                <w:sz w:val="18"/>
                <w:szCs w:val="18"/>
                <w:lang w:val="en-US"/>
              </w:rPr>
              <w:t>Aconitase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30B71C" w14:textId="16CEA3B6" w:rsidR="00212975" w:rsidRPr="004D32BA" w:rsidRDefault="00212975" w:rsidP="00621B9F">
            <w:pPr>
              <w:jc w:val="center"/>
              <w:rPr>
                <w:color w:val="000000"/>
                <w:sz w:val="18"/>
                <w:szCs w:val="18"/>
                <w:lang w:val="en-US"/>
              </w:rPr>
            </w:pPr>
            <w:proofErr w:type="spellStart"/>
            <w:r>
              <w:rPr>
                <w:color w:val="000000"/>
                <w:sz w:val="18"/>
                <w:szCs w:val="18"/>
                <w:lang w:val="en-US"/>
              </w:rPr>
              <w:t>ACONTb</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EDAD5F" w14:textId="32137A01" w:rsidR="00212975" w:rsidRPr="00A86450" w:rsidRDefault="00A86450" w:rsidP="00621B9F">
            <w:pPr>
              <w:rPr>
                <w:color w:val="000000"/>
                <w:sz w:val="18"/>
                <w:szCs w:val="18"/>
                <w:lang w:val="es-ES"/>
              </w:rPr>
            </w:pPr>
            <w:proofErr w:type="spellStart"/>
            <w:r w:rsidRPr="00A86450">
              <w:rPr>
                <w:color w:val="000000"/>
                <w:sz w:val="18"/>
                <w:szCs w:val="18"/>
                <w:lang w:val="es-ES"/>
              </w:rPr>
              <w:t>acon</w:t>
            </w:r>
            <w:proofErr w:type="spellEnd"/>
            <w:r w:rsidRPr="00A86450">
              <w:rPr>
                <w:color w:val="000000"/>
                <w:sz w:val="18"/>
                <w:szCs w:val="18"/>
                <w:lang w:val="es-ES"/>
              </w:rPr>
              <w:t xml:space="preserve"> + </w:t>
            </w:r>
            <w:r w:rsidR="004858EF" w:rsidRPr="004858EF">
              <w:rPr>
                <w:color w:val="000000"/>
                <w:sz w:val="18"/>
                <w:szCs w:val="18"/>
                <w:lang w:val="en-US"/>
              </w:rPr>
              <w:t>H</w:t>
            </w:r>
            <w:r w:rsidR="004858EF" w:rsidRPr="004858EF">
              <w:rPr>
                <w:color w:val="000000"/>
                <w:sz w:val="18"/>
                <w:szCs w:val="18"/>
                <w:vertAlign w:val="subscript"/>
                <w:lang w:val="en-US"/>
              </w:rPr>
              <w:t>2</w:t>
            </w:r>
            <w:r w:rsidR="004858EF" w:rsidRPr="004858EF">
              <w:rPr>
                <w:color w:val="000000"/>
                <w:sz w:val="18"/>
                <w:szCs w:val="18"/>
                <w:lang w:val="en-US"/>
              </w:rPr>
              <w:t>O</w:t>
            </w:r>
            <w:r w:rsidRPr="00A86450">
              <w:rPr>
                <w:color w:val="000000"/>
                <w:sz w:val="18"/>
                <w:szCs w:val="18"/>
                <w:lang w:val="es-ES"/>
              </w:rPr>
              <w:t xml:space="preserve"> </w:t>
            </w:r>
            <w:r w:rsidRPr="004D32BA">
              <w:rPr>
                <w:color w:val="000000"/>
                <w:sz w:val="18"/>
                <w:szCs w:val="18"/>
                <w:lang w:val="en-US"/>
              </w:rPr>
              <w:t>&lt;=</w:t>
            </w:r>
            <w:proofErr w:type="gramStart"/>
            <w:r w:rsidRPr="004D32BA">
              <w:rPr>
                <w:color w:val="000000"/>
                <w:sz w:val="18"/>
                <w:szCs w:val="18"/>
                <w:lang w:val="en-US"/>
              </w:rPr>
              <w:t xml:space="preserve">&gt; </w:t>
            </w:r>
            <w:r w:rsidRPr="00A86450">
              <w:rPr>
                <w:color w:val="000000"/>
                <w:sz w:val="18"/>
                <w:szCs w:val="18"/>
                <w:lang w:val="es-ES"/>
              </w:rPr>
              <w:t xml:space="preserve"> </w:t>
            </w:r>
            <w:proofErr w:type="spellStart"/>
            <w:r w:rsidRPr="00A86450">
              <w:rPr>
                <w:color w:val="000000"/>
                <w:sz w:val="18"/>
                <w:szCs w:val="18"/>
                <w:lang w:val="es-ES"/>
              </w:rPr>
              <w:t>icit</w:t>
            </w:r>
            <w:proofErr w:type="spellEnd"/>
            <w:proofErr w:type="gramEnd"/>
          </w:p>
        </w:tc>
      </w:tr>
      <w:tr w:rsidR="00212975" w:rsidRPr="00095C81" w14:paraId="67E4A018" w14:textId="77777777" w:rsidTr="00701BF7">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4D2406" w14:textId="2151EFB3" w:rsidR="00212975" w:rsidRPr="00A86450" w:rsidRDefault="005D2ED0" w:rsidP="00621B9F">
            <w:pPr>
              <w:jc w:val="center"/>
              <w:rPr>
                <w:i/>
                <w:iCs/>
                <w:color w:val="000000"/>
                <w:sz w:val="18"/>
                <w:szCs w:val="18"/>
                <w:lang w:val="es-ES"/>
              </w:rPr>
            </w:pPr>
            <w:proofErr w:type="spellStart"/>
            <w:r w:rsidRPr="005D2ED0">
              <w:rPr>
                <w:i/>
                <w:iCs/>
                <w:color w:val="000000"/>
                <w:sz w:val="18"/>
                <w:szCs w:val="18"/>
                <w:lang w:val="es-ES"/>
              </w:rPr>
              <w:t>glt</w:t>
            </w:r>
            <w:r w:rsidRPr="005D2ED0">
              <w:rPr>
                <w:iCs/>
                <w:color w:val="000000"/>
                <w:sz w:val="18"/>
                <w:szCs w:val="18"/>
                <w:lang w:val="es-ES"/>
              </w:rPr>
              <w:t>A</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7D6BE540" w14:textId="3FA59A24" w:rsidR="00212975" w:rsidRPr="00A86450" w:rsidRDefault="004858EF" w:rsidP="00621B9F">
            <w:pPr>
              <w:rPr>
                <w:color w:val="000000"/>
                <w:sz w:val="18"/>
                <w:szCs w:val="18"/>
                <w:lang w:val="es-ES"/>
              </w:rPr>
            </w:pPr>
            <w:proofErr w:type="spellStart"/>
            <w:r w:rsidRPr="004858EF">
              <w:rPr>
                <w:color w:val="000000"/>
                <w:sz w:val="18"/>
                <w:szCs w:val="18"/>
                <w:lang w:val="es-ES"/>
              </w:rPr>
              <w:t>Citrate</w:t>
            </w:r>
            <w:proofErr w:type="spellEnd"/>
            <w:r w:rsidRPr="004858EF">
              <w:rPr>
                <w:color w:val="000000"/>
                <w:sz w:val="18"/>
                <w:szCs w:val="18"/>
                <w:lang w:val="es-ES"/>
              </w:rPr>
              <w:t xml:space="preserve"> </w:t>
            </w:r>
            <w:proofErr w:type="spellStart"/>
            <w:r w:rsidRPr="004858EF">
              <w:rPr>
                <w:color w:val="000000"/>
                <w:sz w:val="18"/>
                <w:szCs w:val="18"/>
                <w:lang w:val="es-ES"/>
              </w:rPr>
              <w:t>synthase</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46B7D2" w14:textId="20162DB0" w:rsidR="00212975" w:rsidRDefault="00212975" w:rsidP="00621B9F">
            <w:pPr>
              <w:jc w:val="center"/>
              <w:rPr>
                <w:color w:val="000000"/>
                <w:sz w:val="18"/>
                <w:szCs w:val="18"/>
                <w:lang w:val="en-US"/>
              </w:rPr>
            </w:pPr>
            <w:r>
              <w:rPr>
                <w:color w:val="000000"/>
                <w:sz w:val="18"/>
                <w:szCs w:val="18"/>
                <w:lang w:val="en-US"/>
              </w:rPr>
              <w:t>CS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06B899" w14:textId="4B77E5CA" w:rsidR="00212975" w:rsidRPr="004D32BA" w:rsidRDefault="004858EF" w:rsidP="00621B9F">
            <w:pPr>
              <w:rPr>
                <w:color w:val="000000"/>
                <w:sz w:val="18"/>
                <w:szCs w:val="18"/>
                <w:lang w:val="en-US"/>
              </w:rPr>
            </w:pPr>
            <w:proofErr w:type="spellStart"/>
            <w:r w:rsidRPr="004858EF">
              <w:rPr>
                <w:color w:val="000000"/>
                <w:sz w:val="18"/>
                <w:szCs w:val="18"/>
                <w:lang w:val="en-US"/>
              </w:rPr>
              <w:t>accoa</w:t>
            </w:r>
            <w:proofErr w:type="spellEnd"/>
            <w:r w:rsidRPr="004858EF">
              <w:rPr>
                <w:color w:val="000000"/>
                <w:sz w:val="18"/>
                <w:szCs w:val="18"/>
                <w:lang w:val="en-US"/>
              </w:rPr>
              <w:t xml:space="preserve"> + H</w:t>
            </w:r>
            <w:r w:rsidRPr="004858EF">
              <w:rPr>
                <w:color w:val="000000"/>
                <w:sz w:val="18"/>
                <w:szCs w:val="18"/>
                <w:vertAlign w:val="subscript"/>
                <w:lang w:val="en-US"/>
              </w:rPr>
              <w:t>2</w:t>
            </w:r>
            <w:r w:rsidRPr="004858EF">
              <w:rPr>
                <w:color w:val="000000"/>
                <w:sz w:val="18"/>
                <w:szCs w:val="18"/>
                <w:lang w:val="en-US"/>
              </w:rPr>
              <w:t xml:space="preserve">O + </w:t>
            </w:r>
            <w:proofErr w:type="spellStart"/>
            <w:r w:rsidRPr="004858EF">
              <w:rPr>
                <w:color w:val="000000"/>
                <w:sz w:val="18"/>
                <w:szCs w:val="18"/>
                <w:lang w:val="en-US"/>
              </w:rPr>
              <w:t>oaa</w:t>
            </w:r>
            <w:proofErr w:type="spellEnd"/>
            <w:r w:rsidRPr="004858EF">
              <w:rPr>
                <w:color w:val="000000"/>
                <w:sz w:val="18"/>
                <w:szCs w:val="18"/>
                <w:lang w:val="en-US"/>
              </w:rPr>
              <w:t xml:space="preserve"> </w:t>
            </w:r>
            <w:r w:rsidR="005D2ED0" w:rsidRPr="004D32BA">
              <w:rPr>
                <w:color w:val="000000"/>
                <w:sz w:val="18"/>
                <w:szCs w:val="18"/>
                <w:lang w:val="en-US"/>
              </w:rPr>
              <w:t>-</w:t>
            </w:r>
            <w:proofErr w:type="gramStart"/>
            <w:r w:rsidR="005D2ED0" w:rsidRPr="004D32BA">
              <w:rPr>
                <w:color w:val="000000"/>
                <w:sz w:val="18"/>
                <w:szCs w:val="18"/>
                <w:lang w:val="en-US"/>
              </w:rPr>
              <w:t xml:space="preserve">&gt; </w:t>
            </w:r>
            <w:r w:rsidR="005D2ED0">
              <w:rPr>
                <w:color w:val="000000"/>
                <w:sz w:val="18"/>
                <w:szCs w:val="18"/>
                <w:lang w:val="en-US"/>
              </w:rPr>
              <w:t xml:space="preserve"> </w:t>
            </w:r>
            <w:proofErr w:type="spellStart"/>
            <w:r w:rsidRPr="004858EF">
              <w:rPr>
                <w:color w:val="000000"/>
                <w:sz w:val="18"/>
                <w:szCs w:val="18"/>
                <w:lang w:val="en-US"/>
              </w:rPr>
              <w:t>cit</w:t>
            </w:r>
            <w:proofErr w:type="spellEnd"/>
            <w:proofErr w:type="gramEnd"/>
            <w:r w:rsidRPr="004858EF">
              <w:rPr>
                <w:color w:val="000000"/>
                <w:sz w:val="18"/>
                <w:szCs w:val="18"/>
                <w:lang w:val="en-US"/>
              </w:rPr>
              <w:t xml:space="preserve"> + </w:t>
            </w:r>
            <w:proofErr w:type="spellStart"/>
            <w:r w:rsidRPr="004858EF">
              <w:rPr>
                <w:color w:val="000000"/>
                <w:sz w:val="18"/>
                <w:szCs w:val="18"/>
                <w:lang w:val="en-US"/>
              </w:rPr>
              <w:t>coa</w:t>
            </w:r>
            <w:proofErr w:type="spellEnd"/>
            <w:r w:rsidRPr="004858EF">
              <w:rPr>
                <w:color w:val="000000"/>
                <w:sz w:val="18"/>
                <w:szCs w:val="18"/>
                <w:lang w:val="en-US"/>
              </w:rPr>
              <w:t xml:space="preserve"> + H</w:t>
            </w:r>
          </w:p>
        </w:tc>
      </w:tr>
      <w:bookmarkEnd w:id="4"/>
    </w:tbl>
    <w:p w14:paraId="00146D20" w14:textId="77777777" w:rsidR="00A2020D" w:rsidRPr="004D32BA" w:rsidRDefault="00A2020D" w:rsidP="00A2020D">
      <w:pPr>
        <w:pStyle w:val="Sinespaciado"/>
        <w:spacing w:line="360" w:lineRule="auto"/>
        <w:rPr>
          <w:rFonts w:ascii="Times New Roman" w:hAnsi="Times New Roman" w:cs="Times New Roman"/>
          <w:sz w:val="24"/>
          <w:szCs w:val="24"/>
          <w:u w:val="single"/>
        </w:rPr>
      </w:pPr>
    </w:p>
    <w:p w14:paraId="2AAB085E" w14:textId="5C7171FA" w:rsidR="00A2020D" w:rsidRPr="004D32BA" w:rsidRDefault="00A2020D" w:rsidP="00A2020D">
      <w:pPr>
        <w:jc w:val="both"/>
        <w:rPr>
          <w:rFonts w:eastAsiaTheme="minorHAnsi"/>
          <w:u w:val="single"/>
          <w:lang w:val="en-US" w:eastAsia="en-US"/>
        </w:rPr>
      </w:pPr>
    </w:p>
    <w:p w14:paraId="072E787D" w14:textId="77777777" w:rsidR="009130C0" w:rsidRPr="004D32BA" w:rsidRDefault="009130C0" w:rsidP="00A2020D">
      <w:pPr>
        <w:jc w:val="both"/>
        <w:rPr>
          <w:rFonts w:eastAsiaTheme="minorHAnsi"/>
          <w:u w:val="single"/>
          <w:lang w:val="en-US" w:eastAsia="en-US"/>
        </w:rPr>
      </w:pPr>
    </w:p>
    <w:p w14:paraId="74CFB21F" w14:textId="40721FF4" w:rsidR="00A02528" w:rsidRPr="004D32BA" w:rsidRDefault="00A02528" w:rsidP="00A02528">
      <w:pPr>
        <w:spacing w:line="276" w:lineRule="auto"/>
        <w:jc w:val="both"/>
        <w:rPr>
          <w:rFonts w:eastAsiaTheme="minorHAnsi"/>
          <w:u w:val="single"/>
          <w:lang w:val="en-US" w:eastAsia="en-US"/>
        </w:rPr>
      </w:pPr>
      <w:bookmarkStart w:id="5" w:name="_Hlk107226897"/>
      <w:r w:rsidRPr="004D32BA">
        <w:rPr>
          <w:rFonts w:eastAsiaTheme="minorHAnsi"/>
          <w:u w:val="single"/>
          <w:lang w:val="en-US" w:eastAsia="en-US"/>
        </w:rPr>
        <w:t>Supplementary Table S</w:t>
      </w:r>
      <w:bookmarkEnd w:id="5"/>
      <w:r w:rsidR="008661B8" w:rsidRPr="004D32BA">
        <w:rPr>
          <w:rFonts w:eastAsiaTheme="minorHAnsi"/>
          <w:u w:val="single"/>
          <w:lang w:val="en-US" w:eastAsia="en-US"/>
        </w:rPr>
        <w:t>5</w:t>
      </w:r>
      <w:r w:rsidRPr="004D32BA">
        <w:rPr>
          <w:rFonts w:eastAsiaTheme="minorHAnsi"/>
          <w:u w:val="single"/>
          <w:lang w:val="en-US" w:eastAsia="en-US"/>
        </w:rPr>
        <w:t xml:space="preserve">. Maximum specific growth rates of </w:t>
      </w:r>
      <w:r w:rsidRPr="004D32BA">
        <w:rPr>
          <w:rFonts w:eastAsiaTheme="minorHAnsi"/>
          <w:i/>
          <w:iCs/>
          <w:u w:val="single"/>
          <w:lang w:val="en-US" w:eastAsia="en-US"/>
        </w:rPr>
        <w:t>E. coli</w:t>
      </w:r>
      <w:r w:rsidRPr="004D32BA">
        <w:rPr>
          <w:rFonts w:eastAsiaTheme="minorHAnsi"/>
          <w:u w:val="single"/>
          <w:lang w:val="en-US" w:eastAsia="en-US"/>
        </w:rPr>
        <w:t xml:space="preserve"> </w:t>
      </w:r>
      <w:proofErr w:type="spellStart"/>
      <w:r w:rsidRPr="004D32BA">
        <w:rPr>
          <w:rFonts w:eastAsiaTheme="minorHAnsi"/>
          <w:u w:val="single"/>
          <w:lang w:val="en-US" w:eastAsia="en-US"/>
        </w:rPr>
        <w:t>W on</w:t>
      </w:r>
      <w:proofErr w:type="spellEnd"/>
      <w:r w:rsidRPr="004D32BA">
        <w:rPr>
          <w:rFonts w:eastAsiaTheme="minorHAnsi"/>
          <w:u w:val="single"/>
          <w:lang w:val="en-US" w:eastAsia="en-US"/>
        </w:rPr>
        <w:t xml:space="preserve"> different substrates pure and combined with glucose at a final concentration of 2 g/L.</w:t>
      </w:r>
    </w:p>
    <w:p w14:paraId="1B782D16" w14:textId="0E7F92A4" w:rsidR="0021413B" w:rsidRPr="004D32BA" w:rsidRDefault="0021413B" w:rsidP="0021413B">
      <w:pPr>
        <w:pStyle w:val="Sinespaciado"/>
        <w:spacing w:line="360" w:lineRule="auto"/>
        <w:rPr>
          <w:rFonts w:ascii="Times New Roman" w:hAnsi="Times New Roman" w:cs="Times New Roman"/>
          <w:sz w:val="24"/>
          <w:szCs w:val="24"/>
          <w:u w:val="single"/>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320"/>
      </w:tblGrid>
      <w:tr w:rsidR="0021413B" w:rsidRPr="004D32BA" w14:paraId="4523E5AF" w14:textId="77777777" w:rsidTr="000033DF">
        <w:trPr>
          <w:trHeight w:val="324"/>
          <w:jc w:val="center"/>
        </w:trPr>
        <w:tc>
          <w:tcPr>
            <w:tcW w:w="2840" w:type="dxa"/>
            <w:shd w:val="clear" w:color="auto" w:fill="auto"/>
            <w:vAlign w:val="bottom"/>
            <w:hideMark/>
          </w:tcPr>
          <w:p w14:paraId="6C6661C2" w14:textId="77777777" w:rsidR="0021413B" w:rsidRPr="004D32BA" w:rsidRDefault="0021413B" w:rsidP="00621B9F">
            <w:pPr>
              <w:jc w:val="center"/>
              <w:rPr>
                <w:b/>
                <w:bCs/>
                <w:color w:val="000000"/>
                <w:sz w:val="20"/>
                <w:szCs w:val="20"/>
                <w:lang w:eastAsia="en-US"/>
              </w:rPr>
            </w:pPr>
            <w:proofErr w:type="spellStart"/>
            <w:r w:rsidRPr="004D32BA">
              <w:rPr>
                <w:b/>
                <w:bCs/>
                <w:color w:val="000000"/>
                <w:sz w:val="20"/>
                <w:szCs w:val="20"/>
                <w:lang w:val="es-US"/>
              </w:rPr>
              <w:t>Substrate</w:t>
            </w:r>
            <w:proofErr w:type="spellEnd"/>
            <w:r w:rsidRPr="004D32BA">
              <w:rPr>
                <w:b/>
                <w:bCs/>
                <w:color w:val="000000"/>
                <w:sz w:val="20"/>
                <w:szCs w:val="20"/>
                <w:lang w:val="es-US"/>
              </w:rPr>
              <w:t xml:space="preserve"> (2 g/L)</w:t>
            </w:r>
          </w:p>
        </w:tc>
        <w:tc>
          <w:tcPr>
            <w:tcW w:w="1320" w:type="dxa"/>
            <w:shd w:val="clear" w:color="auto" w:fill="auto"/>
            <w:vAlign w:val="center"/>
            <w:hideMark/>
          </w:tcPr>
          <w:p w14:paraId="2EC1353B" w14:textId="77777777" w:rsidR="0021413B" w:rsidRPr="004D32BA" w:rsidRDefault="0021413B" w:rsidP="00621B9F">
            <w:pPr>
              <w:jc w:val="center"/>
              <w:rPr>
                <w:b/>
                <w:bCs/>
                <w:color w:val="000000"/>
                <w:sz w:val="20"/>
                <w:szCs w:val="20"/>
              </w:rPr>
            </w:pPr>
            <w:r w:rsidRPr="004D32BA">
              <w:rPr>
                <w:b/>
                <w:bCs/>
                <w:color w:val="000000"/>
                <w:sz w:val="20"/>
                <w:szCs w:val="20"/>
                <w:lang w:val="es-US"/>
              </w:rPr>
              <w:t>µ</w:t>
            </w:r>
            <w:proofErr w:type="spellStart"/>
            <w:r w:rsidRPr="004D32BA">
              <w:rPr>
                <w:b/>
                <w:bCs/>
                <w:color w:val="000000"/>
                <w:sz w:val="20"/>
                <w:szCs w:val="20"/>
                <w:vertAlign w:val="subscript"/>
                <w:lang w:val="es-US"/>
              </w:rPr>
              <w:t>max</w:t>
            </w:r>
            <w:proofErr w:type="spellEnd"/>
            <w:r w:rsidRPr="004D32BA">
              <w:rPr>
                <w:b/>
                <w:bCs/>
                <w:color w:val="000000"/>
                <w:sz w:val="20"/>
                <w:szCs w:val="20"/>
                <w:lang w:val="es-US"/>
              </w:rPr>
              <w:t xml:space="preserve"> (h</w:t>
            </w:r>
            <w:r w:rsidRPr="004D32BA">
              <w:rPr>
                <w:b/>
                <w:bCs/>
                <w:color w:val="000000"/>
                <w:sz w:val="20"/>
                <w:szCs w:val="20"/>
                <w:vertAlign w:val="superscript"/>
                <w:lang w:val="es-US"/>
              </w:rPr>
              <w:t>-1</w:t>
            </w:r>
            <w:r w:rsidRPr="004D32BA">
              <w:rPr>
                <w:b/>
                <w:bCs/>
                <w:color w:val="000000"/>
                <w:sz w:val="20"/>
                <w:szCs w:val="20"/>
                <w:lang w:val="es-US"/>
              </w:rPr>
              <w:t>)</w:t>
            </w:r>
          </w:p>
        </w:tc>
      </w:tr>
      <w:tr w:rsidR="0021413B" w:rsidRPr="004D32BA" w14:paraId="12C504E8" w14:textId="77777777" w:rsidTr="000033DF">
        <w:trPr>
          <w:trHeight w:val="312"/>
          <w:jc w:val="center"/>
        </w:trPr>
        <w:tc>
          <w:tcPr>
            <w:tcW w:w="2840" w:type="dxa"/>
            <w:shd w:val="clear" w:color="auto" w:fill="auto"/>
            <w:vAlign w:val="bottom"/>
            <w:hideMark/>
          </w:tcPr>
          <w:p w14:paraId="0D2F4ED5" w14:textId="77777777" w:rsidR="0021413B" w:rsidRPr="004D32BA" w:rsidRDefault="0021413B" w:rsidP="00621B9F">
            <w:pPr>
              <w:rPr>
                <w:b/>
                <w:bCs/>
                <w:color w:val="000000"/>
                <w:sz w:val="20"/>
                <w:szCs w:val="20"/>
              </w:rPr>
            </w:pPr>
            <w:proofErr w:type="spellStart"/>
            <w:r w:rsidRPr="004D32BA">
              <w:rPr>
                <w:b/>
                <w:bCs/>
                <w:color w:val="000000"/>
                <w:sz w:val="20"/>
                <w:szCs w:val="20"/>
                <w:lang w:val="es-US"/>
              </w:rPr>
              <w:t>Glucose</w:t>
            </w:r>
            <w:proofErr w:type="spellEnd"/>
            <w:r w:rsidRPr="004D32BA">
              <w:rPr>
                <w:b/>
                <w:bCs/>
                <w:color w:val="000000"/>
                <w:sz w:val="20"/>
                <w:szCs w:val="20"/>
                <w:lang w:val="es-US"/>
              </w:rPr>
              <w:t xml:space="preserve"> 50</w:t>
            </w:r>
            <w:proofErr w:type="gramStart"/>
            <w:r w:rsidRPr="004D32BA">
              <w:rPr>
                <w:b/>
                <w:bCs/>
                <w:color w:val="000000"/>
                <w:sz w:val="20"/>
                <w:szCs w:val="20"/>
                <w:lang w:val="es-US"/>
              </w:rPr>
              <w:t>% :</w:t>
            </w:r>
            <w:proofErr w:type="gramEnd"/>
            <w:r w:rsidRPr="004D32BA">
              <w:rPr>
                <w:b/>
                <w:bCs/>
                <w:color w:val="000000"/>
                <w:sz w:val="20"/>
                <w:szCs w:val="20"/>
                <w:lang w:val="es-US"/>
              </w:rPr>
              <w:t xml:space="preserve"> </w:t>
            </w:r>
            <w:proofErr w:type="spellStart"/>
            <w:r w:rsidRPr="004D32BA">
              <w:rPr>
                <w:b/>
                <w:bCs/>
                <w:color w:val="000000"/>
                <w:sz w:val="20"/>
                <w:szCs w:val="20"/>
                <w:lang w:val="es-US"/>
              </w:rPr>
              <w:t>Lactose</w:t>
            </w:r>
            <w:proofErr w:type="spellEnd"/>
            <w:r w:rsidRPr="004D32BA">
              <w:rPr>
                <w:b/>
                <w:bCs/>
                <w:color w:val="000000"/>
                <w:sz w:val="20"/>
                <w:szCs w:val="20"/>
                <w:lang w:val="es-US"/>
              </w:rPr>
              <w:t xml:space="preserve"> 50%</w:t>
            </w:r>
          </w:p>
        </w:tc>
        <w:tc>
          <w:tcPr>
            <w:tcW w:w="1320" w:type="dxa"/>
            <w:shd w:val="clear" w:color="auto" w:fill="auto"/>
            <w:vAlign w:val="bottom"/>
            <w:hideMark/>
          </w:tcPr>
          <w:p w14:paraId="6AEFF633" w14:textId="77777777" w:rsidR="0021413B" w:rsidRPr="004D32BA" w:rsidRDefault="0021413B" w:rsidP="00621B9F">
            <w:pPr>
              <w:rPr>
                <w:b/>
                <w:bCs/>
                <w:color w:val="000000"/>
                <w:sz w:val="20"/>
                <w:szCs w:val="20"/>
              </w:rPr>
            </w:pPr>
            <w:r w:rsidRPr="004D32BA">
              <w:rPr>
                <w:b/>
                <w:bCs/>
                <w:color w:val="000000"/>
                <w:sz w:val="20"/>
                <w:szCs w:val="20"/>
                <w:lang w:val="es-US"/>
              </w:rPr>
              <w:t>0.824±0.01</w:t>
            </w:r>
            <w:r w:rsidRPr="004D32BA">
              <w:rPr>
                <w:b/>
                <w:bCs/>
                <w:color w:val="000000"/>
                <w:sz w:val="20"/>
                <w:szCs w:val="20"/>
                <w:vertAlign w:val="superscript"/>
                <w:lang w:val="es-US"/>
              </w:rPr>
              <w:t>a</w:t>
            </w:r>
            <w:r w:rsidRPr="004D32BA">
              <w:rPr>
                <w:color w:val="000000"/>
                <w:sz w:val="20"/>
                <w:szCs w:val="20"/>
                <w:vertAlign w:val="superscript"/>
                <w:lang w:val="es-US"/>
              </w:rPr>
              <w:t>b</w:t>
            </w:r>
          </w:p>
        </w:tc>
      </w:tr>
      <w:tr w:rsidR="0021413B" w:rsidRPr="004D32BA" w14:paraId="01EE7723" w14:textId="77777777" w:rsidTr="000033DF">
        <w:trPr>
          <w:trHeight w:val="312"/>
          <w:jc w:val="center"/>
        </w:trPr>
        <w:tc>
          <w:tcPr>
            <w:tcW w:w="2840" w:type="dxa"/>
            <w:shd w:val="clear" w:color="auto" w:fill="auto"/>
            <w:vAlign w:val="bottom"/>
            <w:hideMark/>
          </w:tcPr>
          <w:p w14:paraId="2B59EDDB" w14:textId="77777777" w:rsidR="0021413B" w:rsidRPr="004D32BA" w:rsidRDefault="0021413B" w:rsidP="00621B9F">
            <w:pPr>
              <w:rPr>
                <w:color w:val="000000"/>
                <w:sz w:val="20"/>
                <w:szCs w:val="20"/>
              </w:rPr>
            </w:pPr>
            <w:proofErr w:type="spellStart"/>
            <w:r w:rsidRPr="004D32BA">
              <w:rPr>
                <w:color w:val="000000"/>
                <w:sz w:val="20"/>
                <w:szCs w:val="20"/>
                <w:lang w:val="es-US"/>
              </w:rPr>
              <w:t>Lactose</w:t>
            </w:r>
            <w:proofErr w:type="spellEnd"/>
          </w:p>
        </w:tc>
        <w:tc>
          <w:tcPr>
            <w:tcW w:w="1320" w:type="dxa"/>
            <w:shd w:val="clear" w:color="auto" w:fill="auto"/>
            <w:vAlign w:val="bottom"/>
            <w:hideMark/>
          </w:tcPr>
          <w:p w14:paraId="3406BF87" w14:textId="77777777" w:rsidR="0021413B" w:rsidRPr="004D32BA" w:rsidRDefault="0021413B" w:rsidP="00621B9F">
            <w:pPr>
              <w:rPr>
                <w:color w:val="000000"/>
                <w:sz w:val="20"/>
                <w:szCs w:val="20"/>
              </w:rPr>
            </w:pPr>
            <w:r w:rsidRPr="004D32BA">
              <w:rPr>
                <w:color w:val="000000"/>
                <w:sz w:val="20"/>
                <w:szCs w:val="20"/>
                <w:lang w:val="es-US"/>
              </w:rPr>
              <w:t>0.82±0.11</w:t>
            </w:r>
            <w:r w:rsidRPr="004D32BA">
              <w:rPr>
                <w:color w:val="000000"/>
                <w:sz w:val="20"/>
                <w:szCs w:val="20"/>
                <w:vertAlign w:val="superscript"/>
                <w:lang w:val="es-US"/>
              </w:rPr>
              <w:t>ab</w:t>
            </w:r>
          </w:p>
        </w:tc>
      </w:tr>
      <w:tr w:rsidR="0021413B" w:rsidRPr="004D32BA" w14:paraId="73C917FD" w14:textId="77777777" w:rsidTr="000033DF">
        <w:trPr>
          <w:trHeight w:val="312"/>
          <w:jc w:val="center"/>
        </w:trPr>
        <w:tc>
          <w:tcPr>
            <w:tcW w:w="2840" w:type="dxa"/>
            <w:shd w:val="clear" w:color="auto" w:fill="auto"/>
            <w:vAlign w:val="bottom"/>
            <w:hideMark/>
          </w:tcPr>
          <w:p w14:paraId="345D2C11" w14:textId="77777777" w:rsidR="0021413B" w:rsidRPr="004D32BA" w:rsidRDefault="0021413B" w:rsidP="00621B9F">
            <w:pPr>
              <w:rPr>
                <w:color w:val="000000"/>
                <w:sz w:val="20"/>
                <w:szCs w:val="20"/>
              </w:rPr>
            </w:pPr>
            <w:proofErr w:type="spellStart"/>
            <w:r w:rsidRPr="004D32BA">
              <w:rPr>
                <w:color w:val="000000"/>
                <w:sz w:val="20"/>
                <w:szCs w:val="20"/>
                <w:lang w:val="es-US"/>
              </w:rPr>
              <w:t>Glucose</w:t>
            </w:r>
            <w:proofErr w:type="spellEnd"/>
            <w:r w:rsidRPr="004D32BA">
              <w:rPr>
                <w:color w:val="000000"/>
                <w:sz w:val="20"/>
                <w:szCs w:val="20"/>
                <w:lang w:val="es-US"/>
              </w:rPr>
              <w:t xml:space="preserve"> 50</w:t>
            </w:r>
            <w:proofErr w:type="gramStart"/>
            <w:r w:rsidRPr="004D32BA">
              <w:rPr>
                <w:color w:val="000000"/>
                <w:sz w:val="20"/>
                <w:szCs w:val="20"/>
                <w:lang w:val="es-US"/>
              </w:rPr>
              <w:t>% :</w:t>
            </w:r>
            <w:proofErr w:type="gramEnd"/>
            <w:r w:rsidRPr="004D32BA">
              <w:rPr>
                <w:color w:val="000000"/>
                <w:sz w:val="20"/>
                <w:szCs w:val="20"/>
                <w:lang w:val="es-US"/>
              </w:rPr>
              <w:t xml:space="preserve"> </w:t>
            </w:r>
            <w:proofErr w:type="spellStart"/>
            <w:r w:rsidRPr="004D32BA">
              <w:rPr>
                <w:color w:val="000000"/>
                <w:sz w:val="20"/>
                <w:szCs w:val="20"/>
                <w:lang w:val="es-US"/>
              </w:rPr>
              <w:t>Fructose</w:t>
            </w:r>
            <w:proofErr w:type="spellEnd"/>
            <w:r w:rsidRPr="004D32BA">
              <w:rPr>
                <w:color w:val="000000"/>
                <w:sz w:val="20"/>
                <w:szCs w:val="20"/>
                <w:lang w:val="es-US"/>
              </w:rPr>
              <w:t xml:space="preserve"> 50%</w:t>
            </w:r>
          </w:p>
        </w:tc>
        <w:tc>
          <w:tcPr>
            <w:tcW w:w="1320" w:type="dxa"/>
            <w:shd w:val="clear" w:color="auto" w:fill="auto"/>
            <w:vAlign w:val="bottom"/>
            <w:hideMark/>
          </w:tcPr>
          <w:p w14:paraId="75706469" w14:textId="77777777" w:rsidR="0021413B" w:rsidRPr="004D32BA" w:rsidRDefault="0021413B" w:rsidP="00621B9F">
            <w:pPr>
              <w:rPr>
                <w:color w:val="000000"/>
                <w:sz w:val="20"/>
                <w:szCs w:val="20"/>
              </w:rPr>
            </w:pPr>
            <w:r w:rsidRPr="004D32BA">
              <w:rPr>
                <w:color w:val="000000"/>
                <w:sz w:val="20"/>
                <w:szCs w:val="20"/>
                <w:lang w:val="es-US"/>
              </w:rPr>
              <w:t>0.81±0.02</w:t>
            </w:r>
            <w:r w:rsidRPr="004D32BA">
              <w:rPr>
                <w:color w:val="000000"/>
                <w:sz w:val="20"/>
                <w:szCs w:val="20"/>
                <w:vertAlign w:val="superscript"/>
                <w:lang w:val="es-US"/>
              </w:rPr>
              <w:t>abc</w:t>
            </w:r>
          </w:p>
        </w:tc>
      </w:tr>
      <w:tr w:rsidR="0021413B" w:rsidRPr="004D32BA" w14:paraId="11EC53C9" w14:textId="77777777" w:rsidTr="000033DF">
        <w:trPr>
          <w:trHeight w:val="312"/>
          <w:jc w:val="center"/>
        </w:trPr>
        <w:tc>
          <w:tcPr>
            <w:tcW w:w="2840" w:type="dxa"/>
            <w:shd w:val="clear" w:color="auto" w:fill="auto"/>
            <w:vAlign w:val="bottom"/>
            <w:hideMark/>
          </w:tcPr>
          <w:p w14:paraId="04AA2AE4" w14:textId="77777777" w:rsidR="0021413B" w:rsidRPr="004D32BA" w:rsidRDefault="0021413B" w:rsidP="00621B9F">
            <w:pPr>
              <w:rPr>
                <w:color w:val="000000"/>
                <w:sz w:val="20"/>
                <w:szCs w:val="20"/>
              </w:rPr>
            </w:pPr>
            <w:proofErr w:type="spellStart"/>
            <w:r w:rsidRPr="004D32BA">
              <w:rPr>
                <w:color w:val="000000"/>
                <w:sz w:val="20"/>
                <w:szCs w:val="20"/>
                <w:lang w:val="es-US"/>
              </w:rPr>
              <w:t>Glucose</w:t>
            </w:r>
            <w:proofErr w:type="spellEnd"/>
            <w:r w:rsidRPr="004D32BA">
              <w:rPr>
                <w:color w:val="000000"/>
                <w:sz w:val="20"/>
                <w:szCs w:val="20"/>
                <w:lang w:val="es-US"/>
              </w:rPr>
              <w:t xml:space="preserve"> 50</w:t>
            </w:r>
            <w:proofErr w:type="gramStart"/>
            <w:r w:rsidRPr="004D32BA">
              <w:rPr>
                <w:color w:val="000000"/>
                <w:sz w:val="20"/>
                <w:szCs w:val="20"/>
                <w:lang w:val="es-US"/>
              </w:rPr>
              <w:t>% :</w:t>
            </w:r>
            <w:proofErr w:type="gramEnd"/>
            <w:r w:rsidRPr="004D32BA">
              <w:rPr>
                <w:color w:val="000000"/>
                <w:sz w:val="20"/>
                <w:szCs w:val="20"/>
                <w:lang w:val="es-US"/>
              </w:rPr>
              <w:t xml:space="preserve"> </w:t>
            </w:r>
            <w:proofErr w:type="spellStart"/>
            <w:r w:rsidRPr="004D32BA">
              <w:rPr>
                <w:color w:val="000000"/>
                <w:sz w:val="20"/>
                <w:szCs w:val="20"/>
                <w:lang w:val="es-US"/>
              </w:rPr>
              <w:t>Maltose</w:t>
            </w:r>
            <w:proofErr w:type="spellEnd"/>
            <w:r w:rsidRPr="004D32BA">
              <w:rPr>
                <w:color w:val="000000"/>
                <w:sz w:val="20"/>
                <w:szCs w:val="20"/>
                <w:lang w:val="es-US"/>
              </w:rPr>
              <w:t xml:space="preserve"> 50%</w:t>
            </w:r>
          </w:p>
        </w:tc>
        <w:tc>
          <w:tcPr>
            <w:tcW w:w="1320" w:type="dxa"/>
            <w:shd w:val="clear" w:color="auto" w:fill="auto"/>
            <w:vAlign w:val="bottom"/>
            <w:hideMark/>
          </w:tcPr>
          <w:p w14:paraId="0F3C288D" w14:textId="77777777" w:rsidR="0021413B" w:rsidRPr="004D32BA" w:rsidRDefault="0021413B" w:rsidP="00621B9F">
            <w:pPr>
              <w:rPr>
                <w:color w:val="000000"/>
                <w:sz w:val="20"/>
                <w:szCs w:val="20"/>
              </w:rPr>
            </w:pPr>
            <w:r w:rsidRPr="004D32BA">
              <w:rPr>
                <w:color w:val="000000"/>
                <w:sz w:val="20"/>
                <w:szCs w:val="20"/>
                <w:lang w:val="es-US"/>
              </w:rPr>
              <w:t>0.73±0.01</w:t>
            </w:r>
            <w:r w:rsidRPr="004D32BA">
              <w:rPr>
                <w:color w:val="000000"/>
                <w:sz w:val="20"/>
                <w:szCs w:val="20"/>
                <w:vertAlign w:val="superscript"/>
                <w:lang w:val="es-US"/>
              </w:rPr>
              <w:t>abcd</w:t>
            </w:r>
          </w:p>
        </w:tc>
      </w:tr>
      <w:tr w:rsidR="0021413B" w:rsidRPr="004D32BA" w14:paraId="1B469AF8" w14:textId="77777777" w:rsidTr="000033DF">
        <w:trPr>
          <w:trHeight w:val="312"/>
          <w:jc w:val="center"/>
        </w:trPr>
        <w:tc>
          <w:tcPr>
            <w:tcW w:w="2840" w:type="dxa"/>
            <w:shd w:val="clear" w:color="auto" w:fill="auto"/>
            <w:vAlign w:val="bottom"/>
            <w:hideMark/>
          </w:tcPr>
          <w:p w14:paraId="32570017" w14:textId="77777777" w:rsidR="0021413B" w:rsidRPr="004D32BA" w:rsidRDefault="0021413B" w:rsidP="00621B9F">
            <w:pPr>
              <w:rPr>
                <w:color w:val="000000"/>
                <w:sz w:val="20"/>
                <w:szCs w:val="20"/>
              </w:rPr>
            </w:pPr>
            <w:proofErr w:type="spellStart"/>
            <w:r w:rsidRPr="004D32BA">
              <w:rPr>
                <w:color w:val="000000"/>
                <w:sz w:val="20"/>
                <w:szCs w:val="20"/>
                <w:lang w:val="es-US"/>
              </w:rPr>
              <w:t>Sucrose</w:t>
            </w:r>
            <w:proofErr w:type="spellEnd"/>
          </w:p>
        </w:tc>
        <w:tc>
          <w:tcPr>
            <w:tcW w:w="1320" w:type="dxa"/>
            <w:shd w:val="clear" w:color="auto" w:fill="auto"/>
            <w:vAlign w:val="bottom"/>
            <w:hideMark/>
          </w:tcPr>
          <w:p w14:paraId="4EAB436D" w14:textId="77777777" w:rsidR="0021413B" w:rsidRPr="004D32BA" w:rsidRDefault="0021413B" w:rsidP="00621B9F">
            <w:pPr>
              <w:rPr>
                <w:color w:val="000000"/>
                <w:sz w:val="20"/>
                <w:szCs w:val="20"/>
              </w:rPr>
            </w:pPr>
            <w:r w:rsidRPr="004D32BA">
              <w:rPr>
                <w:color w:val="000000"/>
                <w:sz w:val="20"/>
                <w:szCs w:val="20"/>
                <w:lang w:val="es-US"/>
              </w:rPr>
              <w:t>0.71±0.02</w:t>
            </w:r>
            <w:r w:rsidRPr="004D32BA">
              <w:rPr>
                <w:color w:val="000000"/>
                <w:sz w:val="20"/>
                <w:szCs w:val="20"/>
                <w:vertAlign w:val="superscript"/>
                <w:lang w:val="es-US"/>
              </w:rPr>
              <w:t>abcd</w:t>
            </w:r>
          </w:p>
        </w:tc>
      </w:tr>
      <w:tr w:rsidR="0021413B" w:rsidRPr="004D32BA" w14:paraId="0D93336D" w14:textId="77777777" w:rsidTr="000033DF">
        <w:trPr>
          <w:trHeight w:val="312"/>
          <w:jc w:val="center"/>
        </w:trPr>
        <w:tc>
          <w:tcPr>
            <w:tcW w:w="2840" w:type="dxa"/>
            <w:shd w:val="clear" w:color="auto" w:fill="auto"/>
            <w:vAlign w:val="bottom"/>
            <w:hideMark/>
          </w:tcPr>
          <w:p w14:paraId="7EB3E4EC" w14:textId="77777777" w:rsidR="0021413B" w:rsidRPr="004D32BA" w:rsidRDefault="0021413B" w:rsidP="00621B9F">
            <w:pPr>
              <w:rPr>
                <w:color w:val="000000"/>
                <w:sz w:val="20"/>
                <w:szCs w:val="20"/>
              </w:rPr>
            </w:pPr>
            <w:proofErr w:type="spellStart"/>
            <w:r w:rsidRPr="004D32BA">
              <w:rPr>
                <w:color w:val="000000"/>
                <w:sz w:val="20"/>
                <w:szCs w:val="20"/>
                <w:lang w:val="es-US"/>
              </w:rPr>
              <w:t>Glucose</w:t>
            </w:r>
            <w:proofErr w:type="spellEnd"/>
            <w:r w:rsidRPr="004D32BA">
              <w:rPr>
                <w:color w:val="000000"/>
                <w:sz w:val="20"/>
                <w:szCs w:val="20"/>
                <w:lang w:val="es-US"/>
              </w:rPr>
              <w:t xml:space="preserve"> 50</w:t>
            </w:r>
            <w:proofErr w:type="gramStart"/>
            <w:r w:rsidRPr="004D32BA">
              <w:rPr>
                <w:color w:val="000000"/>
                <w:sz w:val="20"/>
                <w:szCs w:val="20"/>
                <w:lang w:val="es-US"/>
              </w:rPr>
              <w:t>% :</w:t>
            </w:r>
            <w:proofErr w:type="gramEnd"/>
            <w:r w:rsidRPr="004D32BA">
              <w:rPr>
                <w:color w:val="000000"/>
                <w:sz w:val="20"/>
                <w:szCs w:val="20"/>
                <w:lang w:val="es-US"/>
              </w:rPr>
              <w:t xml:space="preserve"> </w:t>
            </w:r>
            <w:proofErr w:type="spellStart"/>
            <w:r w:rsidRPr="004D32BA">
              <w:rPr>
                <w:color w:val="000000"/>
                <w:sz w:val="20"/>
                <w:szCs w:val="20"/>
                <w:lang w:val="es-US"/>
              </w:rPr>
              <w:t>Sucrose</w:t>
            </w:r>
            <w:proofErr w:type="spellEnd"/>
            <w:r w:rsidRPr="004D32BA">
              <w:rPr>
                <w:color w:val="000000"/>
                <w:sz w:val="20"/>
                <w:szCs w:val="20"/>
                <w:lang w:val="es-US"/>
              </w:rPr>
              <w:t xml:space="preserve"> 50%</w:t>
            </w:r>
          </w:p>
        </w:tc>
        <w:tc>
          <w:tcPr>
            <w:tcW w:w="1320" w:type="dxa"/>
            <w:shd w:val="clear" w:color="auto" w:fill="auto"/>
            <w:vAlign w:val="bottom"/>
            <w:hideMark/>
          </w:tcPr>
          <w:p w14:paraId="566220DA" w14:textId="77777777" w:rsidR="0021413B" w:rsidRPr="004D32BA" w:rsidRDefault="0021413B" w:rsidP="00621B9F">
            <w:pPr>
              <w:rPr>
                <w:color w:val="000000"/>
                <w:sz w:val="20"/>
                <w:szCs w:val="20"/>
              </w:rPr>
            </w:pPr>
            <w:r w:rsidRPr="004D32BA">
              <w:rPr>
                <w:color w:val="000000"/>
                <w:sz w:val="20"/>
                <w:szCs w:val="20"/>
                <w:lang w:val="es-US"/>
              </w:rPr>
              <w:t>0.70±0.01</w:t>
            </w:r>
            <w:r w:rsidRPr="004D32BA">
              <w:rPr>
                <w:color w:val="000000"/>
                <w:sz w:val="20"/>
                <w:szCs w:val="20"/>
                <w:vertAlign w:val="superscript"/>
                <w:lang w:val="es-US"/>
              </w:rPr>
              <w:t>abcd</w:t>
            </w:r>
          </w:p>
        </w:tc>
      </w:tr>
      <w:tr w:rsidR="0021413B" w:rsidRPr="004D32BA" w14:paraId="7AA323B4" w14:textId="77777777" w:rsidTr="000033DF">
        <w:trPr>
          <w:trHeight w:val="312"/>
          <w:jc w:val="center"/>
        </w:trPr>
        <w:tc>
          <w:tcPr>
            <w:tcW w:w="2840" w:type="dxa"/>
            <w:shd w:val="clear" w:color="auto" w:fill="auto"/>
            <w:vAlign w:val="bottom"/>
            <w:hideMark/>
          </w:tcPr>
          <w:p w14:paraId="6328831C" w14:textId="77777777" w:rsidR="0021413B" w:rsidRPr="004D32BA" w:rsidRDefault="0021413B" w:rsidP="00621B9F">
            <w:pPr>
              <w:rPr>
                <w:color w:val="000000"/>
                <w:sz w:val="20"/>
                <w:szCs w:val="20"/>
              </w:rPr>
            </w:pPr>
            <w:proofErr w:type="spellStart"/>
            <w:r w:rsidRPr="004D32BA">
              <w:rPr>
                <w:color w:val="000000"/>
                <w:sz w:val="20"/>
                <w:szCs w:val="20"/>
                <w:lang w:val="es-US"/>
              </w:rPr>
              <w:t>Maltose</w:t>
            </w:r>
            <w:proofErr w:type="spellEnd"/>
          </w:p>
        </w:tc>
        <w:tc>
          <w:tcPr>
            <w:tcW w:w="1320" w:type="dxa"/>
            <w:shd w:val="clear" w:color="auto" w:fill="auto"/>
            <w:vAlign w:val="bottom"/>
            <w:hideMark/>
          </w:tcPr>
          <w:p w14:paraId="243AB0F3" w14:textId="77777777" w:rsidR="0021413B" w:rsidRPr="004D32BA" w:rsidRDefault="0021413B" w:rsidP="00621B9F">
            <w:pPr>
              <w:rPr>
                <w:color w:val="000000"/>
                <w:sz w:val="20"/>
                <w:szCs w:val="20"/>
              </w:rPr>
            </w:pPr>
            <w:r w:rsidRPr="004D32BA">
              <w:rPr>
                <w:color w:val="000000"/>
                <w:sz w:val="20"/>
                <w:szCs w:val="20"/>
                <w:lang w:val="es-US"/>
              </w:rPr>
              <w:t>0.69±0.01</w:t>
            </w:r>
            <w:r w:rsidRPr="004D32BA">
              <w:rPr>
                <w:color w:val="000000"/>
                <w:sz w:val="20"/>
                <w:szCs w:val="20"/>
                <w:vertAlign w:val="superscript"/>
                <w:lang w:val="es-US"/>
              </w:rPr>
              <w:t>abcd</w:t>
            </w:r>
          </w:p>
        </w:tc>
      </w:tr>
      <w:tr w:rsidR="0021413B" w:rsidRPr="004D32BA" w14:paraId="4688F3A7" w14:textId="77777777" w:rsidTr="000033DF">
        <w:trPr>
          <w:trHeight w:val="312"/>
          <w:jc w:val="center"/>
        </w:trPr>
        <w:tc>
          <w:tcPr>
            <w:tcW w:w="2840" w:type="dxa"/>
            <w:shd w:val="clear" w:color="auto" w:fill="auto"/>
            <w:vAlign w:val="bottom"/>
            <w:hideMark/>
          </w:tcPr>
          <w:p w14:paraId="5F9DB0E4" w14:textId="77777777" w:rsidR="0021413B" w:rsidRPr="004D32BA" w:rsidRDefault="0021413B" w:rsidP="00621B9F">
            <w:pPr>
              <w:rPr>
                <w:color w:val="000000"/>
                <w:sz w:val="20"/>
                <w:szCs w:val="20"/>
              </w:rPr>
            </w:pPr>
            <w:proofErr w:type="spellStart"/>
            <w:r w:rsidRPr="004D32BA">
              <w:rPr>
                <w:color w:val="000000"/>
                <w:sz w:val="20"/>
                <w:szCs w:val="20"/>
                <w:lang w:val="es-US"/>
              </w:rPr>
              <w:t>Galactose</w:t>
            </w:r>
            <w:proofErr w:type="spellEnd"/>
          </w:p>
        </w:tc>
        <w:tc>
          <w:tcPr>
            <w:tcW w:w="1320" w:type="dxa"/>
            <w:shd w:val="clear" w:color="auto" w:fill="auto"/>
            <w:vAlign w:val="bottom"/>
            <w:hideMark/>
          </w:tcPr>
          <w:p w14:paraId="3F980873" w14:textId="77777777" w:rsidR="0021413B" w:rsidRPr="004D32BA" w:rsidRDefault="0021413B" w:rsidP="00621B9F">
            <w:pPr>
              <w:rPr>
                <w:color w:val="000000"/>
                <w:sz w:val="20"/>
                <w:szCs w:val="20"/>
              </w:rPr>
            </w:pPr>
            <w:r w:rsidRPr="004D32BA">
              <w:rPr>
                <w:color w:val="000000"/>
                <w:sz w:val="20"/>
                <w:szCs w:val="20"/>
                <w:lang w:val="es-US"/>
              </w:rPr>
              <w:t>0.66±0.18</w:t>
            </w:r>
            <w:r w:rsidRPr="004D32BA">
              <w:rPr>
                <w:color w:val="000000"/>
                <w:sz w:val="20"/>
                <w:szCs w:val="20"/>
                <w:vertAlign w:val="superscript"/>
                <w:lang w:val="es-US"/>
              </w:rPr>
              <w:t>bcd</w:t>
            </w:r>
          </w:p>
        </w:tc>
      </w:tr>
      <w:tr w:rsidR="0021413B" w:rsidRPr="004D32BA" w14:paraId="7791F4B7" w14:textId="77777777" w:rsidTr="000033DF">
        <w:trPr>
          <w:trHeight w:val="312"/>
          <w:jc w:val="center"/>
        </w:trPr>
        <w:tc>
          <w:tcPr>
            <w:tcW w:w="2840" w:type="dxa"/>
            <w:shd w:val="clear" w:color="auto" w:fill="auto"/>
            <w:vAlign w:val="bottom"/>
            <w:hideMark/>
          </w:tcPr>
          <w:p w14:paraId="0EF81946" w14:textId="77777777" w:rsidR="0021413B" w:rsidRPr="004D32BA" w:rsidRDefault="0021413B" w:rsidP="00621B9F">
            <w:pPr>
              <w:rPr>
                <w:b/>
                <w:bCs/>
                <w:color w:val="000000"/>
                <w:sz w:val="20"/>
                <w:szCs w:val="20"/>
              </w:rPr>
            </w:pPr>
            <w:proofErr w:type="spellStart"/>
            <w:r w:rsidRPr="004D32BA">
              <w:rPr>
                <w:b/>
                <w:bCs/>
                <w:color w:val="000000"/>
                <w:sz w:val="20"/>
                <w:szCs w:val="20"/>
                <w:lang w:val="es-US"/>
              </w:rPr>
              <w:t>Glucose</w:t>
            </w:r>
            <w:proofErr w:type="spellEnd"/>
          </w:p>
        </w:tc>
        <w:tc>
          <w:tcPr>
            <w:tcW w:w="1320" w:type="dxa"/>
            <w:shd w:val="clear" w:color="auto" w:fill="auto"/>
            <w:vAlign w:val="bottom"/>
            <w:hideMark/>
          </w:tcPr>
          <w:p w14:paraId="5EEE5078" w14:textId="77777777" w:rsidR="0021413B" w:rsidRPr="004D32BA" w:rsidRDefault="0021413B" w:rsidP="00621B9F">
            <w:pPr>
              <w:rPr>
                <w:b/>
                <w:bCs/>
                <w:color w:val="000000"/>
                <w:sz w:val="20"/>
                <w:szCs w:val="20"/>
              </w:rPr>
            </w:pPr>
            <w:r w:rsidRPr="004D32BA">
              <w:rPr>
                <w:b/>
                <w:bCs/>
                <w:color w:val="000000"/>
                <w:sz w:val="20"/>
                <w:szCs w:val="20"/>
                <w:lang w:val="es-US"/>
              </w:rPr>
              <w:t>0.63±0.03</w:t>
            </w:r>
            <w:r w:rsidRPr="004D32BA">
              <w:rPr>
                <w:b/>
                <w:bCs/>
                <w:color w:val="000000"/>
                <w:sz w:val="20"/>
                <w:szCs w:val="20"/>
                <w:vertAlign w:val="superscript"/>
                <w:lang w:val="es-US"/>
              </w:rPr>
              <w:t>bcd</w:t>
            </w:r>
          </w:p>
        </w:tc>
      </w:tr>
      <w:tr w:rsidR="0021413B" w:rsidRPr="004D32BA" w14:paraId="169817E0" w14:textId="77777777" w:rsidTr="000033DF">
        <w:trPr>
          <w:trHeight w:val="312"/>
          <w:jc w:val="center"/>
        </w:trPr>
        <w:tc>
          <w:tcPr>
            <w:tcW w:w="2840" w:type="dxa"/>
            <w:shd w:val="clear" w:color="auto" w:fill="auto"/>
            <w:vAlign w:val="bottom"/>
            <w:hideMark/>
          </w:tcPr>
          <w:p w14:paraId="35660A9D" w14:textId="77777777" w:rsidR="0021413B" w:rsidRPr="004D32BA" w:rsidRDefault="0021413B" w:rsidP="00621B9F">
            <w:pPr>
              <w:rPr>
                <w:color w:val="000000"/>
                <w:sz w:val="20"/>
                <w:szCs w:val="20"/>
              </w:rPr>
            </w:pPr>
            <w:proofErr w:type="spellStart"/>
            <w:r w:rsidRPr="004D32BA">
              <w:rPr>
                <w:color w:val="000000"/>
                <w:sz w:val="20"/>
                <w:szCs w:val="20"/>
                <w:lang w:val="es-US"/>
              </w:rPr>
              <w:t>Fructose</w:t>
            </w:r>
            <w:proofErr w:type="spellEnd"/>
          </w:p>
        </w:tc>
        <w:tc>
          <w:tcPr>
            <w:tcW w:w="1320" w:type="dxa"/>
            <w:shd w:val="clear" w:color="auto" w:fill="auto"/>
            <w:vAlign w:val="bottom"/>
            <w:hideMark/>
          </w:tcPr>
          <w:p w14:paraId="26B205E0" w14:textId="77777777" w:rsidR="0021413B" w:rsidRPr="004D32BA" w:rsidRDefault="0021413B" w:rsidP="00621B9F">
            <w:pPr>
              <w:rPr>
                <w:color w:val="000000"/>
                <w:sz w:val="20"/>
                <w:szCs w:val="20"/>
              </w:rPr>
            </w:pPr>
            <w:r w:rsidRPr="004D32BA">
              <w:rPr>
                <w:color w:val="000000"/>
                <w:sz w:val="20"/>
                <w:szCs w:val="20"/>
                <w:lang w:val="es-US"/>
              </w:rPr>
              <w:t>0.63±0.01</w:t>
            </w:r>
            <w:r w:rsidRPr="004D32BA">
              <w:rPr>
                <w:color w:val="000000"/>
                <w:sz w:val="20"/>
                <w:szCs w:val="20"/>
                <w:vertAlign w:val="superscript"/>
                <w:lang w:val="es-US"/>
              </w:rPr>
              <w:t>bcd</w:t>
            </w:r>
          </w:p>
        </w:tc>
      </w:tr>
      <w:tr w:rsidR="0021413B" w:rsidRPr="004D32BA" w14:paraId="2BF26E56" w14:textId="77777777" w:rsidTr="000033DF">
        <w:trPr>
          <w:trHeight w:val="312"/>
          <w:jc w:val="center"/>
        </w:trPr>
        <w:tc>
          <w:tcPr>
            <w:tcW w:w="2840" w:type="dxa"/>
            <w:shd w:val="clear" w:color="auto" w:fill="auto"/>
            <w:vAlign w:val="bottom"/>
            <w:hideMark/>
          </w:tcPr>
          <w:p w14:paraId="63D8BA60" w14:textId="77777777" w:rsidR="0021413B" w:rsidRPr="004D32BA" w:rsidRDefault="0021413B" w:rsidP="00621B9F">
            <w:pPr>
              <w:rPr>
                <w:color w:val="000000"/>
                <w:sz w:val="20"/>
                <w:szCs w:val="20"/>
              </w:rPr>
            </w:pPr>
            <w:proofErr w:type="spellStart"/>
            <w:r w:rsidRPr="004D32BA">
              <w:rPr>
                <w:color w:val="000000"/>
                <w:sz w:val="20"/>
                <w:szCs w:val="20"/>
                <w:lang w:val="es-US"/>
              </w:rPr>
              <w:t>Glucose</w:t>
            </w:r>
            <w:proofErr w:type="spellEnd"/>
            <w:r w:rsidRPr="004D32BA">
              <w:rPr>
                <w:color w:val="000000"/>
                <w:sz w:val="20"/>
                <w:szCs w:val="20"/>
                <w:lang w:val="es-US"/>
              </w:rPr>
              <w:t xml:space="preserve"> 50</w:t>
            </w:r>
            <w:proofErr w:type="gramStart"/>
            <w:r w:rsidRPr="004D32BA">
              <w:rPr>
                <w:color w:val="000000"/>
                <w:sz w:val="20"/>
                <w:szCs w:val="20"/>
                <w:lang w:val="es-US"/>
              </w:rPr>
              <w:t>% :</w:t>
            </w:r>
            <w:proofErr w:type="gramEnd"/>
            <w:r w:rsidRPr="004D32BA">
              <w:rPr>
                <w:color w:val="000000"/>
                <w:sz w:val="20"/>
                <w:szCs w:val="20"/>
                <w:lang w:val="es-US"/>
              </w:rPr>
              <w:t xml:space="preserve"> Galactose50%</w:t>
            </w:r>
          </w:p>
        </w:tc>
        <w:tc>
          <w:tcPr>
            <w:tcW w:w="1320" w:type="dxa"/>
            <w:shd w:val="clear" w:color="auto" w:fill="auto"/>
            <w:vAlign w:val="bottom"/>
            <w:hideMark/>
          </w:tcPr>
          <w:p w14:paraId="0C72D217" w14:textId="77777777" w:rsidR="0021413B" w:rsidRPr="004D32BA" w:rsidRDefault="0021413B" w:rsidP="00621B9F">
            <w:pPr>
              <w:rPr>
                <w:color w:val="000000"/>
                <w:sz w:val="20"/>
                <w:szCs w:val="20"/>
              </w:rPr>
            </w:pPr>
            <w:r w:rsidRPr="004D32BA">
              <w:rPr>
                <w:color w:val="000000"/>
                <w:sz w:val="20"/>
                <w:szCs w:val="20"/>
                <w:lang w:val="es-US"/>
              </w:rPr>
              <w:t>0.62±0.02</w:t>
            </w:r>
            <w:r w:rsidRPr="004D32BA">
              <w:rPr>
                <w:color w:val="000000"/>
                <w:sz w:val="20"/>
                <w:szCs w:val="20"/>
                <w:vertAlign w:val="superscript"/>
                <w:lang w:val="es-US"/>
              </w:rPr>
              <w:t>cd</w:t>
            </w:r>
          </w:p>
        </w:tc>
      </w:tr>
    </w:tbl>
    <w:p w14:paraId="550ABE75" w14:textId="599D053F" w:rsidR="00A02528" w:rsidRPr="004D32BA" w:rsidRDefault="00A02528" w:rsidP="00A02528">
      <w:pPr>
        <w:spacing w:line="276" w:lineRule="auto"/>
        <w:jc w:val="both"/>
        <w:rPr>
          <w:sz w:val="20"/>
          <w:lang w:val="en-US"/>
        </w:rPr>
      </w:pPr>
      <w:r w:rsidRPr="004D32BA">
        <w:rPr>
          <w:sz w:val="20"/>
          <w:lang w:val="en-US"/>
        </w:rPr>
        <w:t>± represents the standard deviation. Similar lowercase letters per column indicate no statistical difference between treatments (p&lt;0.05).</w:t>
      </w:r>
    </w:p>
    <w:p w14:paraId="46C5738F" w14:textId="1CD0FFC5" w:rsidR="00DF3B5B" w:rsidRPr="004D32BA" w:rsidRDefault="00DF3B5B">
      <w:pPr>
        <w:rPr>
          <w:lang w:val="en-US"/>
        </w:rPr>
      </w:pPr>
    </w:p>
    <w:p w14:paraId="18F0F06D" w14:textId="1B96C4A0" w:rsidR="009130C0" w:rsidRDefault="009130C0">
      <w:pPr>
        <w:rPr>
          <w:lang w:val="en-US"/>
        </w:rPr>
      </w:pPr>
    </w:p>
    <w:p w14:paraId="0201EF8B" w14:textId="77777777" w:rsidR="002D0CBB" w:rsidRPr="004D32BA" w:rsidRDefault="002D0CBB">
      <w:pPr>
        <w:rPr>
          <w:lang w:val="en-US"/>
        </w:rPr>
      </w:pPr>
    </w:p>
    <w:p w14:paraId="00767BFC" w14:textId="4B8BAD88" w:rsidR="00092E72" w:rsidRPr="004D32BA" w:rsidRDefault="00A47868" w:rsidP="00DF3B5B">
      <w:pPr>
        <w:spacing w:line="276" w:lineRule="auto"/>
        <w:jc w:val="both"/>
        <w:rPr>
          <w:rFonts w:eastAsiaTheme="minorHAnsi"/>
          <w:u w:val="single"/>
          <w:lang w:val="en-US" w:eastAsia="en-US"/>
        </w:rPr>
      </w:pPr>
      <w:r w:rsidRPr="004D32BA">
        <w:rPr>
          <w:rFonts w:eastAsiaTheme="minorHAnsi"/>
          <w:u w:val="single"/>
          <w:lang w:val="en-US" w:eastAsia="en-US"/>
        </w:rPr>
        <w:t xml:space="preserve">Supplementary </w:t>
      </w:r>
      <w:r w:rsidR="00DF3B5B" w:rsidRPr="004D32BA">
        <w:rPr>
          <w:rFonts w:eastAsiaTheme="minorHAnsi"/>
          <w:u w:val="single"/>
          <w:lang w:val="en-US" w:eastAsia="en-US"/>
        </w:rPr>
        <w:t xml:space="preserve">Table </w:t>
      </w:r>
      <w:r w:rsidR="004A04EE" w:rsidRPr="004D32BA">
        <w:rPr>
          <w:rFonts w:eastAsiaTheme="minorHAnsi"/>
          <w:u w:val="single"/>
          <w:lang w:val="en-US" w:eastAsia="en-US"/>
        </w:rPr>
        <w:t>S</w:t>
      </w:r>
      <w:r w:rsidR="008661B8" w:rsidRPr="004D32BA">
        <w:rPr>
          <w:rFonts w:eastAsiaTheme="minorHAnsi"/>
          <w:u w:val="single"/>
          <w:lang w:val="en-US" w:eastAsia="en-US"/>
        </w:rPr>
        <w:t>6</w:t>
      </w:r>
      <w:r w:rsidR="00DF3B5B" w:rsidRPr="004D32BA">
        <w:rPr>
          <w:rFonts w:eastAsiaTheme="minorHAnsi"/>
          <w:u w:val="single"/>
          <w:lang w:val="en-US" w:eastAsia="en-US"/>
        </w:rPr>
        <w:t xml:space="preserve">. Studies on redirection the carbon flux towards pyruvate for the overproduction of 2-KIV, L-valine and </w:t>
      </w:r>
      <w:r w:rsidR="00A02528" w:rsidRPr="004D32BA">
        <w:rPr>
          <w:rFonts w:eastAsiaTheme="minorHAnsi"/>
          <w:u w:val="single"/>
          <w:lang w:val="en-US" w:eastAsia="en-US"/>
        </w:rPr>
        <w:t xml:space="preserve">some </w:t>
      </w:r>
      <w:r w:rsidR="00DF3B5B" w:rsidRPr="004D32BA">
        <w:rPr>
          <w:rFonts w:eastAsiaTheme="minorHAnsi"/>
          <w:u w:val="single"/>
          <w:lang w:val="en-US" w:eastAsia="en-US"/>
        </w:rPr>
        <w:t>alcohols</w:t>
      </w:r>
      <w:r w:rsidR="00A02528" w:rsidRPr="004D32BA">
        <w:rPr>
          <w:rFonts w:eastAsiaTheme="minorHAnsi"/>
          <w:u w:val="single"/>
          <w:lang w:val="en-US" w:eastAsia="en-US"/>
        </w:rPr>
        <w:t>.</w:t>
      </w:r>
    </w:p>
    <w:p w14:paraId="586908DC" w14:textId="16BD8A7C" w:rsidR="00DF3B5B" w:rsidRPr="004D32BA" w:rsidRDefault="00DF3B5B" w:rsidP="00DF3B5B">
      <w:pPr>
        <w:spacing w:line="276" w:lineRule="auto"/>
        <w:jc w:val="both"/>
        <w:rPr>
          <w:rFonts w:eastAsiaTheme="minorHAnsi"/>
          <w:u w:val="single"/>
          <w:lang w:val="en-US" w:eastAsia="en-US"/>
        </w:rPr>
      </w:pPr>
      <w:r w:rsidRPr="004D32BA">
        <w:rPr>
          <w:rFonts w:eastAsiaTheme="minorHAnsi"/>
          <w:u w:val="single"/>
          <w:lang w:val="en-US" w:eastAsia="en-US"/>
        </w:rPr>
        <w:t xml:space="preserve"> </w:t>
      </w:r>
    </w:p>
    <w:tbl>
      <w:tblPr>
        <w:tblStyle w:val="Tablaconcuadrcula"/>
        <w:tblW w:w="0" w:type="auto"/>
        <w:tblInd w:w="0" w:type="dxa"/>
        <w:tblLook w:val="04A0" w:firstRow="1" w:lastRow="0" w:firstColumn="1" w:lastColumn="0" w:noHBand="0" w:noVBand="1"/>
      </w:tblPr>
      <w:tblGrid>
        <w:gridCol w:w="2447"/>
        <w:gridCol w:w="2234"/>
        <w:gridCol w:w="1962"/>
        <w:gridCol w:w="2185"/>
      </w:tblGrid>
      <w:tr w:rsidR="00DF3B5B" w:rsidRPr="004D32BA" w14:paraId="3D238811"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5085B484" w14:textId="77777777" w:rsidR="00DF3B5B" w:rsidRPr="004D32BA" w:rsidRDefault="00DF3B5B">
            <w:pPr>
              <w:jc w:val="center"/>
              <w:rPr>
                <w:b/>
                <w:bCs/>
                <w:color w:val="000000"/>
                <w:sz w:val="18"/>
                <w:szCs w:val="18"/>
              </w:rPr>
            </w:pPr>
            <w:r w:rsidRPr="004D32BA">
              <w:rPr>
                <w:b/>
                <w:bCs/>
                <w:color w:val="000000"/>
                <w:sz w:val="18"/>
                <w:szCs w:val="18"/>
              </w:rPr>
              <w:t>Microorganism</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46B0891" w14:textId="77777777" w:rsidR="00DF3B5B" w:rsidRPr="004D32BA" w:rsidRDefault="00DF3B5B">
            <w:pPr>
              <w:jc w:val="center"/>
              <w:rPr>
                <w:b/>
                <w:bCs/>
                <w:color w:val="000000"/>
                <w:sz w:val="18"/>
                <w:szCs w:val="18"/>
              </w:rPr>
            </w:pPr>
            <w:r w:rsidRPr="004D32BA">
              <w:rPr>
                <w:b/>
                <w:bCs/>
                <w:color w:val="000000"/>
                <w:sz w:val="18"/>
                <w:szCs w:val="18"/>
              </w:rPr>
              <w:t>Genes Deletion</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93469A3" w14:textId="77777777" w:rsidR="00DF3B5B" w:rsidRPr="004D32BA" w:rsidRDefault="00DF3B5B">
            <w:pPr>
              <w:jc w:val="center"/>
              <w:rPr>
                <w:b/>
                <w:bCs/>
                <w:color w:val="000000"/>
                <w:sz w:val="18"/>
                <w:szCs w:val="18"/>
              </w:rPr>
            </w:pPr>
            <w:r w:rsidRPr="004D32BA">
              <w:rPr>
                <w:b/>
                <w:bCs/>
                <w:color w:val="000000"/>
                <w:sz w:val="18"/>
                <w:szCs w:val="18"/>
              </w:rPr>
              <w:t>Product</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AC54637" w14:textId="77777777" w:rsidR="00DF3B5B" w:rsidRPr="004D32BA" w:rsidRDefault="00DF3B5B">
            <w:pPr>
              <w:jc w:val="center"/>
              <w:rPr>
                <w:b/>
                <w:bCs/>
                <w:color w:val="000000"/>
                <w:sz w:val="18"/>
                <w:szCs w:val="18"/>
              </w:rPr>
            </w:pPr>
            <w:r w:rsidRPr="004D32BA">
              <w:rPr>
                <w:b/>
                <w:bCs/>
                <w:color w:val="000000"/>
                <w:sz w:val="18"/>
                <w:szCs w:val="18"/>
              </w:rPr>
              <w:t>Author</w:t>
            </w:r>
          </w:p>
        </w:tc>
      </w:tr>
      <w:tr w:rsidR="00DF3B5B" w:rsidRPr="004D32BA" w14:paraId="5042A75A"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1727D715"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6E731179" w14:textId="77777777" w:rsidR="00DF3B5B" w:rsidRPr="004D32BA" w:rsidRDefault="00DF3B5B">
            <w:pPr>
              <w:jc w:val="center"/>
              <w:rPr>
                <w:color w:val="000000"/>
                <w:sz w:val="18"/>
                <w:szCs w:val="18"/>
              </w:rPr>
            </w:pPr>
            <w:proofErr w:type="spellStart"/>
            <w:r w:rsidRPr="004D32BA">
              <w:rPr>
                <w:i/>
                <w:iCs/>
                <w:color w:val="000000"/>
                <w:sz w:val="18"/>
                <w:szCs w:val="18"/>
              </w:rPr>
              <w:t>ilv</w:t>
            </w:r>
            <w:r w:rsidRPr="004D32BA">
              <w:rPr>
                <w:color w:val="000000"/>
                <w:sz w:val="18"/>
                <w:szCs w:val="18"/>
              </w:rPr>
              <w:t>A</w:t>
            </w:r>
            <w:proofErr w:type="spellEnd"/>
            <w:r w:rsidRPr="004D32BA">
              <w:rPr>
                <w:color w:val="000000"/>
                <w:sz w:val="18"/>
                <w:szCs w:val="18"/>
              </w:rPr>
              <w:t xml:space="preserve">, </w:t>
            </w:r>
            <w:proofErr w:type="spellStart"/>
            <w:r w:rsidRPr="004D32BA">
              <w:rPr>
                <w:i/>
                <w:iCs/>
                <w:color w:val="000000"/>
                <w:sz w:val="18"/>
                <w:szCs w:val="18"/>
              </w:rPr>
              <w:t>pan</w:t>
            </w:r>
            <w:r w:rsidRPr="004D32BA">
              <w:rPr>
                <w:color w:val="000000"/>
                <w:sz w:val="18"/>
                <w:szCs w:val="18"/>
              </w:rPr>
              <w:t>BC</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4F724EC9"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F454A5C" w14:textId="327555CA"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{"citationItems":[{"id":"ITEM-1","itemData":{"DOI":"10.1128/AEM.68.5.2246-2250.2002","ISSN":"0099-2240","PMID":"11976094","abstract":"Mutants of Corynebacterium glutamicum were made and enzymatically characterized to clone ilvD and ilvE which encode dihydroxy acid dehydratase and transaminase B, respectively. These genes of the branched-chain amino acid synthesis were overexpressed together with ilvBN (which encodes acetohydroxy acid synthase) and ilvC (which encodes isomeroreductase) in the wild type, which does not excrete L-valine, to result in an accumulation of this amino acid to a concentration of 42 mM. Since L-valine originates from two pyruvate molecules, this illustrates the comparatively easy accessibility of the central metabolite pyruvate. The same genes, ilvBNCD, overexpressed in an ilvA deletion mutant which is unable to synthesize L-isoleucine increased the concentration of this amino acid to 58 mM. A further dramatic increase was obtained when panBC was deleted, making the resulting mutant auxotrophic for D -pantothenate. When the resulting strain, C. glutamicum 13032ΔilvAΔpanBC with ilvBNCD overexpressed, was grown under limiting conditions it accumulated 91 mM L-valine. This is attributed to a reduced coenzyme A availability and therefore reduced flux of pyruvate via pyruvate dehydrogenase enabling its increased drain-off via the L-valine biosynthesis pathway.","author":[{"dropping-particle":"","family":"Radmacher","given":"Eva","non-dropping-particle":"","parse-names":false,"suffix":""},{"dropping-particle":"","family":"Vaitsikova","given":"Adela","non-dropping-particle":"","parse-names":false,"suffix":""},{"dropping-particle":"","family":"Burger","given":"Udo","non-dropping-particle":"","parse-names":false,"suffix":""},{"dropping-particle":"","family":"Krumbach","given":"Karin","non-dropping-particle":"","parse-names":false,"suffix":""},{"dropping-particle":"","family":"Sahm","given":"Hermann","non-dropping-particle":"","parse-names":false,"suffix":""},{"dropping-particle":"","family":"Eggeling","given":"Lothar","non-dropping-particle":"","parse-names":false,"suffix":""}],"container-title":"Applied and environmental microbiology","id":"ITEM-1","issue":"5","issued":{"date-parts":[["2002"]]},"page":"2246-2250","publisher":"Appl Environ Microbiol","title":"Linking central metabolism with increased pathway flux: L-valine accumulation by &lt;i&gt;Corynebacterium glutamicum&lt;/i&gt;","type":"article-journal","volume":"68"},"uris":["http://www.mendeley.com/documents/?uuid=a4e7b54b-9b96-31d3-92d5-ee1264fd2707"]}],"mendeley":{"formattedCitation":"(Radmacher et al., 2002)","plainTextFormattedCitation":"(Radmacher et al., 2002)","previouslyFormattedCitation":"(Radmacher et al., 2002)"},"properties":{"noteIndex":0},"schema":"https://github.com/citation-style-language/schema/raw/master/csl-citation.json"}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(Radmacher et al., 2002)</w:t>
            </w:r>
            <w:r w:rsidRPr="004D32BA">
              <w:rPr>
                <w:color w:val="000000"/>
                <w:sz w:val="18"/>
                <w:szCs w:val="18"/>
              </w:rPr>
              <w:fldChar w:fldCharType="end"/>
            </w:r>
          </w:p>
        </w:tc>
      </w:tr>
      <w:tr w:rsidR="00DF3B5B" w:rsidRPr="004D32BA" w14:paraId="565B2133"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281B1252" w14:textId="77777777" w:rsidR="00DF3B5B" w:rsidRPr="004D32BA" w:rsidRDefault="00DF3B5B">
            <w:pPr>
              <w:jc w:val="center"/>
              <w:rPr>
                <w:color w:val="000000"/>
                <w:sz w:val="18"/>
                <w:szCs w:val="18"/>
              </w:rPr>
            </w:pPr>
            <w:r w:rsidRPr="004D32BA">
              <w:rPr>
                <w:i/>
                <w:iCs/>
                <w:color w:val="000000"/>
                <w:sz w:val="18"/>
                <w:szCs w:val="18"/>
              </w:rPr>
              <w:t xml:space="preserve">E. coli </w:t>
            </w:r>
            <w:r w:rsidRPr="004D32BA">
              <w:rPr>
                <w:color w:val="000000"/>
                <w:sz w:val="18"/>
                <w:szCs w:val="18"/>
              </w:rPr>
              <w:t>W3110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19A9979" w14:textId="77777777" w:rsidR="00DF3B5B" w:rsidRPr="004D32BA" w:rsidRDefault="00DF3B5B">
            <w:pPr>
              <w:jc w:val="center"/>
              <w:rPr>
                <w:sz w:val="18"/>
                <w:szCs w:val="18"/>
                <w:lang w:val="es-ES"/>
              </w:rPr>
            </w:pPr>
            <w:proofErr w:type="spellStart"/>
            <w:r w:rsidRPr="004D32BA">
              <w:rPr>
                <w:i/>
                <w:iCs/>
                <w:sz w:val="18"/>
                <w:szCs w:val="18"/>
                <w:lang w:val="es-ES"/>
              </w:rPr>
              <w:t>ilv</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leu</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pan</w:t>
            </w:r>
            <w:r w:rsidRPr="004D32BA">
              <w:rPr>
                <w:sz w:val="18"/>
                <w:szCs w:val="18"/>
                <w:lang w:val="es-ES"/>
              </w:rPr>
              <w:t>B</w:t>
            </w:r>
            <w:proofErr w:type="spellEnd"/>
            <w:r w:rsidRPr="004D32BA">
              <w:rPr>
                <w:sz w:val="18"/>
                <w:szCs w:val="18"/>
                <w:lang w:val="es-ES"/>
              </w:rPr>
              <w:t xml:space="preserve">, </w:t>
            </w:r>
            <w:proofErr w:type="spellStart"/>
            <w:r w:rsidRPr="004D32BA">
              <w:rPr>
                <w:i/>
                <w:iCs/>
                <w:sz w:val="18"/>
                <w:szCs w:val="18"/>
                <w:lang w:val="es-ES"/>
              </w:rPr>
              <w:t>ace</w:t>
            </w:r>
            <w:r w:rsidRPr="004D32BA">
              <w:rPr>
                <w:sz w:val="18"/>
                <w:szCs w:val="18"/>
                <w:lang w:val="es-ES"/>
              </w:rPr>
              <w:t>F</w:t>
            </w:r>
            <w:proofErr w:type="spellEnd"/>
            <w:r w:rsidRPr="004D32BA">
              <w:rPr>
                <w:sz w:val="18"/>
                <w:szCs w:val="18"/>
                <w:lang w:val="es-ES"/>
              </w:rPr>
              <w:t xml:space="preserve">, </w:t>
            </w:r>
            <w:proofErr w:type="spellStart"/>
            <w:r w:rsidRPr="004D32BA">
              <w:rPr>
                <w:i/>
                <w:iCs/>
                <w:sz w:val="18"/>
                <w:szCs w:val="18"/>
                <w:lang w:val="es-ES"/>
              </w:rPr>
              <w:t>md</w:t>
            </w:r>
            <w:r w:rsidRPr="004D32BA">
              <w:rPr>
                <w:sz w:val="18"/>
                <w:szCs w:val="18"/>
                <w:lang w:val="es-ES"/>
              </w:rPr>
              <w:t>h</w:t>
            </w:r>
            <w:proofErr w:type="spellEnd"/>
            <w:r w:rsidRPr="004D32BA">
              <w:rPr>
                <w:sz w:val="18"/>
                <w:szCs w:val="18"/>
                <w:lang w:val="es-ES"/>
              </w:rPr>
              <w:t xml:space="preserve"> y </w:t>
            </w:r>
            <w:proofErr w:type="spellStart"/>
            <w:r w:rsidRPr="004D32BA">
              <w:rPr>
                <w:i/>
                <w:iCs/>
                <w:sz w:val="18"/>
                <w:szCs w:val="18"/>
                <w:lang w:val="es-ES"/>
              </w:rPr>
              <w:t>pfk</w:t>
            </w:r>
            <w:r w:rsidRPr="004D32BA">
              <w:rPr>
                <w:sz w:val="18"/>
                <w:szCs w:val="18"/>
                <w:lang w:val="es-ES"/>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12FE8DF4"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4A9878B2" w14:textId="6DEA2127" w:rsidR="00DF3B5B" w:rsidRPr="004D32BA" w:rsidRDefault="00DF3B5B">
            <w:pPr>
              <w:jc w:val="center"/>
              <w:rPr>
                <w:color w:val="000000"/>
                <w:sz w:val="18"/>
                <w:szCs w:val="18"/>
              </w:rPr>
            </w:pPr>
            <w:r w:rsidRPr="004D32BA">
              <w:rPr>
                <w:color w:val="000000"/>
                <w:sz w:val="18"/>
                <w:szCs w:val="18"/>
              </w:rPr>
              <w:fldChar w:fldCharType="begin" w:fldLock="1"/>
            </w:r>
            <w:r w:rsidR="00766330">
              <w:rPr>
                <w:color w:val="000000"/>
                <w:sz w:val="18"/>
                <w:szCs w:val="18"/>
              </w:rPr>
              <w:instrText>ADDIN CSL_CITATION {"citationItems":[{"id":"ITEM-1","itemData":{"DOI":"10.1073/pnas.0702609104","author":[{"dropping-particle":"","family":"Park","given":"Jin Hwan","non-dropping-particle":"","parse-names":false,"suffix":""},{"dropping-particle":"","family":"Lee","given":"Kwang Ho","non-dropping-particle":"","parse-names":false,"suffix":""},{"dropping-particle":"","family":"Kim","given":"Tae Yong","non-dropping-particle":"","parse-names":false,"suffix":""},{"dropping-particle":"","family":"Lee","given":"Sang Yup","non-dropping-particle":"","parse-names":false,"suffix":""}],"container-title":"PNAS","id":"ITEM-1","issue":"19","issued":{"date-parts":[["2007"]]},"page":"7797-7802","title":"Metabolic engineering of &lt;i&gt;Escherichia coli&lt;/i&gt; for the production of L -valine based on transcriptome analysis and in silico gene knockout simulation","type":"article-journal","volume":"104"},"uris":["http://www.mendeley.com/documents/?uuid=ccb108e1-5d0e-4e41-957a-5f94c83aca80"]}],"mendeley":{"formattedCitation":"(Park et al., 2007)","plainTextFormattedCitation":"(Park et al., 2007)","previouslyFormattedCitation":"(Park et al., 2007)"},"properties":{"noteIndex":0},"schema":"https://github.com/citation-style-language/schema/raw/master/csl-citation.json"}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(Park et al., 2007)</w:t>
            </w:r>
            <w:r w:rsidRPr="004D32BA">
              <w:rPr>
                <w:color w:val="000000"/>
                <w:sz w:val="18"/>
                <w:szCs w:val="18"/>
              </w:rPr>
              <w:fldChar w:fldCharType="end"/>
            </w:r>
          </w:p>
        </w:tc>
      </w:tr>
      <w:tr w:rsidR="00DF3B5B" w:rsidRPr="004D32BA" w14:paraId="66E6933F"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011587E2"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320AA139" w14:textId="77777777" w:rsidR="00DF3B5B" w:rsidRPr="004D32BA" w:rsidRDefault="00DF3B5B">
            <w:pPr>
              <w:jc w:val="center"/>
              <w:rPr>
                <w:sz w:val="18"/>
                <w:szCs w:val="18"/>
              </w:rPr>
            </w:pPr>
            <w:proofErr w:type="spellStart"/>
            <w:r w:rsidRPr="004D32BA">
              <w:rPr>
                <w:i/>
                <w:iCs/>
                <w:sz w:val="18"/>
                <w:szCs w:val="18"/>
              </w:rPr>
              <w:t>ace</w:t>
            </w:r>
            <w:r w:rsidRPr="004D32BA">
              <w:rPr>
                <w:sz w:val="18"/>
                <w:szCs w:val="18"/>
              </w:rPr>
              <w:t>E</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5CD7E36B"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13C71CC" w14:textId="5C82FCEA"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{"citationItems":[{"id":"ITEM-1","itemData":{"DOI":"10.1128/AEM.02826-06","ISSN":"00992240","PMID":"17293513","abstract":"Corynebacterium glutamicum was engineered for the production of L-valine from glucose by deletion of the aceE gene encoding the E1p enzyme of the pyruvate dehydrogenase complex and additional overexpression of the ilvBNCE genes encoding the L-valine biosynthetic enzymes acetohydroxyacid synthase, isomeroreductase, and transaminase B. In the absence of cellular growth, C. glutamicum ΔaceE showed a relatively high intracellular concentration of pyruvate (25.9 mM) and produced significant amounts of pyruvate, L-alanine, and L-valine from glucose as the sole carbon source. Lactate or acetate was not formed. Plasmid-bound overexpression of ilvBNCE in C. glutamicum ΔaceE resulted in an approximately 10-fold-lower intracellular pyruvate concentration (2.3 mM) and a shift of the extracellular product pattern from pyruvate and L-alanine towards L-valine. In fed-batch fermentations at high cell densities and an excess of glucose, C. glutamicum ΔaceE(pJC4ilvBNCE) produced up to 210 mM L-valine with a volumetric productivity of 10.0 mM h-1 (1.17 g l-1 h-1) and a maximum yield of about 0.6 mol per mol (0.4 g per g) of glucose. Copyright © 2007, American Society for Microbiology. All Rights Reserved.","author":[{"dropping-particle":"","family":"Blombach","given":"Bastian","non-dropping-particle":"","parse-names":false,"suffix":""},{"dropping-particle":"","family":"Schreiner","given":"Mark E.","non-dropping-particle":"","parse-names":false,"suffix":""},{"dropping-particle":"","family":"Holátko","given":"Jiří","non-dropping-particle":"","parse-names":false,"suffix":""},{"dropping-particle":"","family":"Bartek","given":"Tobias","non-dropping-particle":"","parse-names":false,"suffix":""},{"dropping-particle":"","family":"Oldiges","given":"Marco","non-dropping-particle":"","parse-names":false,"suffix":""},{"dropping-particle":"","family":"Eikmanns","given":"Bernhard J.","non-dropping-particle":"","parse-names":false,"suffix":""}],"container-title":"Applied and Environmental Microbiology","id":"ITEM-1","issue":"7","issued":{"date-parts":[["2007"]]},"page":"2079-2084","title":"L-valine production with pyruvate dehydrogenase complex-deficient &lt;i&gt;Corynebacterium glutamicum&lt;/i&gt;","type":"article-journal","volume":"73"},"uris":["http://www.mendeley.com/documents/?uuid=7ddc1854-cfc5-46d9-88e5-c9c99821ed57"]}],"mendeley":{"formattedCitation":"(Blombach et al., 2007)","plainTextFormattedCitation":"(Blombach et al., 2007)","previouslyFormattedCitation":"(Blombach et al., 2007)"},"properties":{"noteIndex":0},"schema":"https://github.com/citation-style-language/schema/raw/master/csl-citation.json"}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(Blombach et al., 2007)</w:t>
            </w:r>
            <w:r w:rsidRPr="004D32BA">
              <w:rPr>
                <w:color w:val="000000"/>
                <w:sz w:val="18"/>
                <w:szCs w:val="18"/>
              </w:rPr>
              <w:fldChar w:fldCharType="end"/>
            </w:r>
          </w:p>
        </w:tc>
      </w:tr>
      <w:tr w:rsidR="00DF3B5B" w:rsidRPr="004D32BA" w14:paraId="0DEEFE01"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36ABC68F"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BW25113</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6ED1A49" w14:textId="77777777" w:rsidR="00DF3B5B" w:rsidRPr="004D32BA" w:rsidRDefault="00DF3B5B">
            <w:pPr>
              <w:jc w:val="center"/>
              <w:rPr>
                <w:sz w:val="18"/>
                <w:szCs w:val="18"/>
              </w:rPr>
            </w:pPr>
            <w:proofErr w:type="spellStart"/>
            <w:r w:rsidRPr="004D32BA">
              <w:rPr>
                <w:i/>
                <w:iCs/>
                <w:sz w:val="18"/>
                <w:szCs w:val="18"/>
              </w:rPr>
              <w:t>adh</w:t>
            </w:r>
            <w:r w:rsidRPr="004D32BA">
              <w:rPr>
                <w:sz w:val="18"/>
                <w:szCs w:val="18"/>
              </w:rPr>
              <w:t>E</w:t>
            </w:r>
            <w:proofErr w:type="spellEnd"/>
            <w:r w:rsidRPr="004D32BA">
              <w:rPr>
                <w:sz w:val="18"/>
                <w:szCs w:val="18"/>
              </w:rPr>
              <w:t xml:space="preserve">, </w:t>
            </w:r>
            <w:proofErr w:type="spellStart"/>
            <w:r w:rsidRPr="004D32BA">
              <w:rPr>
                <w:i/>
                <w:iCs/>
                <w:sz w:val="18"/>
                <w:szCs w:val="18"/>
              </w:rPr>
              <w:t>ldh</w:t>
            </w:r>
            <w:r w:rsidRPr="004D32BA">
              <w:rPr>
                <w:sz w:val="18"/>
                <w:szCs w:val="18"/>
              </w:rPr>
              <w:t>A</w:t>
            </w:r>
            <w:proofErr w:type="spellEnd"/>
            <w:r w:rsidRPr="004D32BA">
              <w:rPr>
                <w:sz w:val="18"/>
                <w:szCs w:val="18"/>
              </w:rPr>
              <w:t xml:space="preserve">, </w:t>
            </w:r>
            <w:proofErr w:type="spellStart"/>
            <w:r w:rsidRPr="004D32BA">
              <w:rPr>
                <w:i/>
                <w:iCs/>
                <w:sz w:val="18"/>
                <w:szCs w:val="18"/>
              </w:rPr>
              <w:t>frd</w:t>
            </w:r>
            <w:r w:rsidRPr="004D32BA">
              <w:rPr>
                <w:sz w:val="18"/>
                <w:szCs w:val="18"/>
              </w:rPr>
              <w:t>BC</w:t>
            </w:r>
            <w:proofErr w:type="spellEnd"/>
            <w:r w:rsidRPr="004D32BA">
              <w:rPr>
                <w:sz w:val="18"/>
                <w:szCs w:val="18"/>
              </w:rPr>
              <w:t xml:space="preserve"> – </w:t>
            </w:r>
            <w:proofErr w:type="spellStart"/>
            <w:r w:rsidRPr="004D32BA">
              <w:rPr>
                <w:i/>
                <w:iCs/>
                <w:sz w:val="18"/>
                <w:szCs w:val="18"/>
              </w:rPr>
              <w:t>fnr</w:t>
            </w:r>
            <w:proofErr w:type="spellEnd"/>
            <w:r w:rsidRPr="004D32BA">
              <w:rPr>
                <w:sz w:val="18"/>
                <w:szCs w:val="18"/>
              </w:rPr>
              <w:t xml:space="preserve">, </w:t>
            </w:r>
            <w:proofErr w:type="spellStart"/>
            <w:r w:rsidRPr="004D32BA">
              <w:rPr>
                <w:i/>
                <w:iCs/>
                <w:sz w:val="18"/>
                <w:szCs w:val="18"/>
              </w:rPr>
              <w:t>pta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1166785" w14:textId="77777777" w:rsidR="00DF3B5B" w:rsidRPr="004D32BA" w:rsidRDefault="00DF3B5B">
            <w:pPr>
              <w:jc w:val="center"/>
              <w:rPr>
                <w:color w:val="000000"/>
                <w:sz w:val="18"/>
                <w:szCs w:val="18"/>
              </w:rPr>
            </w:pPr>
            <w:r w:rsidRPr="004D32BA">
              <w:rPr>
                <w:color w:val="000000"/>
                <w:sz w:val="18"/>
                <w:szCs w:val="18"/>
              </w:rPr>
              <w:t>Alcohols</w:t>
            </w:r>
          </w:p>
        </w:tc>
        <w:tc>
          <w:tcPr>
            <w:tcW w:w="2185" w:type="dxa"/>
            <w:tcBorders>
              <w:top w:val="single" w:sz="4" w:space="0" w:color="auto"/>
              <w:left w:val="single" w:sz="4" w:space="0" w:color="auto"/>
              <w:bottom w:val="single" w:sz="4" w:space="0" w:color="auto"/>
              <w:right w:val="single" w:sz="4" w:space="0" w:color="auto"/>
            </w:tcBorders>
            <w:vAlign w:val="center"/>
            <w:hideMark/>
          </w:tcPr>
          <w:p w14:paraId="538E1CAD" w14:textId="77777777" w:rsidR="00DF3B5B" w:rsidRPr="004D32BA" w:rsidRDefault="00DF3B5B">
            <w:pPr>
              <w:jc w:val="center"/>
              <w:rPr>
                <w:color w:val="000000"/>
                <w:sz w:val="18"/>
                <w:szCs w:val="18"/>
              </w:rPr>
            </w:pPr>
            <w:r w:rsidRPr="004D32BA">
              <w:rPr>
                <w:color w:val="000000"/>
                <w:sz w:val="18"/>
                <w:szCs w:val="18"/>
              </w:rPr>
              <w:fldChar w:fldCharType="begin" w:fldLock="1"/>
            </w:r>
            <w:r w:rsidRPr="004D32BA">
              <w:rPr>
                <w:color w:val="000000"/>
                <w:sz w:val="18"/>
                <w:szCs w:val="18"/>
              </w:rPr>
              <w:instrText>ADDIN CSL_CITATION {"citationItems":[{"id":"ITEM-1","itemData":{"DOI":"10.1038/nature06450","ISSN":"14764687","PMID":"18172501","abstract":"Global energy and environmental problems have stimulated increased efforts towards synthesizing biofuels from renewable resources. Compared to the traditional biofuel, ethanol, higher alcohols offer advantages as gasoline substitutes because of their higher energy density and lower hygroscopicity. In addition, branched-chain alcohols have higher octane numbers compared with their straight-chain counterparts. However, these alcohols cannot be synthesized economically using native organisms. Here we present a metabolic engineering approach using Escherichia coli to produce higher alcohols including isobutanol, 1-butanol, 2-methyl-1-butanol, 3-methyl-1-butanol and 2-phenylethanol from glucose, a renewable carbon source. This strategy uses the host's highly active amino acid biosynthetic pathway and diverts its 2-keto acid intermediates for alcohol synthesis. In particular, we have achieved high-yield, high-specificity production of isobutanol from glucose. The strategy enables the exploration of biofuels beyond those naturally accumulated to high quantities in microbial fermentation. ©2007 Nature Publishing Group.","author":[{"dropping-particle":"","family":"Atsumi","given":"Shota","non-dropping-particle":"","parse-names":false,"suffix":""},{"dropping-particle":"","family":"Hanai","given":"Taizo","non-dropping-particle":"","parse-names":false,"suffix":""},{"dropping-particle":"","family":"Liao","given":"James C.","non-dropping-particle":"","parse-names":false,"suffix":""}],"container-title":"Nature","id":"ITEM-1","issue":"7174","issued":{"date-parts":[["2008"]]},"page":"86-89","title":"Non-fermentative pathways for synthesis of branched-chain higher alcohols as biofuels","type":"article-journal","volume":"451"},"uris":["http://www.mendeley.com/documents/?uuid=ac43cde3-fd44-4865-abc2-405d5b3275f4"]}],"mendeley":{"formattedCitation":"(Atsumi et al., 2008)","plainTextFormattedCitation":"(Atsumi et al., 2008)","previouslyFormattedCitation":"(Atsumi et al., 2008)"},"properties":{"noteIndex":0},"schema":"https://github.com/citation-style-language/schema/raw/master/csl-citation.json"}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(Atsumi et al., 2008)</w:t>
            </w:r>
            <w:r w:rsidRPr="004D32BA">
              <w:rPr>
                <w:color w:val="000000"/>
                <w:sz w:val="18"/>
                <w:szCs w:val="18"/>
              </w:rPr>
              <w:fldChar w:fldCharType="end"/>
            </w:r>
          </w:p>
        </w:tc>
      </w:tr>
      <w:tr w:rsidR="00DF3B5B" w:rsidRPr="004D32BA" w14:paraId="0BDE1046"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2493338C"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3E2D4AC4" w14:textId="77777777" w:rsidR="00DF3B5B" w:rsidRPr="004D32BA" w:rsidRDefault="00DF3B5B">
            <w:pPr>
              <w:jc w:val="center"/>
              <w:rPr>
                <w:sz w:val="18"/>
                <w:szCs w:val="18"/>
              </w:rPr>
            </w:pP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ace</w:t>
            </w:r>
            <w:r w:rsidRPr="004D32BA">
              <w:rPr>
                <w:sz w:val="18"/>
                <w:szCs w:val="18"/>
              </w:rPr>
              <w:t>E-</w:t>
            </w:r>
            <w:r w:rsidRPr="004D32BA">
              <w:rPr>
                <w:i/>
                <w:iCs/>
                <w:sz w:val="18"/>
                <w:szCs w:val="18"/>
              </w:rPr>
              <w:t>pqo</w:t>
            </w:r>
            <w:proofErr w:type="spellEnd"/>
            <w:r w:rsidRPr="004D32BA">
              <w:rPr>
                <w:i/>
                <w:iCs/>
                <w:sz w:val="18"/>
                <w:szCs w:val="18"/>
              </w:rPr>
              <w:t xml:space="preserve">, </w:t>
            </w:r>
            <w:proofErr w:type="spellStart"/>
            <w:r w:rsidRPr="004D32BA">
              <w:rPr>
                <w:i/>
                <w:iCs/>
                <w:sz w:val="18"/>
                <w:szCs w:val="18"/>
              </w:rPr>
              <w:t>ace</w:t>
            </w:r>
            <w:r w:rsidRPr="004D32BA">
              <w:rPr>
                <w:sz w:val="18"/>
                <w:szCs w:val="18"/>
              </w:rPr>
              <w:t>E-</w:t>
            </w:r>
            <w:r w:rsidRPr="004D32BA">
              <w:rPr>
                <w:i/>
                <w:iCs/>
                <w:sz w:val="18"/>
                <w:szCs w:val="18"/>
              </w:rPr>
              <w:t>pqo-pgi</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6A9A10ED"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3883821" w14:textId="2C57B66F"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{"citationItems":[{"id":"ITEM-1","itemData":{"DOI":"10.1128/AEM.00575-11","abstract":"L-Valine can be formed successfully using C. glutamicum strains missing an active pyruvate dehydrogenase enzyme complex (PDHC). Wild-type C. glutamicum and four PDHC-deficient strains were compared by 13C metabolic flux analysis, especially focusing on the split ratio between glycolysis and the pentose phosphate pathway (PPP). Compared to the wild type, showing a carbon flux of 69% ± 14% through the PPP, a strong increase in the PPP flux was observed in PDHC-deficient strains with a maximum of 113% ± 22%. The shift in the split ratio can be explained by an increased demand of NADPH for L-valine formation. In accordance, the introduction of the Escherichia coli transhydrogenase PntAB, catalyzing the reversible conversion of NADH to NADPH, into an L-valine-producing C. glutamicum strain caused the PPP flux to decrease to 57% ± 6%, which is below the wild-type split ratio. Hence, transhydrogenase activity offers an alternative perspective for sufficient NADPH supply, which is relevant for most amino acid production systems. Moreover, as demonstrated for L-valine, this bypass leads to a significant increase of product yield due to a concurrent reduction in carbon dioxide formation via the PPP. © 2011, American Society for Microbiology.","author":[{"dropping-particle":"","family":"Bartek","given":"Tobias","non-dropping-particle":"","parse-names":false,"suffix":""},{"dropping-particle":"","family":"Blombach","given":"Bastian","non-dropping-particle":"","parse-names":false,"suffix":""},{"dropping-particle":"","family":"Lang","given":"Siegmund","non-dropping-particle":"","parse-names":false,"suffix":""},{"dropping-particle":"","family":"Eikmanns","given":"Bernhard J.","non-dropping-particle":"","parse-names":false,"suffix":""},{"dropping-particle":"","family":"Wiechert","given":"Wolfgang","non-dropping-particle":"","parse-names":false,"suffix":""},{"dropping-particle":"","family":"Oldiges","given":"Marco","non-dropping-particle":"","parse-names":false,"suffix":""},{"dropping-particle":"","family":"Nöh","given":"Katharina","non-dropping-particle":"","parse-names":false,"suffix":""},{"dropping-particle":"","family":"Noack","given":"Stephan","non-dropping-particle":"","parse-names":false,"suffix":""}],"container-title":"Applied and Environmental Microbiology","id":"ITEM-1","issue":"18","issued":{"date-parts":[["2011","9"]]},"page":"6644-6652","title":"Comparative 13C metabolic flux analysis of pyruvate dehydrogenase complex-deficient, L-valine-producing &lt;i&gt;Corynebacterium glutamicum&lt;/i&gt;","type":"article-journal","volume":"77"},"uris":["http://www.mendeley.com/documents/?uuid=0a945237-9b48-3369-a51c-57b4368884e9"]}],"mendeley":{"formattedCitation":"(Bartek et al., 2011)","plainTextFormattedCitation":"(Bartek et al., 2011)","previouslyFormattedCitation":"(Bartek et al., 2011)"},"properties":{"noteIndex":0},"schema":"https://github.com/citation-style-language/schema/raw/master/csl-citation.json"}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(Bartek et al., 2011)</w:t>
            </w:r>
            <w:r w:rsidRPr="004D32BA">
              <w:rPr>
                <w:color w:val="000000"/>
                <w:sz w:val="18"/>
                <w:szCs w:val="18"/>
              </w:rPr>
              <w:fldChar w:fldCharType="end"/>
            </w:r>
          </w:p>
        </w:tc>
      </w:tr>
      <w:tr w:rsidR="00DF3B5B" w:rsidRPr="004D32BA" w14:paraId="5A2899B0"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61230F71"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19143CDE" w14:textId="77777777" w:rsidR="00DF3B5B" w:rsidRPr="004D32BA" w:rsidRDefault="00DF3B5B">
            <w:pPr>
              <w:jc w:val="center"/>
              <w:rPr>
                <w:sz w:val="18"/>
                <w:szCs w:val="18"/>
              </w:rPr>
            </w:pPr>
            <w:proofErr w:type="spellStart"/>
            <w:r w:rsidRPr="004D32BA">
              <w:rPr>
                <w:i/>
                <w:iCs/>
                <w:sz w:val="18"/>
                <w:szCs w:val="18"/>
              </w:rPr>
              <w:t>pan</w:t>
            </w:r>
            <w:r w:rsidRPr="004D32BA">
              <w:rPr>
                <w:sz w:val="18"/>
                <w:szCs w:val="18"/>
              </w:rPr>
              <w:t>B</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386FC9D2"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339E4778" w14:textId="77777777" w:rsidR="00DF3B5B" w:rsidRPr="004D32BA" w:rsidRDefault="00DF3B5B">
            <w:pPr>
              <w:jc w:val="center"/>
              <w:rPr>
                <w:color w:val="000000"/>
                <w:sz w:val="18"/>
                <w:szCs w:val="18"/>
              </w:rPr>
            </w:pPr>
            <w:proofErr w:type="spellStart"/>
            <w:r w:rsidRPr="004D32BA">
              <w:rPr>
                <w:color w:val="000000"/>
                <w:sz w:val="18"/>
                <w:szCs w:val="18"/>
              </w:rPr>
              <w:t>Holatko</w:t>
            </w:r>
            <w:proofErr w:type="spellEnd"/>
            <w:r w:rsidRPr="004D32BA">
              <w:rPr>
                <w:color w:val="000000"/>
                <w:sz w:val="18"/>
                <w:szCs w:val="18"/>
              </w:rPr>
              <w:t>, 2009</w:t>
            </w:r>
          </w:p>
        </w:tc>
      </w:tr>
      <w:tr w:rsidR="00DF3B5B" w:rsidRPr="004D32BA" w14:paraId="71487A2F"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629CDFA2"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373C3CDE" w14:textId="77777777" w:rsidR="00DF3B5B" w:rsidRPr="004D32BA" w:rsidRDefault="00DF3B5B">
            <w:pPr>
              <w:jc w:val="center"/>
              <w:rPr>
                <w:sz w:val="18"/>
                <w:szCs w:val="18"/>
              </w:rPr>
            </w:pP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pq</w:t>
            </w:r>
            <w:r w:rsidRPr="004D32BA">
              <w:rPr>
                <w:sz w:val="18"/>
                <w:szCs w:val="18"/>
              </w:rPr>
              <w:t>o</w:t>
            </w:r>
            <w:proofErr w:type="spellEnd"/>
            <w:r w:rsidRPr="004D32BA">
              <w:rPr>
                <w:sz w:val="18"/>
                <w:szCs w:val="18"/>
              </w:rPr>
              <w:t xml:space="preserve">, </w:t>
            </w:r>
            <w:proofErr w:type="spellStart"/>
            <w:r w:rsidRPr="004D32BA">
              <w:rPr>
                <w:i/>
                <w:iCs/>
                <w:sz w:val="18"/>
                <w:szCs w:val="18"/>
              </w:rPr>
              <w:t>ilv</w:t>
            </w:r>
            <w:r w:rsidRPr="004D32BA">
              <w:rPr>
                <w:sz w:val="18"/>
                <w:szCs w:val="18"/>
              </w:rPr>
              <w:t>E</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1CF7E386" w14:textId="77777777" w:rsidR="00DF3B5B" w:rsidRPr="004D32BA" w:rsidRDefault="00DF3B5B">
            <w:pPr>
              <w:jc w:val="center"/>
              <w:rPr>
                <w:color w:val="000000"/>
                <w:sz w:val="18"/>
                <w:szCs w:val="18"/>
              </w:rPr>
            </w:pPr>
            <w:r w:rsidRPr="004D32BA">
              <w:rPr>
                <w:color w:val="000000"/>
                <w:sz w:val="18"/>
                <w:szCs w:val="18"/>
              </w:rPr>
              <w:t>2-ketoisovalerate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CE03B1B" w14:textId="0D778D5F"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{"citationItems":[{"id":"ITEM-1","itemData":{"DOI":"10.1128/AEM.01710-10","ISSN":"00992240","PMID":"20935122","abstract":"2-Ketoisovalerate is used as a therapeutic agent, and a 2-ketoisovalerate-producing organism may serve as a platform for products deriving from this 2-keto acid. We engineered the wild type of Corynebacterium glutamicum for the growth-decoupled production of 2-ketoisovalerate from glucose by deletion of the aceE gene encoding the E1p subunit of the pyruvate dehydrogenase complex, deletion of the transaminase B gene ilvE, and additional overexpression of the ilvBNCD genes, encoding the L-valine biosynthetic enzymes acetohydroxyacid synthase (AHAS), acetohydroxyacid isomeroreductase, and dihydroxyacid dehydratase. 2-Ketoisovalerate production was further improved by deletion of the pyruvate:quinone oxidoreductase gene pqo. In fed-batch fermentations at high cell densities, the newly constructed strains produced up to 188 ± 28 mM (21.8 ± 3.2 g liter&lt;-1&lt;) 2-ketoisovalerate and showed a product yield of about 0.47 ± 0.05 mol per mol (0.3 ± 0.03 g per g) of glucose and a volumetric productivity of about 4.6 ± 0.6 mM (0.53 ± 0.07 g liter&lt;-1&lt;) 2-ketoisovalerate per h in the overall production phase. In studying the influence of the three branched-chain 2-keto acids 2-ketoisovalerate, 2-ketoisocaproate, and 2-keto-3-methylvalerate on the AHAS activity, we observed a competitive inhibition of the AHAS enzyme by 2-ketoisovalerate. © 2010, American Society for Microbiology.","author":[{"dropping-particle":"","family":"Krause","given":"Felix S.","non-dropping-particle":"","parse-names":false,"suffix":""},{"dropping-particle":"","family":"Blombach","given":"Bastian","non-dropping-particle":"","parse-names":false,"suffix":""},{"dropping-particle":"","family":"Eikmanns","given":"Bernhard J.","non-dropping-particle":"","parse-names":false,"suffix":""}],"container-title":"Applied and Environmental Microbiology","id":"ITEM-1","issue":"24","issued":{"date-parts":[["2010"]]},"page":"8053-8061","title":"Metabolic engineering of &lt;i&gt;Corynebacterium glutamicum&lt;/i&gt; for 2-Ketoisovalerate production","type":"article-journal","volume":"76"},"uris":["http://www.mendeley.com/documents/?uuid=318a07aa-ba3e-4f22-a7e3-2a262442a978"]}],"mendeley":{"formattedCitation":"(Krause et al., 2010)","plainTextFormattedCitation":"(Krause et al., 2010)","previouslyFormattedCitation":"(Krause et al., 2010)"},"properties":{"noteIndex":0},"schema":"https://github.com/citation-style-language/schema/raw/master/csl-citation.json"}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(Krause et al., 2010)</w:t>
            </w:r>
            <w:r w:rsidRPr="004D32BA">
              <w:rPr>
                <w:color w:val="000000"/>
                <w:sz w:val="18"/>
                <w:szCs w:val="18"/>
              </w:rPr>
              <w:fldChar w:fldCharType="end"/>
            </w:r>
          </w:p>
        </w:tc>
      </w:tr>
      <w:tr w:rsidR="00DF3B5B" w:rsidRPr="004D32BA" w14:paraId="3DBD7B04"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04845530"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W3110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3C4CC81" w14:textId="77777777" w:rsidR="00DF3B5B" w:rsidRPr="004D32BA" w:rsidRDefault="00DF3B5B">
            <w:pPr>
              <w:jc w:val="center"/>
              <w:rPr>
                <w:sz w:val="18"/>
                <w:szCs w:val="18"/>
                <w:lang w:val="es-ES"/>
              </w:rPr>
            </w:pPr>
            <w:proofErr w:type="spellStart"/>
            <w:r w:rsidRPr="004D32BA">
              <w:rPr>
                <w:i/>
                <w:iCs/>
                <w:sz w:val="18"/>
                <w:szCs w:val="18"/>
                <w:lang w:val="es-ES"/>
              </w:rPr>
              <w:t>ilv</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leu</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pan</w:t>
            </w:r>
            <w:r w:rsidRPr="004D32BA">
              <w:rPr>
                <w:sz w:val="18"/>
                <w:szCs w:val="18"/>
                <w:lang w:val="es-ES"/>
              </w:rPr>
              <w:t>B</w:t>
            </w:r>
            <w:proofErr w:type="spellEnd"/>
            <w:r w:rsidRPr="004D32BA">
              <w:rPr>
                <w:sz w:val="18"/>
                <w:szCs w:val="18"/>
                <w:lang w:val="es-ES"/>
              </w:rPr>
              <w:t xml:space="preserve">, </w:t>
            </w:r>
            <w:proofErr w:type="spellStart"/>
            <w:r w:rsidRPr="004D32BA">
              <w:rPr>
                <w:i/>
                <w:iCs/>
                <w:sz w:val="18"/>
                <w:szCs w:val="18"/>
                <w:lang w:val="es-ES"/>
              </w:rPr>
              <w:t>ace</w:t>
            </w:r>
            <w:r w:rsidRPr="004D32BA">
              <w:rPr>
                <w:sz w:val="18"/>
                <w:szCs w:val="18"/>
                <w:lang w:val="es-ES"/>
              </w:rPr>
              <w:t>F</w:t>
            </w:r>
            <w:proofErr w:type="spellEnd"/>
            <w:r w:rsidRPr="004D32BA">
              <w:rPr>
                <w:sz w:val="18"/>
                <w:szCs w:val="18"/>
                <w:lang w:val="es-ES"/>
              </w:rPr>
              <w:t xml:space="preserve">, </w:t>
            </w:r>
            <w:proofErr w:type="spellStart"/>
            <w:r w:rsidRPr="004D32BA">
              <w:rPr>
                <w:i/>
                <w:iCs/>
                <w:sz w:val="18"/>
                <w:szCs w:val="18"/>
                <w:lang w:val="es-ES"/>
              </w:rPr>
              <w:t>mdh</w:t>
            </w:r>
            <w:proofErr w:type="spellEnd"/>
            <w:r w:rsidRPr="004D32BA">
              <w:rPr>
                <w:sz w:val="18"/>
                <w:szCs w:val="18"/>
                <w:lang w:val="es-ES"/>
              </w:rPr>
              <w:t xml:space="preserve"> y </w:t>
            </w:r>
            <w:proofErr w:type="spellStart"/>
            <w:r w:rsidRPr="004D32BA">
              <w:rPr>
                <w:i/>
                <w:iCs/>
                <w:sz w:val="18"/>
                <w:szCs w:val="18"/>
                <w:lang w:val="es-ES"/>
              </w:rPr>
              <w:t>pfk</w:t>
            </w:r>
            <w:r w:rsidRPr="004D32BA">
              <w:rPr>
                <w:sz w:val="18"/>
                <w:szCs w:val="18"/>
                <w:lang w:val="es-ES"/>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FE6684D"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153C19FB" w14:textId="5B0AB0A6"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{"citationItems":[{"id":"ITEM-1","itemData":{"DOI":"10.1002/bit.22995","ISBN":"8242869391","ISSN":"00063592","PMID":"21404266","abstract":"We have previously reported the development of a 100% genetically defined engineered Escherichia coli strain capable of producing L-valine from glucose with a high yield of 0.38g L-valine per gram glucose (0.58mol L-valine per mol glucose) by batch culture. Here we report a systems biological strategy of employing flux response analysis in bioprocess development using L-valine production by fed-batch culture as an example. Through the systems-level analysis, the source of ATP was found to be important for efficient L-valine production. There existed a trade-off between L-valine production and biomass formation, which was optimized for the most efficient L-valine production. Furthermore, acetic acid feeding strategy was optimized based on flux response analysis. The final fed-batch cultivation strategy allowed production of 32.3g/L L-valine, the highest concentration reported for E. coli. This approach of employing systems-level analysis of metabolic fluxes in developing fed-batch cultivation strategy would also be applicable in developing strategies for the efficient production of other bioproducts. © 2010 Wiley Periodicals, Inc.","author":[{"dropping-particle":"","family":"Park","given":"Jin Hwan","non-dropping-particle":"","parse-names":false,"suffix":""},{"dropping-particle":"","family":"Kim","given":"Tae Yong","non-dropping-particle":"","parse-names":false,"suffix":""},{"dropping-particle":"","family":"Lee","given":"Kwang Ho","non-dropping-particle":"","parse-names":false,"suffix":""},{"dropping-particle":"","family":"Lee","given":"Sang Yup","non-dropping-particle":"","parse-names":false,"suffix":""}],"container-title":"Biotechnology and Bioengineering","id":"ITEM-1","issue":"4","issued":{"date-parts":[["2011"]]},"page":"934-946","title":"Fed-batch culture of &lt;i&gt;Escherichia coli&lt;/i&gt; for L-valine production based on in silico flux response analysis","type":"article-journal","volume":"108"},"uris":["http://www.mendeley.com/documents/?uuid=28ca742c-ae53-4e22-8b3c-d2745313fe63"]}],"mendeley":{"formattedCitation":"(Park et al., 2011b)","plainTextFormattedCitation":"(Park et al., 2011b)","previouslyFormattedCitation":"(Park et al., 2011b)"},"properties":{"noteIndex":0},"schema":"https://github.com/citation-style-language/schema/raw/master/csl-citation.json"}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(Park et al., 2011b)</w:t>
            </w:r>
            <w:r w:rsidRPr="004D32BA">
              <w:rPr>
                <w:color w:val="000000"/>
                <w:sz w:val="18"/>
                <w:szCs w:val="18"/>
              </w:rPr>
              <w:fldChar w:fldCharType="end"/>
            </w:r>
          </w:p>
        </w:tc>
      </w:tr>
      <w:tr w:rsidR="00DF3B5B" w:rsidRPr="004D32BA" w14:paraId="3811AACC"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29251136"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W</w:t>
            </w:r>
          </w:p>
        </w:tc>
        <w:tc>
          <w:tcPr>
            <w:tcW w:w="2234" w:type="dxa"/>
            <w:tcBorders>
              <w:top w:val="single" w:sz="4" w:space="0" w:color="auto"/>
              <w:left w:val="single" w:sz="4" w:space="0" w:color="auto"/>
              <w:bottom w:val="single" w:sz="4" w:space="0" w:color="auto"/>
              <w:right w:val="single" w:sz="4" w:space="0" w:color="auto"/>
            </w:tcBorders>
            <w:vAlign w:val="center"/>
            <w:hideMark/>
          </w:tcPr>
          <w:p w14:paraId="0E120668" w14:textId="77777777" w:rsidR="00DF3B5B" w:rsidRPr="004D32BA" w:rsidRDefault="00DF3B5B">
            <w:pPr>
              <w:jc w:val="center"/>
              <w:rPr>
                <w:sz w:val="18"/>
                <w:szCs w:val="18"/>
              </w:rPr>
            </w:pPr>
            <w:proofErr w:type="spellStart"/>
            <w:r w:rsidRPr="004D32BA">
              <w:rPr>
                <w:i/>
                <w:iCs/>
                <w:sz w:val="18"/>
                <w:szCs w:val="18"/>
              </w:rPr>
              <w:t>ilv</w:t>
            </w:r>
            <w:r w:rsidRPr="004D32BA">
              <w:rPr>
                <w:sz w:val="18"/>
                <w:szCs w:val="18"/>
              </w:rPr>
              <w:t>A</w:t>
            </w:r>
            <w:proofErr w:type="spellEnd"/>
            <w:r w:rsidRPr="004D32BA">
              <w:rPr>
                <w:sz w:val="18"/>
                <w:szCs w:val="18"/>
              </w:rPr>
              <w:t xml:space="preserve">, </w:t>
            </w:r>
            <w:proofErr w:type="spellStart"/>
            <w:r w:rsidRPr="004D32BA">
              <w:rPr>
                <w:i/>
                <w:iCs/>
                <w:sz w:val="18"/>
                <w:szCs w:val="18"/>
              </w:rPr>
              <w:t>lac</w:t>
            </w:r>
            <w:r w:rsidRPr="004D32BA">
              <w:rPr>
                <w:sz w:val="18"/>
                <w:szCs w:val="18"/>
              </w:rPr>
              <w:t>I</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648C89B0"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7E8B10D5" w14:textId="7B7E54D1" w:rsidR="00DF3B5B" w:rsidRPr="004D32BA" w:rsidRDefault="00DF3B5B">
            <w:pPr>
              <w:jc w:val="center"/>
              <w:rPr>
                <w:color w:val="000000"/>
                <w:sz w:val="18"/>
                <w:szCs w:val="18"/>
              </w:rPr>
            </w:pPr>
            <w:r w:rsidRPr="004D32BA">
              <w:rPr>
                <w:color w:val="000000"/>
                <w:sz w:val="18"/>
                <w:szCs w:val="18"/>
              </w:rPr>
              <w:fldChar w:fldCharType="begin" w:fldLock="1"/>
            </w:r>
            <w:r w:rsidR="00766330">
              <w:rPr>
                <w:color w:val="000000"/>
                <w:sz w:val="18"/>
                <w:szCs w:val="18"/>
              </w:rPr>
              <w:instrText>ADDIN CSL_CITATION {"citationItems":[{"id":"ITEM-1","itemData":{"DOI":"10.1002/bit.23044","ISBN":"8242869391","author":[{"dropping-particle":"","family":"Park","given":"Jin Hwan","non-dropping-particle":"","parse-names":false,"suffix":""},{"dropping-particle":"","family":"Jang","given":"Yu-sin","non-dropping-particle":"","parse-names":false,"suffix":""},{"dropping-particle":"","family":"Lee","given":"Jeong Wook","non-dropping-particle":"","parse-names":false,"suffix":""},{"dropping-particle":"","family":"Lee","given":"Sang Yup","non-dropping-particle":"","parse-names":false,"suffix":""}],"id":"ITEM-1","issue":"5","issued":{"date-parts":[["2011"]]},"page":"1140-1147","title":"Escherichia coli W as a new platform strain for the enhanced production of L-Valine by systems metabolic engineering","type":"article-journal","volume":"108"},"uris":["http://www.mendeley.com/documents/?uuid=34ae4377-aa3b-4c05-bb26-6409653b73c5"]}],"mendeley":{"formattedCitation":"(Park et al., 2011a)","plainTextFormattedCitation":"(Park et al., 2011a)","previouslyFormattedCitation":"(Park et al., 2011a)"},"properties":{"noteIndex":0},"schema":"https://github.com/citation-style-language/schema/raw/master/csl-citation.json"}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(Park et al., 2011a)</w:t>
            </w:r>
            <w:r w:rsidRPr="004D32BA">
              <w:rPr>
                <w:color w:val="000000"/>
                <w:sz w:val="18"/>
                <w:szCs w:val="18"/>
              </w:rPr>
              <w:fldChar w:fldCharType="end"/>
            </w:r>
          </w:p>
        </w:tc>
      </w:tr>
      <w:tr w:rsidR="00DF3B5B" w:rsidRPr="004D32BA" w14:paraId="4CF45646"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18D231D9"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52CF0E39" w14:textId="77777777" w:rsidR="00DF3B5B" w:rsidRPr="004D32BA" w:rsidRDefault="00DF3B5B">
            <w:pPr>
              <w:jc w:val="center"/>
              <w:rPr>
                <w:sz w:val="18"/>
                <w:szCs w:val="18"/>
              </w:rPr>
            </w:pP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pqo</w:t>
            </w:r>
            <w:proofErr w:type="spellEnd"/>
            <w:r w:rsidRPr="004D32BA">
              <w:rPr>
                <w:sz w:val="18"/>
                <w:szCs w:val="18"/>
              </w:rPr>
              <w:t xml:space="preserve">, </w:t>
            </w:r>
            <w:proofErr w:type="spellStart"/>
            <w:r w:rsidRPr="004D32BA">
              <w:rPr>
                <w:i/>
                <w:iCs/>
                <w:sz w:val="18"/>
                <w:szCs w:val="18"/>
              </w:rPr>
              <w:t>ilvE</w:t>
            </w:r>
            <w:proofErr w:type="spellEnd"/>
            <w:r w:rsidRPr="004D32BA">
              <w:rPr>
                <w:sz w:val="18"/>
                <w:szCs w:val="18"/>
              </w:rPr>
              <w:t xml:space="preserve">, </w:t>
            </w:r>
            <w:proofErr w:type="spellStart"/>
            <w:r w:rsidRPr="004D32BA">
              <w:rPr>
                <w:i/>
                <w:iCs/>
                <w:sz w:val="18"/>
                <w:szCs w:val="18"/>
              </w:rPr>
              <w:t>ldh</w:t>
            </w:r>
            <w:r w:rsidRPr="004D32BA">
              <w:rPr>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6C6189FB" w14:textId="77777777" w:rsidR="00DF3B5B" w:rsidRPr="004D32BA" w:rsidRDefault="00DF3B5B">
            <w:pPr>
              <w:jc w:val="center"/>
              <w:rPr>
                <w:color w:val="000000"/>
                <w:sz w:val="18"/>
                <w:szCs w:val="18"/>
              </w:rPr>
            </w:pPr>
            <w:proofErr w:type="spellStart"/>
            <w:r w:rsidRPr="004D32BA">
              <w:rPr>
                <w:color w:val="000000"/>
                <w:sz w:val="18"/>
                <w:szCs w:val="18"/>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74F743E3" w14:textId="3B08301E"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{"citationItems":[{"id":"ITEM-1","itemData":{"DOI":"10.1128/AEM.02972-10","ISBN":"00992240/11","abstract":"We recently engineered Corynebacterium glutamicum for aerobic production of 2-ketoisovalerate by inacti-vation of the pyruvate dehydrogenase complex, pyruvate:quinone oxidoreductase, transaminase B, and additional overexpression of the ilvBNCD genes, encoding acetohydroxyacid synthase, acetohydroxyacid isomer-oreductase, and dihydroxyacid dehydratase. Based on this strain, we engineered C. glutamicum for the production of isobutanol from glucose under oxygen deprivation conditions by inactivation of L-lactate and malate dehydrogenases, implementation of ketoacid decarboxylase from Lactococcus lactis, alcohol dehydro-genase 2 (ADH2) from Saccharomyces cerevisiae, and expression of the pntAB transhydrogenase genes from Escherichia coli. The resulting strain produced isobutanol with a substrate-specific yield (Y P/S) of 0.60 0.02 mol per mol of glucose. Interestingly, a chromosomally encoded alcohol dehydrogenase rather than the plasmid-encoded ADH2 from S. cerevisiae was involved in isobutanol formation with C. glutamicum, and overexpression of the corresponding adhA gene increased the Y P/S to 0.77 0.01 mol of isobutanol per mol of glucose. Inactivation of the malic enzyme significantly reduced the Y P/S , indicating that the metabolic cycle consisting of pyruvate and/or phosphoenolpyruvate carboxylase, malate dehydrogenase, and malic enzyme is responsible for the conversion of NADHH to NADPHH. In fed-batch fermentations with an aerobic growth phase and an oxygen-depleted production phase, the most promising strain, C. glutamicum aceE pqo ilvE ldhA mdh(pJC4ilvBNCD-pntAB)(pBB1kivd-adhA), produced about 175 mM isobutanol, with a volu-metric productivity of 4.4 mM h 1 , and showed an overall Y P/S of about 0.48 mol per mol of glucose in the production phase.","author":[{"dropping-particle":"","family":"Blombach","given":"Bastian","non-dropping-particle":"","parse-names":false,"suffix":""},{"dropping-particle":"","family":"Riester","given":"Tanja","non-dropping-particle":"","parse-names":false,"suffix":""},{"dropping-particle":"","family":"Wieschalka","given":"Stefan","non-dropping-particle":"","parse-names":false,"suffix":""},{"dropping-particle":"","family":"Ziert","given":"Christian","non-dropping-particle":"","parse-names":false,"suffix":""},{"dropping-particle":"","family":"Youn","given":"Jung-Won","non-dropping-particle":"","parse-names":false,"suffix":""},{"dropping-particle":"","family":"Wendisch","given":"Volker F","non-dropping-particle":"","parse-names":false,"suffix":""},{"dropping-particle":"","family":"Eikmanns","given":"Bernhard J","non-dropping-particle":"","parse-names":false,"suffix":""}],"container-title":"APPLIED AND ENVIRONMENTAL MICROBIOLOGY","id":"ITEM-1","issue":"10","issued":{"date-parts":[["2011"]]},"page":"3300-3310","title":"&lt;i&gt;Corynebacterium glutamicum&lt;/i&gt; Tailored for Efficient Isobutanol Production","type":"article-journal","volume":"77"},"uris":["http://www.mendeley.com/documents/?uuid=6736b155-41f3-33e4-81ae-160952f4e3ea"]}],"mendeley":{"formattedCitation":"(Blombach et al., 2011)","plainTextFormattedCitation":"(Blombach et al., 2011)","previouslyFormattedCitation":"(Blombach et al., 2011)"},"properties":{"noteIndex":0},"schema":"https://github.com/citation-style-language/schema/raw/master/csl-citation.json"}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(Blombach et al., 2011)</w:t>
            </w:r>
            <w:r w:rsidRPr="004D32BA">
              <w:rPr>
                <w:color w:val="000000"/>
                <w:sz w:val="18"/>
                <w:szCs w:val="18"/>
              </w:rPr>
              <w:fldChar w:fldCharType="end"/>
            </w:r>
          </w:p>
        </w:tc>
      </w:tr>
      <w:tr w:rsidR="00DF3B5B" w:rsidRPr="004D32BA" w14:paraId="71FE6C6A"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549E8A2E" w14:textId="77777777" w:rsidR="00DF3B5B" w:rsidRPr="004D32BA" w:rsidRDefault="00DF3B5B">
            <w:pPr>
              <w:jc w:val="center"/>
              <w:rPr>
                <w:i/>
                <w:iCs/>
                <w:color w:val="000000"/>
                <w:sz w:val="18"/>
                <w:szCs w:val="18"/>
              </w:rPr>
            </w:pPr>
            <w:r w:rsidRPr="004D32BA">
              <w:rPr>
                <w:i/>
                <w:iCs/>
                <w:color w:val="000000"/>
                <w:sz w:val="18"/>
                <w:szCs w:val="18"/>
              </w:rPr>
              <w:t>Bacillus subtilis</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127DCE0" w14:textId="77777777" w:rsidR="00DF3B5B" w:rsidRPr="004D32BA" w:rsidRDefault="00DF3B5B">
            <w:pPr>
              <w:jc w:val="center"/>
              <w:rPr>
                <w:sz w:val="18"/>
                <w:szCs w:val="18"/>
              </w:rPr>
            </w:pPr>
            <w:proofErr w:type="spellStart"/>
            <w:r w:rsidRPr="004D32BA">
              <w:rPr>
                <w:i/>
                <w:iCs/>
                <w:sz w:val="18"/>
                <w:szCs w:val="18"/>
              </w:rPr>
              <w:t>ldh</w:t>
            </w:r>
            <w:r w:rsidRPr="004D32BA">
              <w:rPr>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5151793B" w14:textId="77777777" w:rsidR="00DF3B5B" w:rsidRPr="004D32BA" w:rsidRDefault="00DF3B5B">
            <w:pPr>
              <w:jc w:val="center"/>
              <w:rPr>
                <w:color w:val="000000"/>
                <w:sz w:val="18"/>
                <w:szCs w:val="18"/>
              </w:rPr>
            </w:pPr>
            <w:r w:rsidRPr="004D32BA">
              <w:rPr>
                <w:color w:val="000000"/>
                <w:sz w:val="18"/>
                <w:szCs w:val="18"/>
              </w:rPr>
              <w:t xml:space="preserve">2-ketoisovalerate e </w:t>
            </w:r>
            <w:proofErr w:type="spellStart"/>
            <w:r w:rsidRPr="004D32BA">
              <w:rPr>
                <w:color w:val="000000"/>
                <w:sz w:val="18"/>
                <w:szCs w:val="18"/>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3DA4AFF0" w14:textId="02B591BB" w:rsidR="00DF3B5B" w:rsidRPr="004D32BA" w:rsidRDefault="00DF3B5B">
            <w:pPr>
              <w:jc w:val="center"/>
              <w:rPr>
                <w:color w:val="000000"/>
                <w:sz w:val="18"/>
                <w:szCs w:val="18"/>
              </w:rPr>
            </w:pPr>
            <w:r w:rsidRPr="004D32BA">
              <w:rPr>
                <w:color w:val="000000"/>
                <w:sz w:val="18"/>
                <w:szCs w:val="18"/>
              </w:rPr>
              <w:fldChar w:fldCharType="begin" w:fldLock="1"/>
            </w:r>
            <w:r w:rsidR="00AA7B23" w:rsidRPr="004D32BA">
              <w:rPr>
                <w:color w:val="000000"/>
                <w:sz w:val="18"/>
                <w:szCs w:val="18"/>
              </w:rPr>
              <w:instrText>ADDIN CSL_CITATION {"citationItems":[{"id":"ITEM-1","itemData":{"DOI":"10.1007/s00253-011-3280-9","ISBN":"0025301132809","ISSN":"01757598","PMID":"21533914","abstract":"In the present work, Bacillus subtilis was engineered as the cell factory for isobutanol production due to its high tolerance to isobutanol. Initially, an efficient heterologous Ehrlich pathway controlled by the promoter P 43 was introduced into B. subtilis for the isobutanol biosynthesis. Further, investigation of acetolactate synthase of B. subtilis, ketol-acid reductoisomerase, and dihydroxy-acid dehydratase of Corynebacterium glutamicum responsible for 2-ketoisovalerate precursor biosynthesis showed that acetolactate synthase played an important role in isobutanol biosynthesis. The overexpression of acetolactate synthase led to a 2.8-fold isobutanol production compared with the control. Apart from isobutanol, alcoholic profile analysis also confirmed the existence of 1.21 g/L ethanol, 1.06 g/L 2-phenylethanol, as well as traces of 2-methyl-1-butanol and 3-methyl-1-butanol in the fermentation broth. Under microaerobic condition, the engineered B. subtilis produced up to 2.62 g/L isobutanol in shake-flask fed-batch fermentation, which was 21.3% higher than that in batch fermentation. © 2011 Springer-Verlag.","author":[{"dropping-particle":"","family":"Li","given":"Shanshan","non-dropping-particle":"","parse-names":false,"suffix":""},{"dropping-particle":"","family":"Wen","given":"Jianping","non-dropping-particle":"","parse-names":false,"suffix":""},{"dropping-particle":"","family":"Jia","given":"Xiaoqiang","non-dropping-particle":"","parse-names":false,"suffix":""}],"container-title":"Applied Microbiology and Biotechnology","id":"ITEM-1","issue":"3","issued":{"date-parts":[["2011"]]},"page":"577-589","title":"Engineering &lt;i&gt;Bacillus subtilis&lt;/i&gt; for isobutanol production by heterologous Ehrlich pathway construction and the biosynthetic 2-ketoisovalerate precursor pathway overexpression","type":"article-journal","volume":"91"},"uris":["http://www.mendeley.com/documents/?uuid=5303d316-2675-4782-b2ea-7c6d71e73e1b"]}],"mendeley":{"formattedCitation":"(Li et al., 2011)","plainTextFormattedCitation":"(Li et al., 2011)","previouslyFormattedCitation":"(Li et al., 2011)"},"properties":{"noteIndex":0},"schema":"https://github.com/citation-style-language/schema/raw/master/csl-citation.json"}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(Li et al., 2011)</w:t>
            </w:r>
            <w:r w:rsidRPr="004D32BA">
              <w:rPr>
                <w:color w:val="000000"/>
                <w:sz w:val="18"/>
                <w:szCs w:val="18"/>
              </w:rPr>
              <w:fldChar w:fldCharType="end"/>
            </w:r>
          </w:p>
        </w:tc>
      </w:tr>
      <w:tr w:rsidR="00DF3B5B" w:rsidRPr="004D32BA" w14:paraId="2E6B996A"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489223BB" w14:textId="77777777" w:rsidR="00DF3B5B" w:rsidRPr="004D32BA" w:rsidRDefault="00DF3B5B">
            <w:pPr>
              <w:jc w:val="center"/>
              <w:rPr>
                <w:i/>
                <w:iCs/>
                <w:color w:val="000000"/>
                <w:sz w:val="18"/>
                <w:szCs w:val="18"/>
              </w:rPr>
            </w:pPr>
            <w:r w:rsidRPr="004D32BA">
              <w:rPr>
                <w:i/>
                <w:iCs/>
                <w:color w:val="000000"/>
                <w:sz w:val="18"/>
                <w:szCs w:val="18"/>
              </w:rPr>
              <w:t>Saccharomyces cerevisiae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9719547" w14:textId="77777777" w:rsidR="00DF3B5B" w:rsidRPr="004D32BA" w:rsidRDefault="00DF3B5B">
            <w:pPr>
              <w:jc w:val="center"/>
              <w:rPr>
                <w:sz w:val="18"/>
                <w:szCs w:val="18"/>
              </w:rPr>
            </w:pPr>
            <w:proofErr w:type="spellStart"/>
            <w:r w:rsidRPr="004D32BA">
              <w:rPr>
                <w:i/>
                <w:iCs/>
                <w:sz w:val="18"/>
                <w:szCs w:val="18"/>
              </w:rPr>
              <w:t>yqh</w:t>
            </w:r>
            <w:r w:rsidRPr="004D32BA">
              <w:rPr>
                <w:sz w:val="18"/>
                <w:szCs w:val="18"/>
              </w:rPr>
              <w:t>D</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5787E31" w14:textId="77777777" w:rsidR="00DF3B5B" w:rsidRPr="004D32BA" w:rsidRDefault="00DF3B5B">
            <w:pPr>
              <w:jc w:val="center"/>
              <w:rPr>
                <w:color w:val="000000"/>
                <w:sz w:val="18"/>
                <w:szCs w:val="18"/>
              </w:rPr>
            </w:pPr>
            <w:r w:rsidRPr="004D32BA">
              <w:rPr>
                <w:color w:val="000000"/>
                <w:sz w:val="18"/>
                <w:szCs w:val="18"/>
              </w:rPr>
              <w:t>2-ketoisovalerate decarboxylase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7A8DD685" w14:textId="4C31F5E9" w:rsidR="00DF3B5B" w:rsidRPr="004D32BA" w:rsidRDefault="00DF3B5B">
            <w:pPr>
              <w:jc w:val="center"/>
              <w:rPr>
                <w:color w:val="000000"/>
                <w:sz w:val="18"/>
                <w:szCs w:val="18"/>
              </w:rPr>
            </w:pPr>
            <w:r w:rsidRPr="004D32BA">
              <w:rPr>
                <w:color w:val="000000"/>
                <w:sz w:val="18"/>
                <w:szCs w:val="18"/>
              </w:rPr>
              <w:fldChar w:fldCharType="begin" w:fldLock="1"/>
            </w:r>
            <w:r w:rsidR="00AA7B23" w:rsidRPr="004D32BA">
              <w:rPr>
                <w:color w:val="000000"/>
                <w:sz w:val="18"/>
                <w:szCs w:val="18"/>
              </w:rPr>
              <w:instrText>ADDIN CSL_CITATION {"citationItems":[{"id":"ITEM-1","itemData":{"DOI":"10.1007/s00449-012-0736-y","ISSN":"16157591","PMID":"22543927","abstract":"Engineering of Saccharomyces cerevisiae to produce advanced biofuels such as isobutanol has received much attention because this yeast has a natural capacity to produce higher alcohols. In this study, construction of isobutanol production systemswas attempted by overexpression of effective 2-keto acid decarboxylase (KDC) and combinatorial overexpression of valine biosynthetic enzymes in S. cerevisiae D452-2. Among the six putative KDC enzymes from various microorganisms, 2-ketoisovalerate decarboxylase (Kivd) from L. lactis subsp. lactis KACC 13877 was identified as the most suitableKDCfor isobutanol production in the yeast. Isobutanol production by the engineered S. cerevisiae was assessed in micro-aerobic batch fermentations using glucose as a sole carbon source. 93 mg/L isobutanol was produced in the Kivd overexpressing strain, which corresponds to a fourfold improvement as compared with the control strain. Isobutanol production was further enhanced to 151 mg/L by additional overexpression of acetolactate synthase (Ilv2p), acetohydroxyacid reductoisomerase (Ilv5p), and dihydroxyacid dehydratase (Ilv3p) in the cytosol. © Springer-Verlag 2012.","author":[{"dropping-particle":"","family":"Lee","given":"Won Heong","non-dropping-particle":"","parse-names":false,"suffix":""},{"dropping-particle":"","family":"Seo","given":"Seung Oh","non-dropping-particle":"","parse-names":false,"suffix":""},{"dropping-particle":"","family":"Bae","given":"Yi Hyun","non-dropping-particle":"","parse-names":false,"suffix":""},{"dropping-particle":"","family":"Nan","given":"Hong","non-dropping-particle":"","parse-names":false,"suffix":""},{"dropping-particle":"","family":"Jin","given":"Yong Su","non-dropping-particle":"","parse-names":false,"suffix":""},{"dropping-particle":"","family":"Seo","given":"Jin Ho","non-dropping-particle":"","parse-names":false,"suffix":""}],"container-title":"Bioprocess and Biosystems Engineering","id":"ITEM-1","issue":"9","issued":{"date-parts":[["2012"]]},"page":"1467-1475","title":"Isobutanol production in engineered &lt;i&gt;Saccharomyces cerevisiae&lt;/i&gt; by overexpression of 2-ketoisovalerate decarboxylase and valine biosynthetic enzymes","type":"article-journal","volume":"35"},"uris":["http://www.mendeley.com/documents/?uuid=b8cb5ae0-2244-4ae1-b42d-207ab40c9408"]}],"mendeley":{"formattedCitation":"(Lee et al., 2012)","plainTextFormattedCitation":"(Lee et al., 2012)","previouslyFormattedCitation":"(Lee et al., 2012)"},"properties":{"noteIndex":0},"schema":"https://github.com/citation-style-language/schema/raw/master/csl-citation.json"}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(Lee et al., 2012)</w:t>
            </w:r>
            <w:r w:rsidRPr="004D32BA">
              <w:rPr>
                <w:color w:val="000000"/>
                <w:sz w:val="18"/>
                <w:szCs w:val="18"/>
              </w:rPr>
              <w:fldChar w:fldCharType="end"/>
            </w:r>
          </w:p>
        </w:tc>
      </w:tr>
      <w:tr w:rsidR="00DF3B5B" w:rsidRPr="004D32BA" w14:paraId="2FD286C7"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70E93CF7" w14:textId="77777777" w:rsidR="00DF3B5B" w:rsidRPr="004D32BA" w:rsidRDefault="00DF3B5B">
            <w:pPr>
              <w:jc w:val="center"/>
              <w:rPr>
                <w:i/>
                <w:iCs/>
                <w:color w:val="000000"/>
                <w:sz w:val="18"/>
                <w:szCs w:val="18"/>
              </w:rPr>
            </w:pPr>
            <w:proofErr w:type="spellStart"/>
            <w:r w:rsidRPr="004D32BA">
              <w:rPr>
                <w:i/>
                <w:iCs/>
                <w:color w:val="000000"/>
                <w:sz w:val="18"/>
                <w:szCs w:val="18"/>
              </w:rPr>
              <w:t>Brevibacterium</w:t>
            </w:r>
            <w:proofErr w:type="spellEnd"/>
            <w:r w:rsidRPr="004D32BA">
              <w:rPr>
                <w:i/>
                <w:iCs/>
                <w:color w:val="000000"/>
                <w:sz w:val="18"/>
                <w:szCs w:val="18"/>
              </w:rPr>
              <w:t xml:space="preserve"> flavum</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ED4B82E" w14:textId="77777777" w:rsidR="00DF3B5B" w:rsidRPr="004D32BA" w:rsidRDefault="00DF3B5B">
            <w:pPr>
              <w:jc w:val="center"/>
              <w:rPr>
                <w:sz w:val="18"/>
                <w:szCs w:val="18"/>
              </w:rPr>
            </w:pPr>
            <w:proofErr w:type="spellStart"/>
            <w:r w:rsidRPr="004D32BA">
              <w:rPr>
                <w:i/>
                <w:iCs/>
                <w:sz w:val="18"/>
                <w:szCs w:val="18"/>
              </w:rPr>
              <w:t>avt</w:t>
            </w:r>
            <w:r w:rsidRPr="004D32BA">
              <w:rPr>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1AA9EA5" w14:textId="77777777" w:rsidR="00DF3B5B" w:rsidRPr="004D32BA" w:rsidRDefault="00DF3B5B" w:rsidP="007C5FA8">
            <w:pPr>
              <w:ind w:left="708" w:hanging="708"/>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994E2EE" w14:textId="62954A63"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{"citationItems":[{"id":"ITEM-1","itemData":{"DOI":"10.1007/S00726-012-1308-9","ISSN":"1438-2199","abstract":"Corynebacterium glutamicum ATCC13032 and Brevibacterium flavum JV16 were engineered for l-valine production by over-expressing ilvEBN r C genes at 31 °C in 72 h fermentation. Different strategies were carried out to reduce the by-products’ accumulation in l-valine fermentation and also to increase the availability of precursor for l-valine biosynthesis. The native promoter of ilvA of C. glutamicum was replaced with a weak promoter MPilvA (P-ilvAM1CG) to reduce the biosynthetic rate of l-isoleucine. Effect of different relative dissolved oxygen on l-valine production and by-products’ formation was recorded, indicating that 15 % saturation may be the most appropriate relative dissolved oxygen for l-valine fermentation with almost no l-lactic acid and l-glutamate formed. To minimize l-alanine accumulation, alaT and/or avtA was inactivated in C. glutamicum and B. flavum, respectively. Compared to high concentration of l-alanine accumulated by alaT inactivated strains harboring ilvEBN r C genes, l-alanine concentration was reduced to 0.18 g/L by C. glutamicum ATCC13032MPilvA</w:instrText>
            </w:r>
            <w:r w:rsidR="00F25170" w:rsidRPr="004D32BA">
              <w:rPr>
                <w:rFonts w:ascii="Cambria Math" w:hAnsi="Cambria Math" w:cs="Cambria Math"/>
                <w:color w:val="000000"/>
                <w:sz w:val="18"/>
                <w:szCs w:val="18"/>
              </w:rPr>
              <w:instrText>△</w:instrText>
            </w:r>
            <w:r w:rsidR="00F25170" w:rsidRPr="004D32BA">
              <w:rPr>
                <w:color w:val="000000"/>
                <w:sz w:val="18"/>
                <w:szCs w:val="18"/>
              </w:rPr>
              <w:instrText>avtA pDXW-8-ilvEBN r C, and 0.22 g/L by B. flavum JV16avtA::Cm pDXW-8-ilvEBN r C. Meanwhile, l-valine production and conversion efficiency were enhanced to 31.15 g/L and 0.173 g/g by C. glutamicum ATCC13032MPilvA</w:instrText>
            </w:r>
            <w:r w:rsidR="00F25170" w:rsidRPr="004D32BA">
              <w:rPr>
                <w:rFonts w:ascii="Cambria Math" w:hAnsi="Cambria Math" w:cs="Cambria Math"/>
                <w:color w:val="000000"/>
                <w:sz w:val="18"/>
                <w:szCs w:val="18"/>
              </w:rPr>
              <w:instrText>△</w:instrText>
            </w:r>
            <w:r w:rsidR="00F25170" w:rsidRPr="004D32BA">
              <w:rPr>
                <w:color w:val="000000"/>
                <w:sz w:val="18"/>
                <w:szCs w:val="18"/>
              </w:rPr>
              <w:instrText>avtA pDXW-8-ilvEBN r C, 38.82 g/L and 0.252 g/g by B. flavum JV16avtA::Cm pDXW-8-ilvEBN r C. This study provides combined strategies to improve l-valine yield by minimization of by-products’ production.","author":[{"dropping-particle":"","family":"Hou","given":"Xiaohu","non-dropping-particle":"","parse-names":false,"suffix":""},{"dropping-particle":"","family":"Chen","given":"Xinde","non-dropping-particle":"","parse-names":false,"suffix":""},{"dropping-particle":"","family":"Zhang","given":"Yue","non-dropping-particle":"","parse-names":false,"suffix":""},{"dropping-particle":"","family":"Qian","given":"He","non-dropping-particle":"","parse-names":false,"suffix":""},{"dropping-particle":"","family":"Zhang","given":"Weiguo","non-dropping-particle":"","parse-names":false,"suffix":""}],"container-title":"Amino Acids 2012 43:6","id":"ITEM-1","issue":"6","issued":{"date-parts":[["2012","5","3"]]},"page":"2301-2311","publisher":"Springer","title":"l-Valine production with minimization of by-products’ synthesis in &lt;i&gt;Corynebacterium glutamicum&lt;/i&gt; and &lt;i&gt;Brevibacterium flavum&lt;/i&gt;","type":"article-journal","volume":"43"},"uris":["http://www.mendeley.com/documents/?uuid=d8660256-f9fc-33e1-9171-9e17d4e14251"]}],"mendeley":{"formattedCitation":"(Hou et al., 2012)","plainTextFormattedCitation":"(Hou et al., 2012)","previouslyFormattedCitation":"(Hou et al., 2012)"},"properties":{"noteIndex":0},"schema":"https://github.com/citation-style-language/schema/raw/master/csl-citation.json"}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(Hou et al., 2012)</w:t>
            </w:r>
            <w:r w:rsidRPr="004D32BA">
              <w:rPr>
                <w:color w:val="000000"/>
                <w:sz w:val="18"/>
                <w:szCs w:val="18"/>
              </w:rPr>
              <w:fldChar w:fldCharType="end"/>
            </w:r>
          </w:p>
        </w:tc>
      </w:tr>
      <w:tr w:rsidR="00DF3B5B" w:rsidRPr="00EF447E" w14:paraId="411BE800"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3A89413F"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3E98EAFC" w14:textId="77777777" w:rsidR="00DF3B5B" w:rsidRPr="004D32BA" w:rsidRDefault="00DF3B5B">
            <w:pPr>
              <w:jc w:val="center"/>
              <w:rPr>
                <w:sz w:val="18"/>
                <w:szCs w:val="18"/>
              </w:rPr>
            </w:pPr>
            <w:r w:rsidRPr="004D32BA">
              <w:rPr>
                <w:sz w:val="18"/>
                <w:szCs w:val="18"/>
              </w:rPr>
              <w:t>L-</w:t>
            </w:r>
            <w:proofErr w:type="spellStart"/>
            <w:r w:rsidRPr="004D32BA">
              <w:rPr>
                <w:sz w:val="18"/>
                <w:szCs w:val="18"/>
              </w:rPr>
              <w:t>valina</w:t>
            </w:r>
            <w:proofErr w:type="spellEnd"/>
            <w:r w:rsidRPr="004D32BA">
              <w:rPr>
                <w:sz w:val="18"/>
                <w:szCs w:val="18"/>
              </w:rPr>
              <w:t xml:space="preserve">: </w:t>
            </w: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pqo</w:t>
            </w:r>
            <w:proofErr w:type="spellEnd"/>
            <w:r w:rsidRPr="004D32BA">
              <w:rPr>
                <w:sz w:val="18"/>
                <w:szCs w:val="18"/>
              </w:rPr>
              <w:t xml:space="preserve">; </w:t>
            </w:r>
            <w:proofErr w:type="spellStart"/>
            <w:r w:rsidRPr="004D32BA">
              <w:rPr>
                <w:i/>
                <w:iCs/>
                <w:sz w:val="18"/>
                <w:szCs w:val="18"/>
              </w:rPr>
              <w:t>pqo</w:t>
            </w:r>
            <w:proofErr w:type="spellEnd"/>
            <w:r w:rsidRPr="004D32BA">
              <w:rPr>
                <w:sz w:val="18"/>
                <w:szCs w:val="18"/>
              </w:rPr>
              <w:t xml:space="preserve">, </w:t>
            </w:r>
            <w:proofErr w:type="spellStart"/>
            <w:r w:rsidRPr="004D32BA">
              <w:rPr>
                <w:i/>
                <w:iCs/>
                <w:sz w:val="18"/>
                <w:szCs w:val="18"/>
              </w:rPr>
              <w:t>ppc</w:t>
            </w:r>
            <w:proofErr w:type="spellEnd"/>
            <w:r w:rsidRPr="004D32BA">
              <w:rPr>
                <w:sz w:val="18"/>
                <w:szCs w:val="18"/>
              </w:rPr>
              <w:t xml:space="preserve">. 2-KIV: </w:t>
            </w: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pqo</w:t>
            </w:r>
            <w:proofErr w:type="spellEnd"/>
            <w:r w:rsidRPr="004D32BA">
              <w:rPr>
                <w:sz w:val="18"/>
                <w:szCs w:val="18"/>
              </w:rPr>
              <w:t xml:space="preserve">, </w:t>
            </w:r>
            <w:proofErr w:type="spellStart"/>
            <w:r w:rsidRPr="004D32BA">
              <w:rPr>
                <w:i/>
                <w:iCs/>
                <w:sz w:val="18"/>
                <w:szCs w:val="18"/>
              </w:rPr>
              <w:t>ilv</w:t>
            </w:r>
            <w:r w:rsidRPr="004D32BA">
              <w:rPr>
                <w:sz w:val="18"/>
                <w:szCs w:val="18"/>
              </w:rPr>
              <w:t>E</w:t>
            </w:r>
            <w:proofErr w:type="spellEnd"/>
            <w:r w:rsidRPr="004D32BA">
              <w:rPr>
                <w:sz w:val="18"/>
                <w:szCs w:val="18"/>
              </w:rPr>
              <w:t xml:space="preserve">; </w:t>
            </w:r>
            <w:proofErr w:type="spellStart"/>
            <w:r w:rsidRPr="004D32BA">
              <w:rPr>
                <w:i/>
                <w:iCs/>
                <w:sz w:val="18"/>
                <w:szCs w:val="18"/>
              </w:rPr>
              <w:t>pqo</w:t>
            </w:r>
            <w:proofErr w:type="spellEnd"/>
            <w:r w:rsidRPr="004D32BA">
              <w:rPr>
                <w:sz w:val="18"/>
                <w:szCs w:val="18"/>
              </w:rPr>
              <w:t xml:space="preserve">, </w:t>
            </w:r>
            <w:proofErr w:type="spellStart"/>
            <w:r w:rsidRPr="004D32BA">
              <w:rPr>
                <w:i/>
                <w:iCs/>
                <w:sz w:val="18"/>
                <w:szCs w:val="18"/>
              </w:rPr>
              <w:t>ppc</w:t>
            </w:r>
            <w:proofErr w:type="spellEnd"/>
            <w:r w:rsidRPr="004D32BA">
              <w:rPr>
                <w:sz w:val="18"/>
                <w:szCs w:val="18"/>
              </w:rPr>
              <w:t xml:space="preserve">, </w:t>
            </w:r>
            <w:proofErr w:type="spellStart"/>
            <w:r w:rsidRPr="004D32BA">
              <w:rPr>
                <w:i/>
                <w:iCs/>
                <w:sz w:val="18"/>
                <w:szCs w:val="18"/>
              </w:rPr>
              <w:t>ilv</w:t>
            </w:r>
            <w:r w:rsidRPr="004D32BA">
              <w:rPr>
                <w:sz w:val="18"/>
                <w:szCs w:val="18"/>
              </w:rPr>
              <w:t>E</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B7BA6A8" w14:textId="77777777" w:rsidR="00DF3B5B" w:rsidRPr="004D32BA" w:rsidRDefault="00DF3B5B">
            <w:pPr>
              <w:jc w:val="center"/>
              <w:rPr>
                <w:color w:val="000000"/>
                <w:sz w:val="18"/>
                <w:szCs w:val="18"/>
              </w:rPr>
            </w:pPr>
            <w:r w:rsidRPr="004D32BA">
              <w:rPr>
                <w:color w:val="000000"/>
                <w:sz w:val="18"/>
                <w:szCs w:val="18"/>
              </w:rPr>
              <w:t>L-valine y 2-ketoisovalerate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1B53E18" w14:textId="2A12BC89" w:rsidR="00DF3B5B" w:rsidRPr="004D32BA" w:rsidRDefault="00DF3B5B">
            <w:pPr>
              <w:jc w:val="center"/>
              <w:rPr>
                <w:color w:val="000000"/>
                <w:sz w:val="18"/>
                <w:szCs w:val="18"/>
              </w:rPr>
            </w:pPr>
            <w:r w:rsidRPr="004D32BA">
              <w:rPr>
                <w:color w:val="000000"/>
                <w:sz w:val="18"/>
                <w:szCs w:val="18"/>
              </w:rPr>
              <w:fldChar w:fldCharType="begin" w:fldLock="1"/>
            </w:r>
            <w:r w:rsidR="00766330">
              <w:rPr>
                <w:color w:val="000000"/>
                <w:sz w:val="18"/>
                <w:szCs w:val="18"/>
              </w:rPr>
              <w:instrText>ADDIN CSL_CITATION {"citationItems":[{"id":"ITEM-1","itemData":{"DOI":"10.1128/AEM.01741-13","ISSN":"00992240","PMID":"23835179","abstract":"Exchange of the native Corynebacterium glutamicum promoter of the aceE gene, encoding the E1p subunit of the pyruvate dehydrogenase complex (PDHC), with mutated dapA promoter variants led to a series of C. glutamicum strains with gradually reduced growth rates and PDHC activities. Upon overexpression of the L-valine biosynthetic genes ilvBNCE, all strains produced L-valine. Among these strains, C. glutamicum aceE A16 (pJC4 ilvBNCE) showed the highest biomass and product yields, and thus it was further improved by additional deletion of the pqo and ppc genes, encoding pyruvate:quinone oxidoreductase and phosphoenolpyruvate carboxylase, respectively. In fed-batch fermentations at high cell densities, C. glutamicum aceE A16 δpqo δppc (pJC4 ilvBNCE) produced up to 738mM(i.e., 86.5 g/liter) L-valine with an overall yield (YP/S) of 0.36 mol per mol of glucose and a volumetric productivity (QP) of 13.6mMper h [1.6 g/(liter×h)]. Additional inactivation of the transaminase B gene (ilvE) and overexpression of ilvBNCD instead of ilvBNCE transformed the L-valine-producing strain into a 2-ketoisovalerate producer, excreting up to 303mM(35 g/liter) 2-ketoisovalerate with a YP/S of 0.24 mol per mol of glucose and a QP of 6.9mMper h [0.8 g/(liter×h)]. The replacement of the aceE promoter by the dapA-A16 promoter in the two C. glutamicum L-lysine producers DM1800 and DM1933 improved the production by 100% and 44%, respectively. These results demonstrate that C. glutamicum strains with reduced PDHC activity are an excellent platform for the production of pyruvate-derived products. © 2013, American Society for Microbiology.","author":[{"dropping-particle":"","family":"Buchholz","given":"Jens","non-dropping-particle":"","parse-names":false,"suffix":""},{"dropping-particle":"","family":"Schwentner","given":"Andreas","non-dropping-particle":"","parse-names":false,"suffix":""},{"dropping-particle":"","family":"Brunnenkan","given":"Britta","non-dropping-particle":"","parse-names":false,"suffix":""},{"dropping-particle":"","family":"Gabris","given":"Christina","non-dropping-particle":"","parse-names":false,"suffix":""},{"dropping-particle":"","family":"Grimm","given":"Simon","non-dropping-particle":"","parse-names":false,"suffix":""},{"dropping-particle":"","family":"Gerstmeir","given":"Robert","non-dropping-particle":"","parse-names":false,"suffix":""},{"dropping-particle":"","family":"Takors","given":"Ralf","non-dropping-particle":"","parse-names":false,"suffix":""},{"dropping-particle":"","family":"Eikmanns","given":"Bernhard J.","non-dropping-particle":"","parse-names":false,"suffix":""},{"dropping-particle":"","family":"Blombacha","given":"Bastian","non-dropping-particle":"","parse-names":false,"suffix":""}],"container-title":"Applied and Environmental Microbiology","id":"ITEM-1","issue":"18","issued":{"date-parts":[["2013"]]},"page":"5566-5575","title":"Platform engineering of &lt;i&gt;Corynebacterium glutamicum&lt;/i&gt; with reduced pyruvate dehydrogenase complex activity for improved production of l-lysine, l-valine, and 2-ketoisovalerate","type":"article-journal","volume":"79"},"uris":["http://www.mendeley.com/documents/?uuid=06b966c6-c46d-4d1e-96d8-7d71b507c52c"]}],"mendeley":{"formattedCitation":"(Buchholz et al., 2013)","plainTextFormattedCitation":"(Buchholz et al., 2013)","previouslyFormattedCitation":"(Buchholz et al., 2013)"},"properties":{"noteIndex":0},"schema":"https://github.com/citation-style-language/schema/raw/master/csl-citation.json"}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(Buchholz et al., 2013)</w:t>
            </w:r>
            <w:r w:rsidRPr="004D32BA">
              <w:rPr>
                <w:color w:val="000000"/>
                <w:sz w:val="18"/>
                <w:szCs w:val="18"/>
              </w:rPr>
              <w:fldChar w:fldCharType="end"/>
            </w:r>
          </w:p>
        </w:tc>
      </w:tr>
      <w:tr w:rsidR="00DF3B5B" w:rsidRPr="004D32BA" w14:paraId="6EB45311"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66A01433"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2633DE51" w14:textId="21B7A751" w:rsidR="00DF3B5B" w:rsidRPr="004D32BA" w:rsidRDefault="00DF3B5B">
            <w:pPr>
              <w:jc w:val="center"/>
              <w:rPr>
                <w:sz w:val="18"/>
                <w:szCs w:val="18"/>
              </w:rPr>
            </w:pPr>
            <w:proofErr w:type="spellStart"/>
            <w:r w:rsidRPr="004D32BA">
              <w:rPr>
                <w:i/>
                <w:iCs/>
                <w:sz w:val="18"/>
                <w:szCs w:val="18"/>
              </w:rPr>
              <w:t>pep</w:t>
            </w:r>
            <w:r w:rsidRPr="004D32BA">
              <w:rPr>
                <w:sz w:val="18"/>
                <w:szCs w:val="18"/>
              </w:rPr>
              <w:t>C</w:t>
            </w:r>
            <w:proofErr w:type="spellEnd"/>
            <w:r w:rsidRPr="004D32BA">
              <w:rPr>
                <w:sz w:val="18"/>
                <w:szCs w:val="18"/>
              </w:rPr>
              <w:t xml:space="preserve">, </w:t>
            </w:r>
            <w:proofErr w:type="spellStart"/>
            <w:r w:rsidRPr="004D32BA">
              <w:rPr>
                <w:i/>
                <w:iCs/>
                <w:sz w:val="18"/>
                <w:szCs w:val="18"/>
              </w:rPr>
              <w:t>ldh</w:t>
            </w:r>
            <w:proofErr w:type="spellEnd"/>
            <w:r w:rsidRPr="004D32BA">
              <w:rPr>
                <w:sz w:val="18"/>
                <w:szCs w:val="18"/>
              </w:rPr>
              <w:t xml:space="preserve">, </w:t>
            </w:r>
            <w:proofErr w:type="spellStart"/>
            <w:r w:rsidRPr="004D32BA">
              <w:rPr>
                <w:i/>
                <w:iCs/>
                <w:sz w:val="18"/>
                <w:szCs w:val="18"/>
              </w:rPr>
              <w:t>avt</w:t>
            </w:r>
            <w:r w:rsidRPr="004D32BA">
              <w:rPr>
                <w:sz w:val="18"/>
                <w:szCs w:val="18"/>
              </w:rPr>
              <w:t>A</w:t>
            </w:r>
            <w:proofErr w:type="spellEnd"/>
            <w:r w:rsidRPr="004D32BA">
              <w:rPr>
                <w:sz w:val="18"/>
                <w:szCs w:val="18"/>
              </w:rPr>
              <w:t xml:space="preserve">, </w:t>
            </w:r>
            <w:proofErr w:type="spellStart"/>
            <w:r w:rsidRPr="004D32BA">
              <w:rPr>
                <w:i/>
                <w:iCs/>
                <w:sz w:val="18"/>
                <w:szCs w:val="18"/>
              </w:rPr>
              <w:t>ctf</w:t>
            </w:r>
            <w:proofErr w:type="spellEnd"/>
            <w:r w:rsidRPr="004D32BA">
              <w:rPr>
                <w:sz w:val="18"/>
                <w:szCs w:val="18"/>
              </w:rPr>
              <w:t xml:space="preserve">, </w:t>
            </w:r>
            <w:proofErr w:type="spellStart"/>
            <w:r w:rsidRPr="004D32BA">
              <w:rPr>
                <w:i/>
                <w:iCs/>
                <w:sz w:val="18"/>
                <w:szCs w:val="18"/>
              </w:rPr>
              <w:t>ack</w:t>
            </w:r>
            <w:r w:rsidR="007F709A" w:rsidRPr="004D32BA">
              <w:rPr>
                <w:iCs/>
                <w:sz w:val="18"/>
                <w:szCs w:val="18"/>
              </w:rPr>
              <w:t>A</w:t>
            </w:r>
            <w:proofErr w:type="spellEnd"/>
            <w:r w:rsidRPr="004D32BA">
              <w:rPr>
                <w:sz w:val="18"/>
                <w:szCs w:val="18"/>
              </w:rPr>
              <w:t xml:space="preserve">, </w:t>
            </w:r>
            <w:proofErr w:type="spellStart"/>
            <w:r w:rsidRPr="004D32BA">
              <w:rPr>
                <w:i/>
                <w:iCs/>
                <w:sz w:val="18"/>
                <w:szCs w:val="18"/>
              </w:rPr>
              <w:t>pta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2EE49195"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11B1D7E6" w14:textId="3B5DD75F"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{"citationItems":[{"id":"ITEM-1","itemData":{"DOI":"10.1128/AEM.02806-12","ISSN":"00992240","PMID":"23241971","abstract":"We previously demonstrated efficient L-valine production by metabolically engineered Corynebacterium glutamicum under oxygen deprivation. To achieve the high productivity, a NADH/NADPH cofactor imbalance during the synthesis of L-valine was overcome by engineering NAD-preferring mutant acetohydroxy acid isomeroreductase (AHAIR) and using NAD-specific leucine dehydrogenase from Lysinibacillus sphaericus. Lactate as a by-product was largely eliminated by disrupting the lactate dehydrogenase gene ldhA. Nonetheless, a few other by-products, particularly succinate, were still produced and acted to suppress the L-valine yield. Eliminating these by-products therefore was deemed key to improving the L-valine yield. By additionally disrupting the phosphoenolpyruvate carboxylase gene ppc, succinate production was effectively suppressed, but both glucose consumption and L-valine production dropped considerably due to the severely elevated intracellular NADH/NAD+ ratio. In contrast, this perturbed intracellular redox state was more than compensated for by deletion of three genes associated with NADH-producing acetate synthesis and overexpression of five glycolytic genes, including gapA, encoding NADH-inhibited glyceraldehyde-3-phosphate dehydrogenase. Inserting feedback-resistant mutant acetohydroxy acid synthase and NAD-preferring mutant AHAIR in the chromosome resulted in higher L-valine yield and productivity. Deleting the alanine transaminase gene avtA suppressed alanine production. The resultant strain produced 1,280mM L-valine at a yield of 88% mol mol of glucose-1 after 24h under oxygen deprivation, a vastly improved yield over our previous best. © 2013, American Society for Microbiology.","author":[{"dropping-particle":"","family":"Hasegawa","given":"Satoshi","non-dropping-particle":"","parse-names":false,"suffix":""},{"dropping-particle":"","family":"Suda","given":"Masako","non-dropping-particle":"","parse-names":false,"suffix":""},{"dropping-particle":"","family":"Uematsu","given":"Kimio","non-dropping-particle":"","parse-names":false,"suffix":""},{"dropping-particle":"","family":"Natsuma","given":"Yumi","non-dropping-particle":"","parse-names":false,"suffix":""},{"dropping-particle":"","family":"Hiraga","given":"Kazumi","non-dropping-particle":"","parse-names":false,"suffix":""},{"dropping-particle":"","family":"Jojima","given":"Toru","non-dropping-particle":"","parse-names":false,"suffix":""},{"dropping-particle":"","family":"Inui","given":"Masayuki","non-dropping-particle":"","parse-names":false,"suffix":""},{"dropping-particle":"","family":"Yukawa","given":"Hideaki","non-dropping-particle":"","parse-names":false,"suffix":""}],"container-title":"Applied and Environmental Microbiology","id":"ITEM-1","issue":"4","issued":{"date-parts":[["2013"]]},"page":"1250-1257","title":"Engineering of &lt;i&gt;Corynebacterium glutamicum&lt;/i&gt; for high-yield l-valine production under oxygen deprivation conditions","type":"article-journal","volume":"79"},"uris":["http://www.mendeley.com/documents/?uuid=d65e8b3e-6c9f-4600-b5b8-8d2aecd803a4"]}],"mendeley":{"formattedCitation":"(Hasegawa et al., 2013)","plainTextFormattedCitation":"(Hasegawa et al., 2013)","previouslyFormattedCitation":"(Hasegawa et al., 2013)"},"properties":{"noteIndex":0},"schema":"https://github.com/citation-style-language/schema/raw/master/csl-citation.json"}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(Hasegawa et al., 2013)</w:t>
            </w:r>
            <w:r w:rsidRPr="004D32BA">
              <w:rPr>
                <w:color w:val="000000"/>
                <w:sz w:val="18"/>
                <w:szCs w:val="18"/>
              </w:rPr>
              <w:fldChar w:fldCharType="end"/>
            </w:r>
          </w:p>
        </w:tc>
      </w:tr>
      <w:tr w:rsidR="00DF3B5B" w:rsidRPr="004D32BA" w14:paraId="14A02422"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16E39C14"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34E76A22" w14:textId="77777777" w:rsidR="00DF3B5B" w:rsidRPr="004D32BA" w:rsidRDefault="00DF3B5B">
            <w:pPr>
              <w:jc w:val="center"/>
              <w:rPr>
                <w:sz w:val="18"/>
                <w:szCs w:val="18"/>
              </w:rPr>
            </w:pPr>
            <w:proofErr w:type="spellStart"/>
            <w:r w:rsidRPr="004D32BA">
              <w:rPr>
                <w:i/>
                <w:iCs/>
                <w:sz w:val="18"/>
                <w:szCs w:val="18"/>
              </w:rPr>
              <w:t>ace</w:t>
            </w:r>
            <w:r w:rsidRPr="004D32BA">
              <w:rPr>
                <w:sz w:val="18"/>
                <w:szCs w:val="18"/>
              </w:rPr>
              <w:t>E</w:t>
            </w:r>
            <w:proofErr w:type="spellEnd"/>
            <w:r w:rsidRPr="004D32BA">
              <w:rPr>
                <w:sz w:val="18"/>
                <w:szCs w:val="18"/>
              </w:rPr>
              <w:t xml:space="preserve">, </w:t>
            </w:r>
            <w:proofErr w:type="spellStart"/>
            <w:r w:rsidRPr="004D32BA">
              <w:rPr>
                <w:i/>
                <w:iCs/>
                <w:sz w:val="18"/>
                <w:szCs w:val="18"/>
              </w:rPr>
              <w:t>ala</w:t>
            </w:r>
            <w:r w:rsidRPr="004D32BA">
              <w:rPr>
                <w:sz w:val="18"/>
                <w:szCs w:val="18"/>
              </w:rPr>
              <w:t>T</w:t>
            </w:r>
            <w:proofErr w:type="spellEnd"/>
            <w:r w:rsidRPr="004D32BA">
              <w:rPr>
                <w:sz w:val="18"/>
                <w:szCs w:val="18"/>
              </w:rPr>
              <w:t xml:space="preserve">, </w:t>
            </w:r>
            <w:proofErr w:type="spellStart"/>
            <w:r w:rsidRPr="004D32BA">
              <w:rPr>
                <w:i/>
                <w:iCs/>
                <w:sz w:val="18"/>
                <w:szCs w:val="18"/>
              </w:rPr>
              <w:t>ilv</w:t>
            </w:r>
            <w:r w:rsidRPr="004D32BA">
              <w:rPr>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2CDF5D0A"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10011570" w14:textId="392EE4EC"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{"citationItems":[{"id":"ITEM-1","itemData":{"DOI":"10.1016/j.ymben.2015.03.004","ISSN":"10967184","PMID":"25769288","abstract":"In this study, an l-valine-producing strain was developed from Corynebacterium glutamicum ATCC13869 through deletion of the three genes aceE, alaT and ilvA combined with the overexpression of six genes ilvB, ilvN, ilvC, lrp1, brnF and brnE. Overexpression of lrp1 alone increased l-valine production by 16-fold. Deletion of the aceE, alaT and ilvA increased l-valine production by 44-fold. Overexpression of the six genes ilvB, ilvN, ilvC, lrp1, brnE and brnF in the triple deletion mutant WCC003 further increased l-valine production. The strain WCC003/pJYW-4-ilvBNC1-lrp1-brnFE produced 243mM l-valine in flask cultivation and 437mM (51g/L) l-valine in fed-batch fermentation and lacked detectable amino-acid byproduct such as l-alanine and l-isoleucine that are usually found in the fermentation of l-valine-producing C. glutamicum.","author":[{"dropping-particle":"","family":"Chen","given":"Cheng","non-dropping-particle":"","parse-names":false,"suffix":""},{"dropping-particle":"","family":"Li","given":"Yanyan","non-dropping-particle":"","parse-names":false,"suffix":""},{"dropping-particle":"","family":"Hu","given":"Jinyu","non-dropping-particle":"","parse-names":false,"suffix":""},{"dropping-particle":"","family":"Dong","given":"Xunyan","non-dropping-particle":"","parse-names":false,"suffix":""},{"dropping-particle":"","family":"Wang","given":"Xiaoyuan","non-dropping-particle":"","parse-names":false,"suffix":""}],"container-title":"Metabolic Engineering","id":"ITEM-1","issued":{"date-parts":[["2015"]]},"page":"66-75","publisher":"Elsevier","title":"Metabolic engineering of &lt;i&gt;Corynebacterium glutamicum&lt;/i&gt; ATCC13869 for l-valine production","type":"article-journal","volume":"29"},"uris":["http://www.mendeley.com/documents/?uuid=1ce5852e-5ab3-416c-8117-14a0e9a89bdb"]}],"mendeley":{"formattedCitation":"(Chen et al., 2015)","plainTextFormattedCitation":"(Chen et al., 2015)","previouslyFormattedCitation":"(Chen et al., 2015)"},"properties":{"noteIndex":0},"schema":"https://github.com/citation-style-language/schema/raw/master/csl-citation.json"}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(Chen et al., 2015)</w:t>
            </w:r>
            <w:r w:rsidRPr="004D32BA">
              <w:rPr>
                <w:color w:val="000000"/>
                <w:sz w:val="18"/>
                <w:szCs w:val="18"/>
              </w:rPr>
              <w:fldChar w:fldCharType="end"/>
            </w:r>
          </w:p>
        </w:tc>
      </w:tr>
      <w:tr w:rsidR="00DF3B5B" w:rsidRPr="004D32BA" w14:paraId="54B41B2F"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5E96F9E7" w14:textId="77777777" w:rsidR="00DF3B5B" w:rsidRPr="004D32BA" w:rsidRDefault="00DF3B5B">
            <w:pPr>
              <w:jc w:val="center"/>
              <w:rPr>
                <w:i/>
                <w:iCs/>
                <w:color w:val="000000"/>
                <w:sz w:val="18"/>
                <w:szCs w:val="18"/>
              </w:rPr>
            </w:pPr>
            <w:r w:rsidRPr="004D32BA">
              <w:rPr>
                <w:i/>
                <w:iCs/>
                <w:color w:val="000000"/>
                <w:sz w:val="18"/>
                <w:szCs w:val="18"/>
              </w:rPr>
              <w:t>Klebsiella pneumoniae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0FDECAE" w14:textId="65940F0F" w:rsidR="00DF3B5B" w:rsidRPr="004D32BA" w:rsidRDefault="00DF3B5B">
            <w:pPr>
              <w:jc w:val="center"/>
              <w:rPr>
                <w:sz w:val="18"/>
                <w:szCs w:val="18"/>
                <w:lang w:val="es-ES"/>
              </w:rPr>
            </w:pPr>
            <w:proofErr w:type="spellStart"/>
            <w:r w:rsidRPr="004D32BA">
              <w:rPr>
                <w:i/>
                <w:iCs/>
                <w:sz w:val="18"/>
                <w:szCs w:val="18"/>
                <w:lang w:val="es-ES"/>
              </w:rPr>
              <w:t>bud</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ldh</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bud</w:t>
            </w:r>
            <w:r w:rsidRPr="004D32BA">
              <w:rPr>
                <w:sz w:val="18"/>
                <w:szCs w:val="18"/>
                <w:lang w:val="es-ES"/>
              </w:rPr>
              <w:t>A-</w:t>
            </w:r>
            <w:r w:rsidRPr="004D32BA">
              <w:rPr>
                <w:i/>
                <w:iCs/>
                <w:sz w:val="18"/>
                <w:szCs w:val="18"/>
                <w:lang w:val="es-ES"/>
              </w:rPr>
              <w:t>ldh</w:t>
            </w:r>
            <w:r w:rsidRPr="004D32BA">
              <w:rPr>
                <w:sz w:val="18"/>
                <w:szCs w:val="18"/>
                <w:lang w:val="es-ES"/>
              </w:rPr>
              <w:t>A</w:t>
            </w:r>
            <w:proofErr w:type="spellEnd"/>
            <w:r w:rsidRPr="004D32BA">
              <w:rPr>
                <w:sz w:val="18"/>
                <w:szCs w:val="18"/>
                <w:lang w:val="es-ES"/>
              </w:rPr>
              <w:t xml:space="preserve">, </w:t>
            </w:r>
            <w:proofErr w:type="spellStart"/>
            <w:r w:rsidRPr="004D32BA">
              <w:rPr>
                <w:i/>
                <w:iCs/>
                <w:sz w:val="18"/>
                <w:szCs w:val="18"/>
                <w:lang w:val="es-ES"/>
              </w:rPr>
              <w:t>bud</w:t>
            </w:r>
            <w:r w:rsidRPr="004D32BA">
              <w:rPr>
                <w:sz w:val="18"/>
                <w:szCs w:val="18"/>
                <w:lang w:val="es-ES"/>
              </w:rPr>
              <w:t>A-</w:t>
            </w:r>
            <w:r w:rsidRPr="004D32BA">
              <w:rPr>
                <w:i/>
                <w:iCs/>
                <w:sz w:val="18"/>
                <w:szCs w:val="18"/>
                <w:lang w:val="es-ES"/>
              </w:rPr>
              <w:t>ldh</w:t>
            </w:r>
            <w:r w:rsidRPr="004D32BA">
              <w:rPr>
                <w:sz w:val="18"/>
                <w:szCs w:val="18"/>
                <w:lang w:val="es-ES"/>
              </w:rPr>
              <w:t>A-</w:t>
            </w:r>
            <w:r w:rsidR="007C5FA8" w:rsidRPr="004D32BA">
              <w:rPr>
                <w:i/>
                <w:sz w:val="18"/>
                <w:szCs w:val="18"/>
                <w:lang w:val="es-ES"/>
              </w:rPr>
              <w:t>B</w:t>
            </w:r>
            <w:r w:rsidRPr="004D32BA">
              <w:rPr>
                <w:i/>
                <w:iCs/>
                <w:sz w:val="18"/>
                <w:szCs w:val="18"/>
                <w:lang w:val="es-ES"/>
              </w:rPr>
              <w:t>ud</w:t>
            </w:r>
            <w:r w:rsidRPr="004D32BA">
              <w:rPr>
                <w:sz w:val="18"/>
                <w:szCs w:val="18"/>
                <w:lang w:val="es-ES"/>
              </w:rPr>
              <w:t>B</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86DC048" w14:textId="77777777" w:rsidR="00DF3B5B" w:rsidRPr="004D32BA" w:rsidRDefault="00DF3B5B">
            <w:pPr>
              <w:jc w:val="center"/>
              <w:rPr>
                <w:color w:val="000000"/>
                <w:sz w:val="18"/>
                <w:szCs w:val="18"/>
              </w:rPr>
            </w:pPr>
            <w:r w:rsidRPr="004D32BA">
              <w:rPr>
                <w:color w:val="000000"/>
                <w:sz w:val="18"/>
                <w:szCs w:val="18"/>
              </w:rPr>
              <w:t xml:space="preserve">2-ketoisovalerate e </w:t>
            </w:r>
            <w:proofErr w:type="spellStart"/>
            <w:r w:rsidRPr="004D32BA">
              <w:rPr>
                <w:color w:val="000000"/>
                <w:sz w:val="18"/>
                <w:szCs w:val="18"/>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7576414D" w14:textId="11C335CA"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{"citationItems":[{"id":"ITEM-1","itemData":{"DOI":"10.1016/j.ymben.2017.07.003","ISSN":"10967184","PMID":"28802880","abstract":"Isobutanol is a valuable chemical and is considered a new generation biofuel. Construction of isobutanol synthesis pathways in bacteria is a hot topic in isobutanol production. Here, we show that an isobutanol synthesis pathway exists naturally in Klebsiella pneumoniae; however, this pathway is dormant in the wild-type bacterium. K. pneumoniae is a 2,3-butanediol producer, and the synthesis pathways of 2,3-butanediol, valine and isobutanol all start from condensation of two pyruvate molecules to yield α-acetolactate. Inactivation of α-acetolactate decarboxylase (encoded by budA) resulted in α-acetolactate flowing into the valine pathway, which led to synthesis of isobutanol and 2-ketoisovalerate (a precursor of isobutanol). ldhA (lactate dehydrogenase) deletion further increased the isobutanol and 2-ketoisovalerate production. In the first step of this pathway, BudB (α-acetolactate synthase) was identified as responsible for most of the α-acetolactate synthesis. Complementation of ilvBN or ilvIH (isoenzymes of budB) both resulted in a remarkable increase in 2-ketoisovalerate production. Thus, α-acetolactate formation is the rate-limiting step of 2-ketoisovalerate production. ilvC (acetohydroxy acid isomeroreductase) and ilvD (dihydroxy acid dehydratase) were identified responsible for 2-ketoisovalerate synthesis from α-acetolactate. ipdC, which encodes an indole-3-pyruvate decarboxylase, was identified responsible for most of the isobutyraldehyde formation from 2-ketoisovalerate, and isobutanol production was increased 15.7 fold in the ipdC complementation strain, with a final titer of 2.45 g/L. Isobutanol dehydrogenase activity is distributed across multiple alcohol dehydrogenase enzymes expressed by K. pneumoniae. BudC, DhaT, DhaD and YqhD all had isobutanol dehydrogenase activity in vitro. YqhD uses NADPH as the coenzyme, while the other dehydrogenases use NADH. However, inactivating one or two of these dehydrogenases had no effect on isobutanol production in vivo with isobutyraldehyde as the substrate. These results reveal a novel method for biological production of isobutanol and 2-ketoisovalerate.","author":[{"dropping-particle":"","family":"Gu","given":"Jinjie","non-dropping-particle":"","parse-names":false,"suffix":""},{"dropping-particle":"","family":"Zhou","given":"Jidong","non-dropping-particle":"","parse-names":false,"suffix":""},{"dropping-particle":"","family":"Zhang","given":"Zhongxi","non-dropping-particle":"","parse-names":false,"suffix":""},{"dropping-particle":"","family":"Kim","given":"Chul Ho","non-dropping-particle":"","parse-names":false,"suffix":""},{"dropping-particle":"","family":"Jiang","given":"Biao","non-dropping-particle":"","parse-names":false,"suffix":""},{"dropping-particle":"","family":"Shi","given":"Jiping","non-dropping-particle":"","parse-names":false,"suffix":""},{"dropping-particle":"","family":"Hao","given":"Jian","non-dropping-particle":"","parse-names":false,"suffix":""}],"container-title":"Metabolic Engineering","id":"ITEM-1","issue":"August","issued":{"date-parts":[["2017"]]},"page":"71-84","publisher":"Elsevier Inc.","title":"Isobutanol and 2-ketoisovalerate production by &lt;i&gt;Klebsiella pneumoniae&lt;/i&gt; via a native pathway","type":"article-journal","volume":"43"},"uris":["http://www.mendeley.com/documents/?uuid=2ec828fd-b366-43e0-a98c-6b14f341f948"]}],"mendeley":{"formattedCitation":"(Gu et al., 2017)","plainTextFormattedCitation":"(Gu et al., 2017)","previouslyFormattedCitation":"(Gu et al., 2017)"},"properties":{"noteIndex":0},"schema":"https://github.com/citation-style-language/schema/raw/master/csl-citation.json"}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(Gu et al., 2017)</w:t>
            </w:r>
            <w:r w:rsidRPr="004D32BA">
              <w:rPr>
                <w:color w:val="000000"/>
                <w:sz w:val="18"/>
                <w:szCs w:val="18"/>
              </w:rPr>
              <w:fldChar w:fldCharType="end"/>
            </w:r>
          </w:p>
        </w:tc>
      </w:tr>
      <w:tr w:rsidR="00DF3B5B" w:rsidRPr="004D32BA" w14:paraId="69364C01"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1C83CFCA" w14:textId="77777777" w:rsidR="00DF3B5B" w:rsidRPr="004D32BA" w:rsidRDefault="00DF3B5B">
            <w:pPr>
              <w:jc w:val="center"/>
              <w:rPr>
                <w:i/>
                <w:iCs/>
                <w:color w:val="000000"/>
                <w:sz w:val="18"/>
                <w:szCs w:val="18"/>
              </w:rPr>
            </w:pPr>
            <w:r w:rsidRPr="004D32BA">
              <w:rPr>
                <w:i/>
                <w:iCs/>
                <w:color w:val="000000"/>
                <w:sz w:val="18"/>
                <w:szCs w:val="18"/>
              </w:rPr>
              <w:t xml:space="preserve">C. </w:t>
            </w:r>
            <w:proofErr w:type="spellStart"/>
            <w:r w:rsidRPr="004D32BA">
              <w:rPr>
                <w:i/>
                <w:iCs/>
                <w:color w:val="000000"/>
                <w:sz w:val="18"/>
                <w:szCs w:val="18"/>
              </w:rPr>
              <w:t>glutamicum</w:t>
            </w:r>
            <w:proofErr w:type="spellEnd"/>
          </w:p>
        </w:tc>
        <w:tc>
          <w:tcPr>
            <w:tcW w:w="2234" w:type="dxa"/>
            <w:tcBorders>
              <w:top w:val="single" w:sz="4" w:space="0" w:color="auto"/>
              <w:left w:val="single" w:sz="4" w:space="0" w:color="auto"/>
              <w:bottom w:val="single" w:sz="4" w:space="0" w:color="auto"/>
              <w:right w:val="single" w:sz="4" w:space="0" w:color="auto"/>
            </w:tcBorders>
            <w:vAlign w:val="center"/>
            <w:hideMark/>
          </w:tcPr>
          <w:p w14:paraId="07C73993" w14:textId="77777777" w:rsidR="00DF3B5B" w:rsidRPr="004D32BA" w:rsidRDefault="00DF3B5B">
            <w:pPr>
              <w:jc w:val="center"/>
              <w:rPr>
                <w:sz w:val="18"/>
                <w:szCs w:val="18"/>
              </w:rPr>
            </w:pPr>
            <w:proofErr w:type="spellStart"/>
            <w:r w:rsidRPr="004D32BA">
              <w:rPr>
                <w:i/>
                <w:iCs/>
                <w:sz w:val="18"/>
                <w:szCs w:val="18"/>
              </w:rPr>
              <w:t>ppc</w:t>
            </w:r>
            <w:proofErr w:type="spellEnd"/>
            <w:r w:rsidRPr="004D32BA">
              <w:rPr>
                <w:sz w:val="18"/>
                <w:szCs w:val="18"/>
              </w:rPr>
              <w:t xml:space="preserve">, </w:t>
            </w:r>
            <w:proofErr w:type="spellStart"/>
            <w:r w:rsidRPr="004D32BA">
              <w:rPr>
                <w:i/>
                <w:iCs/>
                <w:sz w:val="18"/>
                <w:szCs w:val="18"/>
              </w:rPr>
              <w:t>pyc</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00F870EE"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56111A99" w14:textId="737A1781" w:rsidR="00DF3B5B" w:rsidRPr="004D32BA" w:rsidRDefault="00DF3B5B">
            <w:pPr>
              <w:jc w:val="center"/>
              <w:rPr>
                <w:color w:val="000000"/>
                <w:sz w:val="18"/>
                <w:szCs w:val="18"/>
                <w:lang w:val="es-CO"/>
              </w:rPr>
            </w:pPr>
            <w:r w:rsidRPr="004D32BA">
              <w:rPr>
                <w:color w:val="000000"/>
                <w:sz w:val="18"/>
                <w:szCs w:val="18"/>
              </w:rPr>
              <w:fldChar w:fldCharType="begin" w:fldLock="1"/>
            </w:r>
            <w:r w:rsidR="00766330">
              <w:rPr>
                <w:color w:val="000000"/>
                <w:sz w:val="18"/>
                <w:szCs w:val="18"/>
              </w:rPr>
              <w:instrText>ADDIN CSL_CITATION {"citationItems":[{"id":"ITEM-1","itemData":{"DOI":"10.1016/j.ymben.2018.02.015","ISSN":"10967184","PMID":"29522826","abstract":"Evolutionary approaches are often undirected and mutagen-based yielding numerous mutations, which need elaborate screenings to identify relevant targets. We here apply Metabolic engineering to Guide Evolution (MGE), an evolutionary approach evolving and identifying new targets to improve microbial producer strains. MGE is based on the idea to impair the cell's metabolism by metabolic engineering, thereby generating guided evolutionary pressure. It consists of three distinct phases: (i) metabolic engineering to create the evolutionary pressure on the applied strain followed by (ii) a cultivation phase with growth as straightforward screening indicator for the evolutionary event, and (iii) comparative whole genome sequencing (WGS), to identify mutations in the evolved strains, which are eventually re-engineered for verification. Applying MGE, we evolved the PEP and pyruvate carboxylase-deficient strain C. glutamicum Δppc Δpyc to grow on glucose as substrate with rates up to 0.31 ± 0.02 h−1 which corresponds to 80% of the growth rate of the wildtype strain. The intersection of the mutations identified by WGS revealed isocitrate dehydrogenase (ICD) as consistent target in three independently evolved mutants. Upon re-engineering in C. glutamicum Δppc Δpyc, the identified mutations led to diminished ICD activities and activated the glyoxylate shunt replenishing oxaloacetate required for growth. Intracellular relative quantitative metabolome analysis showed that the pools of citrate, isocitrate, cis-aconitate, and L-valine were significantly higher compared to the WT control. As an alternative to existing L-valine producer strains based on inactivated or attenuated pyruvate dehydrogenase complex, we finally engineered the PEP and pyruvate carboxylase-deficient C. glutamicum strains with identified ICD mutations for L-valine production by overexpression of the L-valine biosynthesis genes. Among them, C. glutamicum Δppc Δpyc ICDG407S (pJC4ilvBNCE) produced up to 8.9 ± 0.4 g L-valine L−1, with a product yield of 0.22 ± 0.01 g L-valine per g glucose.","author":[{"dropping-particle":"","family":"Schwentner","given":"Andreas","non-dropping-particle":"","parse-names":false,"suffix":""},{"dropping-particle":"","family":"Feith","given":"André","non</w:instrText>
            </w:r>
            <w:r w:rsidR="00766330" w:rsidRPr="006E5EE7">
              <w:rPr>
                <w:color w:val="000000"/>
                <w:sz w:val="18"/>
                <w:szCs w:val="18"/>
                <w:lang w:val="es-ES"/>
              </w:rPr>
              <w:instrText>-dropping-particle":"","parse-names":false,"suffix":""},{"dropping-particle":"","family":"Münch","given":"Eugenia","non-dropping-particle":"","parse-names":false,"suffix":""},{"dropping-particle":"","family":"Busche","given":"Tobias","non-dropping-particle":"","parse-names":false,"suffix":""},{"dropping-particle":"","family":"Rückert","given":"Christian","non-dropping-particle":"","parse-names":false,"suffix":""},{"dropping-particle":"","family":"Kalinowski","given":"Jörn","non-dropping-particle":"","parse-names":false,"suffix":""},{"dropping-particle":"","family":"Takors","given":"Ralf","non-dropping-particle":"","parse-names":false,"suffix":""},{"dropping-particle":"","family":"Blombach","given":"Bastian","non-dropping-particle":"","parse-names":false,"suffix":""}],"container-title":"Metabolic Engineering","id":"ITEM-1","issue":"March","issued":{"date-parts":[["2018","5","1"]]},"page":"31-41","publisher":"Elsevier Inc.","title":"Metabolic engineering to guide evolution – Creating a novel mode for L-valine production with &lt;i&gt;Corynebacterium glutamicum&lt;/i&gt;","type":"article-journal","volume":"47"},"uris":["http://www.mendeley.com/documents/?uuid=ee8d789c-bfde-4a0d-8188-fe0ff2a1a317"]}],"mendeley":{"formattedCitation":"(Schwentner et al., 2018)","plainTextFormattedCitation":"(Schwentner et al., 2018)","previouslyFormattedCitation":"(Schwentner et al., 2018)"},"properties":{"noteIndex":0},"schema":"https://github.com/citation-style-language/schema/raw/master/csl-citation.json"}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lang w:val="es-CO"/>
              </w:rPr>
              <w:t>(Schwentner et al., 2018)</w:t>
            </w:r>
            <w:r w:rsidRPr="004D32BA">
              <w:rPr>
                <w:color w:val="000000"/>
                <w:sz w:val="18"/>
                <w:szCs w:val="18"/>
              </w:rPr>
              <w:fldChar w:fldCharType="end"/>
            </w:r>
          </w:p>
        </w:tc>
      </w:tr>
      <w:tr w:rsidR="00DF3B5B" w:rsidRPr="004D32BA" w14:paraId="2353F63F"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630EA14C" w14:textId="77777777" w:rsidR="00DF3B5B" w:rsidRPr="004D32BA" w:rsidRDefault="00DF3B5B">
            <w:pPr>
              <w:jc w:val="center"/>
              <w:rPr>
                <w:color w:val="000000"/>
                <w:sz w:val="18"/>
                <w:szCs w:val="18"/>
                <w:lang w:val="es-CO"/>
              </w:rPr>
            </w:pPr>
            <w:r w:rsidRPr="004D32BA">
              <w:rPr>
                <w:i/>
                <w:iCs/>
                <w:color w:val="000000"/>
                <w:sz w:val="18"/>
                <w:szCs w:val="18"/>
                <w:lang w:val="es-CO"/>
              </w:rPr>
              <w:t xml:space="preserve">E. </w:t>
            </w:r>
            <w:proofErr w:type="spellStart"/>
            <w:r w:rsidRPr="004D32BA">
              <w:rPr>
                <w:i/>
                <w:iCs/>
                <w:color w:val="000000"/>
                <w:sz w:val="18"/>
                <w:szCs w:val="18"/>
                <w:lang w:val="es-CO"/>
              </w:rPr>
              <w:t>coli</w:t>
            </w:r>
            <w:proofErr w:type="spellEnd"/>
            <w:r w:rsidRPr="004D32BA">
              <w:rPr>
                <w:color w:val="000000"/>
                <w:sz w:val="18"/>
                <w:szCs w:val="18"/>
                <w:lang w:val="es-CO"/>
              </w:rPr>
              <w:t xml:space="preserve"> MG1655</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34EBFC5" w14:textId="77777777" w:rsidR="00DF3B5B" w:rsidRPr="004D32BA" w:rsidRDefault="00DF3B5B">
            <w:pPr>
              <w:jc w:val="center"/>
              <w:rPr>
                <w:sz w:val="18"/>
                <w:szCs w:val="18"/>
                <w:lang w:val="es-CO"/>
              </w:rPr>
            </w:pPr>
            <w:proofErr w:type="spellStart"/>
            <w:r w:rsidRPr="004D32BA">
              <w:rPr>
                <w:i/>
                <w:iCs/>
                <w:sz w:val="18"/>
                <w:szCs w:val="18"/>
                <w:lang w:val="es-CO"/>
              </w:rPr>
              <w:t>pfl</w:t>
            </w:r>
            <w:r w:rsidRPr="004D32BA">
              <w:rPr>
                <w:sz w:val="18"/>
                <w:szCs w:val="18"/>
                <w:lang w:val="es-CO"/>
              </w:rPr>
              <w:t>B</w:t>
            </w:r>
            <w:proofErr w:type="spellEnd"/>
            <w:r w:rsidRPr="004D32BA">
              <w:rPr>
                <w:sz w:val="18"/>
                <w:szCs w:val="18"/>
                <w:lang w:val="es-CO"/>
              </w:rPr>
              <w:t xml:space="preserve">, </w:t>
            </w:r>
            <w:proofErr w:type="spellStart"/>
            <w:r w:rsidRPr="004D32BA">
              <w:rPr>
                <w:i/>
                <w:iCs/>
                <w:sz w:val="18"/>
                <w:szCs w:val="18"/>
                <w:lang w:val="es-CO"/>
              </w:rPr>
              <w:t>ldh</w:t>
            </w:r>
            <w:r w:rsidRPr="004D32BA">
              <w:rPr>
                <w:sz w:val="18"/>
                <w:szCs w:val="18"/>
                <w:lang w:val="es-CO"/>
              </w:rPr>
              <w:t>A</w:t>
            </w:r>
            <w:proofErr w:type="spellEnd"/>
            <w:r w:rsidRPr="004D32BA">
              <w:rPr>
                <w:sz w:val="18"/>
                <w:szCs w:val="18"/>
                <w:lang w:val="es-CO"/>
              </w:rPr>
              <w:t xml:space="preserve">, </w:t>
            </w:r>
            <w:proofErr w:type="spellStart"/>
            <w:r w:rsidRPr="004D32BA">
              <w:rPr>
                <w:i/>
                <w:iCs/>
                <w:sz w:val="18"/>
                <w:szCs w:val="18"/>
                <w:lang w:val="es-CO"/>
              </w:rPr>
              <w:t>ack</w:t>
            </w:r>
            <w:r w:rsidRPr="004D32BA">
              <w:rPr>
                <w:sz w:val="18"/>
                <w:szCs w:val="18"/>
                <w:lang w:val="es-CO"/>
              </w:rPr>
              <w:t>A-</w:t>
            </w:r>
            <w:r w:rsidRPr="004D32BA">
              <w:rPr>
                <w:i/>
                <w:iCs/>
                <w:sz w:val="18"/>
                <w:szCs w:val="18"/>
                <w:lang w:val="es-CO"/>
              </w:rPr>
              <w:t>pt</w:t>
            </w:r>
            <w:r w:rsidRPr="004D32BA">
              <w:rPr>
                <w:sz w:val="18"/>
                <w:szCs w:val="18"/>
                <w:lang w:val="es-CO"/>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3F1FB644" w14:textId="77777777" w:rsidR="00DF3B5B" w:rsidRPr="004D32BA" w:rsidRDefault="00DF3B5B">
            <w:pPr>
              <w:jc w:val="center"/>
              <w:rPr>
                <w:color w:val="000000"/>
                <w:sz w:val="18"/>
                <w:szCs w:val="18"/>
                <w:lang w:val="es-CO"/>
              </w:rPr>
            </w:pPr>
            <w:proofErr w:type="spellStart"/>
            <w:r w:rsidRPr="004D32BA">
              <w:rPr>
                <w:color w:val="000000"/>
                <w:sz w:val="18"/>
                <w:szCs w:val="18"/>
                <w:lang w:val="es-CO"/>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3EA03667" w14:textId="508525D2"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lang w:val="es-CO"/>
              </w:rPr>
              <w:instrText>ADDIN CSL_CITATION {"citationItems":[{"id":"ITEM-1","itemData":{"DOI":"10.1007/s10295-018-2017-5","ISBN":"0123456789","ISSN":"14765535","PMID":"29380153","abstract":"Isobutanol as a more desirable biofuel has attracted much attention. In our previous work, an isobutanol-producing strain Escherichia coli LA09 had been obtained by rational redox status improvement under guidance of the genome-scale metabolic model. However, the low transformation from sugar to isobutanol is a limiting factor for isobutanol production by E. coli LA09. In this study, the intracellular metabolic profiles of the isobutanol-producing E. coli LA09 with different initial glucose concentrations were investigated and the metabolic reaction of fructose 6-phosphate to 1, 6-diphosphate fructose in glycolytic pathway was identified as the rate-limiting step of glucose transformation. Thus, redesigned carbon catabolism was implemented by altering flux of sugar metabolism. Here, the heterologous Entner–Doudoroff (ED) pathway from Zymomonas mobilis was constructed, and the adaptation of upper and lower parts of ED pathway was further improved with artificial promoters to alleviate the accumulation of toxic intermediate metabolite 2-keto-3-deoxy-6-phospho-gluconate (KDPG). Finally, the best isobutanol-producing E. coli ED02 with higher glucose transformation and isobutanol production was obtained. In the fermentation of strain E. coli ED02 with 45 g/L initial glucose, the isobutanol titer, yield and average producing rate were, respectively, increased by 56.8, 47.4 and 88.1% to 13.67 g/L, 0.50 C-mol/C-mol and 0.456 g/(L × h) in a shorter time of 30 h, compared with that of the starting strain E. coli LA09.","author":[{"dropping-particle":"","family":"Liang","given":"Shaoxiong","non-dropping-particle":"","parse-names":false,"suffix":""},{"dropping-particle":"","family":"Chen","given":"Hong","non-dropping-particle":"","parse-names":false,"suffix":""},{"dropping-particle":"","family":"Liu","given":"Jiao","non-dropping-particle":"","parse-names":false,"suffix":""},{"dropping-particle":"","family":"Wen","given":"Jianping","non-dropping-particle":"","parse-names":false,"suffix":""}],"container-title":"Journal of Industrial Microbiology and Biotechnology","id":"ITEM-1","issue":"3","issued":{"date-parts":[["2018"]]},"page":"187-199","publisher":"Springer Berlin Heidelberg","title":"Rational design of a synthetic Entner–Doudoroff pathway for enhancing glucose transformation to isobutanol in &lt;i&gt;Escherichia coli&lt;/i&gt;","type":"article-journal","volume":"45"},"uris":["http://www.mendeley.com/documents/?uuid=f1f96580-e132-4e73-b878-bfe4614bfc35"]}],"mendeley":{"formattedCitation":"(Liang et al., 2018)","plainTextFormattedCitation":"(Liang et al., 2018)","previouslyFormattedCitation":"(Liang et al., 2018)"},"properties":{"noteIndex":0},"schema":"https://github.com/citation-style-language/schema/raw/master/csl-citation.json"}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(Liang et al., 2018)</w:t>
            </w:r>
            <w:r w:rsidRPr="004D32BA">
              <w:rPr>
                <w:color w:val="000000"/>
                <w:sz w:val="18"/>
                <w:szCs w:val="18"/>
              </w:rPr>
              <w:fldChar w:fldCharType="end"/>
            </w:r>
          </w:p>
        </w:tc>
      </w:tr>
      <w:tr w:rsidR="00DF3B5B" w:rsidRPr="00EF447E" w14:paraId="309DCA65"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671A86C8" w14:textId="77777777" w:rsidR="00DF3B5B" w:rsidRPr="004D32BA" w:rsidRDefault="00DF3B5B">
            <w:pPr>
              <w:jc w:val="center"/>
              <w:rPr>
                <w:i/>
                <w:iCs/>
                <w:color w:val="000000"/>
                <w:sz w:val="18"/>
                <w:szCs w:val="18"/>
              </w:rPr>
            </w:pPr>
            <w:r w:rsidRPr="004D32BA">
              <w:rPr>
                <w:i/>
                <w:iCs/>
                <w:color w:val="000000"/>
                <w:sz w:val="18"/>
                <w:szCs w:val="18"/>
              </w:rPr>
              <w:t>Bacillus subtilis</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FB193D3" w14:textId="77777777" w:rsidR="00DF3B5B" w:rsidRPr="004D32BA" w:rsidRDefault="00DF3B5B">
            <w:pPr>
              <w:jc w:val="center"/>
              <w:rPr>
                <w:i/>
                <w:iCs/>
                <w:sz w:val="18"/>
                <w:szCs w:val="18"/>
                <w:lang w:val="es-ES"/>
              </w:rPr>
            </w:pPr>
            <w:proofErr w:type="spellStart"/>
            <w:r w:rsidRPr="004D32BA">
              <w:rPr>
                <w:i/>
                <w:iCs/>
                <w:sz w:val="18"/>
                <w:szCs w:val="18"/>
                <w:lang w:val="es-ES"/>
              </w:rPr>
              <w:t>Bcd</w:t>
            </w:r>
            <w:proofErr w:type="spellEnd"/>
            <w:r w:rsidRPr="004D32BA">
              <w:rPr>
                <w:i/>
                <w:iCs/>
                <w:sz w:val="18"/>
                <w:szCs w:val="18"/>
                <w:lang w:val="es-ES"/>
              </w:rPr>
              <w:t xml:space="preserve">, </w:t>
            </w:r>
            <w:proofErr w:type="spellStart"/>
            <w:r w:rsidRPr="004D32BA">
              <w:rPr>
                <w:i/>
                <w:iCs/>
                <w:sz w:val="18"/>
                <w:szCs w:val="18"/>
                <w:lang w:val="es-ES"/>
              </w:rPr>
              <w:t>ilvB</w:t>
            </w:r>
            <w:proofErr w:type="spellEnd"/>
            <w:r w:rsidRPr="004D32BA">
              <w:rPr>
                <w:i/>
                <w:iCs/>
                <w:sz w:val="18"/>
                <w:szCs w:val="18"/>
                <w:lang w:val="es-ES"/>
              </w:rPr>
              <w:t xml:space="preserve">, </w:t>
            </w:r>
            <w:proofErr w:type="spellStart"/>
            <w:r w:rsidRPr="004D32BA">
              <w:rPr>
                <w:i/>
                <w:iCs/>
                <w:sz w:val="18"/>
                <w:szCs w:val="18"/>
                <w:lang w:val="es-ES"/>
              </w:rPr>
              <w:t>leuA</w:t>
            </w:r>
            <w:proofErr w:type="spellEnd"/>
            <w:r w:rsidRPr="004D32BA">
              <w:rPr>
                <w:i/>
                <w:iCs/>
                <w:sz w:val="18"/>
                <w:szCs w:val="18"/>
                <w:lang w:val="es-ES"/>
              </w:rPr>
              <w:t xml:space="preserve">, </w:t>
            </w:r>
            <w:proofErr w:type="spellStart"/>
            <w:r w:rsidRPr="004D32BA">
              <w:rPr>
                <w:i/>
                <w:iCs/>
                <w:sz w:val="18"/>
                <w:szCs w:val="18"/>
                <w:lang w:val="es-ES"/>
              </w:rPr>
              <w:t>ilvA</w:t>
            </w:r>
            <w:proofErr w:type="spellEnd"/>
            <w:r w:rsidRPr="004D32BA">
              <w:rPr>
                <w:i/>
                <w:iCs/>
                <w:sz w:val="18"/>
                <w:szCs w:val="18"/>
                <w:lang w:val="es-ES"/>
              </w:rPr>
              <w:t xml:space="preserve">, </w:t>
            </w:r>
            <w:proofErr w:type="spellStart"/>
            <w:r w:rsidRPr="004D32BA">
              <w:rPr>
                <w:i/>
                <w:iCs/>
                <w:sz w:val="18"/>
                <w:szCs w:val="18"/>
                <w:lang w:val="es-ES"/>
              </w:rPr>
              <w:t>pdhA</w:t>
            </w:r>
            <w:proofErr w:type="spellEnd"/>
            <w:r w:rsidRPr="004D32BA">
              <w:rPr>
                <w:i/>
                <w:iCs/>
                <w:sz w:val="18"/>
                <w:szCs w:val="18"/>
                <w:lang w:val="es-ES"/>
              </w:rPr>
              <w:t xml:space="preserve">, </w:t>
            </w:r>
            <w:proofErr w:type="spellStart"/>
            <w:r w:rsidRPr="004D32BA">
              <w:rPr>
                <w:i/>
                <w:iCs/>
                <w:sz w:val="18"/>
                <w:szCs w:val="18"/>
                <w:lang w:val="es-ES"/>
              </w:rPr>
              <w:t>sigF</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5A80F871"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0C7EB62" w14:textId="73AD993B"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{"citationItems":[{"id":"ITEM-1","itemData":{"DOI":"10.1002/bit.26789","ISBN":"0000000272","ISSN":"10970290","PMID":"29981237","abstract":"Bacillus subtilis has been commonly applied to industrial enzyme production due to its genetic tractability, “generally recognized as safe (GRAS)” status, and robust growth characteristics. In spite of its ideal attributes as a biomanufacturing platform, B. subtilis has seen limited use in the production of other value-added biochemicals. Here, we report the derivation of engineered strains of B. subtilis for l-valine overproduction using our recently developed CRISPR (clustered regularly interspaced palindromic repeats)-Cas9 (CRISPR-associated [protein] 9) toolkit. We first manipulate the native l-valine biosynthetic pathway by relieving transcriptional and allosteric regulation, resulting in a &gt;14-fold increase in the l-valine titer, compared to the wild-type strain. We subsequently identify and eliminate factors limiting l-valine overproduction, specifically increasing pyruvate availability and blocking the competing l-leucine and l-isoleucine biosynthetic pathways. By inactivating (a) pdhA, encoding the E1α subunit of the pyruvate dehydrogenase complex, to increase the intracellular pyruvate pool, and (b) leuA and ilvA, respectively encoding 2-isopropylmalate synthase and l-threonine dehydratase, to abolish the competing pathways, the l-valine titer reached 4.61 g/L in shake flask cultures. Our engineered l-valine-overproducing strains of B. subtilis are devoid of plasmids and do not sporulate due to the inactivation of sigF, encoding the sporulation-specific transcription factor σ F, making them attractive for large-scale l-valine production. However, acetate dissimilation was identified as limiting l-valine overproduction in ΔpdhA B. subtilis strains, and improving acetate dissimilation or identifying alternate modes of increasing pyruvate pools to enhance l-valine-overproduction should be explored.","author":[{"dropping-particle":"","family":"Westbrook","given":"Adam W.","non-dropping-particle":"","parse-names":false,"suffix":""},{"dropping-particle":"","family":"Ren","given":"Xiang","non-dropping-particle":"","parse-names":false,"suffix":""},{"dropping-particle":"","family":"Moo-Young","given":"Murray","non-dropping-particle":"","parse-names":false,"suffix":""},{"dropping-particle":"","family":"Chou","given":"C. Perry","non-dropping-particle":"","parse-names":false,"suffix":""}],"container-title":"Biotechnology and Bioengineering","id":"ITEM-1","issue":"11","issued":{"date-parts":[["2018"]]},"page":"2778-2792","title":"Metabolic engineering of &lt;i&gt;Bacillus subtilis&lt;/i&gt; for l-valine overproduction","type":"article-journal","volume":"115"},"uris":["http://www.mendeley.com/documents/?uuid=8c46f14a-5077-49d9-9dfe-389c9799cebf"]}],"mendeley":{"formattedCitation":"(Westbrook et al., 2018)","plainTextFormattedCitation":"(Westbrook et al., 2018)","previouslyFormattedCitation":"(Westbrook et al., 2018)"},"properties":{"noteIndex":0},"schema":"https://github.com/citation-style-language/schema/raw/master/csl-citation.json"}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(Westbrook et al., 2018)</w:t>
            </w:r>
            <w:r w:rsidRPr="004D32BA">
              <w:rPr>
                <w:color w:val="000000"/>
                <w:sz w:val="18"/>
                <w:szCs w:val="18"/>
              </w:rPr>
              <w:fldChar w:fldCharType="end"/>
            </w:r>
          </w:p>
        </w:tc>
      </w:tr>
      <w:tr w:rsidR="00DF3B5B" w:rsidRPr="004D32BA" w14:paraId="1BE13402"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306A5C95"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MG1655</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B6E9C70" w14:textId="77777777" w:rsidR="00DF3B5B" w:rsidRPr="004D32BA" w:rsidRDefault="00DF3B5B">
            <w:pPr>
              <w:jc w:val="center"/>
              <w:rPr>
                <w:sz w:val="18"/>
                <w:szCs w:val="18"/>
              </w:rPr>
            </w:pPr>
            <w:proofErr w:type="spellStart"/>
            <w:r w:rsidRPr="004D32BA">
              <w:rPr>
                <w:i/>
                <w:iCs/>
                <w:sz w:val="18"/>
                <w:szCs w:val="18"/>
              </w:rPr>
              <w:t>pgi</w:t>
            </w:r>
            <w:proofErr w:type="spellEnd"/>
            <w:r w:rsidRPr="004D32BA">
              <w:rPr>
                <w:sz w:val="18"/>
                <w:szCs w:val="18"/>
              </w:rPr>
              <w:t xml:space="preserve">, </w:t>
            </w:r>
            <w:proofErr w:type="spellStart"/>
            <w:r w:rsidRPr="004D32BA">
              <w:rPr>
                <w:i/>
                <w:iCs/>
                <w:sz w:val="18"/>
                <w:szCs w:val="18"/>
              </w:rPr>
              <w:t>gnt</w:t>
            </w:r>
            <w:r w:rsidRPr="004D32BA">
              <w:rPr>
                <w:sz w:val="18"/>
                <w:szCs w:val="18"/>
              </w:rPr>
              <w:t>R</w:t>
            </w:r>
            <w:proofErr w:type="spellEnd"/>
            <w:r w:rsidRPr="004D32BA">
              <w:rPr>
                <w:sz w:val="18"/>
                <w:szCs w:val="18"/>
              </w:rPr>
              <w:t xml:space="preserve">, </w:t>
            </w:r>
            <w:proofErr w:type="spellStart"/>
            <w:r w:rsidRPr="004D32BA">
              <w:rPr>
                <w:i/>
                <w:iCs/>
                <w:sz w:val="18"/>
                <w:szCs w:val="18"/>
              </w:rPr>
              <w:t>gn</w:t>
            </w:r>
            <w:r w:rsidRPr="004D32BA">
              <w:rPr>
                <w:sz w:val="18"/>
                <w:szCs w:val="18"/>
              </w:rPr>
              <w:t>d</w:t>
            </w:r>
            <w:proofErr w:type="spellEnd"/>
            <w:r w:rsidRPr="004D32BA">
              <w:rPr>
                <w:sz w:val="18"/>
                <w:szCs w:val="18"/>
              </w:rPr>
              <w:t xml:space="preserve">, </w:t>
            </w:r>
            <w:proofErr w:type="spellStart"/>
            <w:r w:rsidRPr="004D32BA">
              <w:rPr>
                <w:i/>
                <w:iCs/>
                <w:sz w:val="18"/>
                <w:szCs w:val="18"/>
              </w:rPr>
              <w:t>pfl</w:t>
            </w:r>
            <w:r w:rsidRPr="004D32BA">
              <w:rPr>
                <w:sz w:val="18"/>
                <w:szCs w:val="18"/>
              </w:rPr>
              <w:t>B</w:t>
            </w:r>
            <w:proofErr w:type="spellEnd"/>
            <w:r w:rsidRPr="004D32BA">
              <w:rPr>
                <w:sz w:val="18"/>
                <w:szCs w:val="18"/>
              </w:rPr>
              <w:t xml:space="preserve">, </w:t>
            </w:r>
            <w:proofErr w:type="spellStart"/>
            <w:r w:rsidRPr="004D32BA">
              <w:rPr>
                <w:i/>
                <w:iCs/>
                <w:sz w:val="18"/>
                <w:szCs w:val="18"/>
              </w:rPr>
              <w:t>ldh</w:t>
            </w:r>
            <w:r w:rsidRPr="004D32BA">
              <w:rPr>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5D746C7F" w14:textId="77777777" w:rsidR="00DF3B5B" w:rsidRPr="004D32BA" w:rsidRDefault="00DF3B5B">
            <w:pPr>
              <w:jc w:val="center"/>
              <w:rPr>
                <w:color w:val="000000"/>
                <w:sz w:val="18"/>
                <w:szCs w:val="18"/>
              </w:rPr>
            </w:pPr>
            <w:proofErr w:type="spellStart"/>
            <w:r w:rsidRPr="004D32BA">
              <w:rPr>
                <w:color w:val="000000"/>
                <w:sz w:val="18"/>
                <w:szCs w:val="18"/>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56732F0F" w14:textId="26C4F18D"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{"citationItems":[{"id":"ITEM-1","itemData":{"DOI":"10.1186/s12934-019-1171-4","ISSN":"14752859","PMID":"31319852","abstract":"BACKGROUND: The microbial production of useful fuels and chemicals has been widely studied. In several cases, glucose is used as the raw material, and almost all microbes adopt the Embden-Meyerhof (EM) pathway to degrade glucose into compounds of interest. Recently, the Entner-Doudoroff (ED) pathway has been gaining attention as an alternative strategy for microbial production. RESULTS: In the present study, we attempted to apply the ED pathway for isobutanol production in Escherichia coli because of the complete redox balance involved. First, we generated ED pathway-dependent isobutanol-producing E. coli. Thereafter, the inactivation of the genes concerning organic acids as the byproducts was performed to improve the carbon flux to isobutanol from glucose. Finally, the expression of the genes concerning the ED pathway was modified. CONCLUSIONS: The optimized isobutanol-producing E. coli produced 15.0 g/L of isobutanol as the final titer, and the yield from glucose was 0.37 g/g (g-glucose/g-isobutanol).","author":[{"dropping-particle":"","family":"Noda","given":"Shuhei","non-dropping-particle":"","parse-names":false,"suffix":""},{"dropping-particle":"","family":"Mori","given":"Yutaro","non-dropping-particle":"","parse-names":false,"suffix":""},{"dropping-particle":"","family":"Oyama","given":"Sachiko","non-dropping-particle":"","parse-names":false,"suffix":""},{"dropping-particle":"","family":"Kondo","given":"Akihiko","non-dropping-particle":"","parse-names":false,"suffix":""},{"dropping-particle":"","family":"Araki","given":"Michihiro","non-dropping-particle":"","parse-names":false,"suffix":""},{"dropping-particle":"","family":"Shirai","given":"Tomokazu","non-dropping-particle":"","parse-names":false,"suffix":""}],"container-title":"Microbial cell factories","id":"ITEM-1","issue":"1","issued":{"date-parts":[["2019"]]},"page":"124","publisher":"BioMed Central","title":"Reconstruction of metabolic pathway for isobutanol production in &lt;i&gt;Escherichia coli&lt;/i&gt;","type":"article-journal","volume":"18"},"uris":["http://www.mendeley.com/documents/?uuid=9d6cc691-e0ce-46bb-98ba-77ac109a8cd3"]}],"mendeley":{"formattedCitation":"(Noda et al., 2019)","plainTextFormattedCitation":"(Noda et al., 2019)","previouslyFormattedCitation":"(Noda et al., 2019)"},"properties":{"noteIndex":0},"schema":"https://github.com/citation-style-language/schema/raw/master/csl-citation.json"}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(Noda et al., 2019)</w:t>
            </w:r>
            <w:r w:rsidRPr="004D32BA">
              <w:rPr>
                <w:color w:val="000000"/>
                <w:sz w:val="18"/>
                <w:szCs w:val="18"/>
              </w:rPr>
              <w:fldChar w:fldCharType="end"/>
            </w:r>
          </w:p>
        </w:tc>
      </w:tr>
      <w:tr w:rsidR="00DF3B5B" w:rsidRPr="004D32BA" w14:paraId="0EC938E1"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2994F73C"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MG1655</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2DD8FB6" w14:textId="77777777" w:rsidR="00DF3B5B" w:rsidRPr="004D32BA" w:rsidRDefault="00DF3B5B">
            <w:pPr>
              <w:jc w:val="center"/>
              <w:rPr>
                <w:sz w:val="18"/>
                <w:szCs w:val="18"/>
              </w:rPr>
            </w:pPr>
            <w:proofErr w:type="spellStart"/>
            <w:r w:rsidRPr="004D32BA">
              <w:rPr>
                <w:i/>
                <w:iCs/>
                <w:sz w:val="18"/>
                <w:szCs w:val="18"/>
              </w:rPr>
              <w:t>frd</w:t>
            </w:r>
            <w:r w:rsidRPr="004D32BA">
              <w:rPr>
                <w:sz w:val="18"/>
                <w:szCs w:val="18"/>
              </w:rPr>
              <w:t>A</w:t>
            </w:r>
            <w:proofErr w:type="spellEnd"/>
            <w:r w:rsidRPr="004D32BA">
              <w:rPr>
                <w:sz w:val="18"/>
                <w:szCs w:val="18"/>
              </w:rPr>
              <w:t xml:space="preserve">, </w:t>
            </w:r>
            <w:proofErr w:type="spellStart"/>
            <w:r w:rsidRPr="004D32BA">
              <w:rPr>
                <w:i/>
                <w:iCs/>
                <w:sz w:val="18"/>
                <w:szCs w:val="18"/>
              </w:rPr>
              <w:t>pta</w:t>
            </w:r>
            <w:proofErr w:type="spellEnd"/>
            <w:r w:rsidRPr="004D32BA">
              <w:rPr>
                <w:sz w:val="18"/>
                <w:szCs w:val="18"/>
              </w:rPr>
              <w:t xml:space="preserve">, </w:t>
            </w:r>
            <w:proofErr w:type="spellStart"/>
            <w:r w:rsidRPr="004D32BA">
              <w:rPr>
                <w:i/>
                <w:iCs/>
                <w:sz w:val="18"/>
                <w:szCs w:val="18"/>
              </w:rPr>
              <w:t>ldh</w:t>
            </w:r>
            <w:r w:rsidRPr="004D32BA">
              <w:rPr>
                <w:sz w:val="18"/>
                <w:szCs w:val="18"/>
              </w:rPr>
              <w:t>A</w:t>
            </w:r>
            <w:proofErr w:type="spellEnd"/>
            <w:r w:rsidRPr="004D32BA">
              <w:rPr>
                <w:sz w:val="18"/>
                <w:szCs w:val="18"/>
              </w:rPr>
              <w:t xml:space="preserve">, </w:t>
            </w:r>
            <w:proofErr w:type="spellStart"/>
            <w:r w:rsidRPr="004D32BA">
              <w:rPr>
                <w:i/>
                <w:iCs/>
                <w:sz w:val="18"/>
                <w:szCs w:val="18"/>
              </w:rPr>
              <w:t>adh</w:t>
            </w:r>
            <w:r w:rsidRPr="004D32BA">
              <w:rPr>
                <w:sz w:val="18"/>
                <w:szCs w:val="18"/>
              </w:rPr>
              <w:t>E</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18DF2DEF" w14:textId="77777777" w:rsidR="00DF3B5B" w:rsidRPr="004D32BA" w:rsidRDefault="00DF3B5B">
            <w:pPr>
              <w:jc w:val="center"/>
              <w:rPr>
                <w:color w:val="000000"/>
                <w:sz w:val="18"/>
                <w:szCs w:val="18"/>
              </w:rPr>
            </w:pPr>
            <w:r w:rsidRPr="004D32BA">
              <w:rPr>
                <w:color w:val="000000"/>
                <w:sz w:val="18"/>
                <w:szCs w:val="18"/>
              </w:rPr>
              <w:t xml:space="preserve">2,3-butanediol and </w:t>
            </w:r>
            <w:proofErr w:type="spellStart"/>
            <w:r w:rsidRPr="004D32BA">
              <w:rPr>
                <w:color w:val="000000"/>
                <w:sz w:val="18"/>
                <w:szCs w:val="18"/>
              </w:rPr>
              <w:t>isobutanol</w:t>
            </w:r>
            <w:proofErr w:type="spellEnd"/>
          </w:p>
        </w:tc>
        <w:tc>
          <w:tcPr>
            <w:tcW w:w="2185" w:type="dxa"/>
            <w:tcBorders>
              <w:top w:val="single" w:sz="4" w:space="0" w:color="auto"/>
              <w:left w:val="single" w:sz="4" w:space="0" w:color="auto"/>
              <w:bottom w:val="single" w:sz="4" w:space="0" w:color="auto"/>
              <w:right w:val="single" w:sz="4" w:space="0" w:color="auto"/>
            </w:tcBorders>
            <w:vAlign w:val="center"/>
            <w:hideMark/>
          </w:tcPr>
          <w:p w14:paraId="44F1E41E" w14:textId="3974E400"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{"citationItems":[{"id":"ITEM-1","itemData":{"DOI":"10.1111/1751-7915.13669","ISSN":"17517915","PMID":"32954676","abstract":"The electron transport chain (ETC) is one of the major energy generation pathways in microorganisms under aerobic condition. Higher yield of ATP can be achieved through oxidative phosphorylation with consumption of NADH than with substrate level phosphorylation. However, most value-added metabolites are in an electrochemically reduced state, which requires reducing equivalent NADH as a cofactor. Therefore, optimal production of value-added metabolites should be balanced with ETC in terms of energy production. In this study, we attempted to reduce the activity of ETC to secure availability of NADH. The ETC mutants exhibited poor growth rate and production of fermentative metabolites compared to parental strain. Introduction of heterologous pathways for synthesis of 2,3-butanediol and isobutanol to ETC mutants resulted in increased titres and yields of the metabolites. ETC mutants yielded higher NADH/NAD+ ratio but similar ATP content than that by the parental strain. Furthermore, ETC mutants operated fermentative metabolism pathways independent of oxygen supply in large-scale fermenter, resulting in increased yield and titre of 2,3-butanediol. Thus, engineering of ETC is a useful metabolic engineering approach for production of reduced metabolites.","author":[{"dropping-particle":"","family":"Jung","given":"Hwi Min","non-dropping-particle":"","parse-names":false,"suffix":""},{"dropping-particle":"","family":"Han","given":"Jae Ho","non-dropping-particle":"","parse-names":false,"suffix":""},{"dropping-particle":"","family":"Oh","given":"Min Kyu","non-dropping-particle":"","parse-names":false,"suffix":""}],"container-title":"Microbial Biotechnology","id":"ITEM-1","issue":"1","issued":{"date-parts":[["2020","1","1"]]},"page":"213-226","publisher":"John Wiley and Sons Ltd","title":"Improved production of 2,3-butanediol and isobutanol by engineering electron transport chain in &lt;i&gt;Escherichia coli&lt;/i&gt;","type":"article-journal","volume":"14"},"uris":["http://www.mendeley.com/documents/?uuid=bb7fac35-4a2d-3b1d-b427-29bd9b9c9518"]}],"mendeley":{"formattedCitation":"(Jung et al., 2020)","plainTextFormattedCitation":"(Jung et al., 2020)","previouslyFormattedCitation":"(Jung et al., 2020)"},"properties":{"noteIndex":0},"schema":"https://github.com/citation-style-language/schema/raw/master/csl-citation.json"}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(Jung et al., 2020)</w:t>
            </w:r>
            <w:r w:rsidRPr="004D32BA">
              <w:rPr>
                <w:color w:val="000000"/>
                <w:sz w:val="18"/>
                <w:szCs w:val="18"/>
              </w:rPr>
              <w:fldChar w:fldCharType="end"/>
            </w:r>
          </w:p>
        </w:tc>
      </w:tr>
      <w:tr w:rsidR="00DF3B5B" w:rsidRPr="00EF447E" w14:paraId="00A182D3" w14:textId="77777777" w:rsidTr="00DF3B5B">
        <w:tc>
          <w:tcPr>
            <w:tcW w:w="2447" w:type="dxa"/>
            <w:tcBorders>
              <w:top w:val="single" w:sz="4" w:space="0" w:color="auto"/>
              <w:left w:val="single" w:sz="4" w:space="0" w:color="auto"/>
              <w:bottom w:val="single" w:sz="4" w:space="0" w:color="auto"/>
              <w:right w:val="single" w:sz="4" w:space="0" w:color="auto"/>
            </w:tcBorders>
            <w:vAlign w:val="center"/>
            <w:hideMark/>
          </w:tcPr>
          <w:p w14:paraId="5897CB61" w14:textId="77777777" w:rsidR="00DF3B5B" w:rsidRPr="004D32BA" w:rsidRDefault="00DF3B5B">
            <w:pPr>
              <w:jc w:val="center"/>
              <w:rPr>
                <w:color w:val="000000"/>
                <w:sz w:val="18"/>
                <w:szCs w:val="18"/>
              </w:rPr>
            </w:pPr>
            <w:r w:rsidRPr="004D32BA">
              <w:rPr>
                <w:i/>
                <w:iCs/>
                <w:color w:val="000000"/>
                <w:sz w:val="18"/>
                <w:szCs w:val="18"/>
              </w:rPr>
              <w:t>E. coli</w:t>
            </w:r>
            <w:r w:rsidRPr="004D32BA">
              <w:rPr>
                <w:color w:val="000000"/>
                <w:sz w:val="18"/>
                <w:szCs w:val="18"/>
              </w:rPr>
              <w:t xml:space="preserve"> W3110</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262388E" w14:textId="77777777" w:rsidR="00DF3B5B" w:rsidRPr="004D32BA" w:rsidRDefault="00DF3B5B">
            <w:pPr>
              <w:jc w:val="center"/>
              <w:rPr>
                <w:color w:val="000000"/>
                <w:sz w:val="18"/>
                <w:szCs w:val="18"/>
              </w:rPr>
            </w:pPr>
            <w:proofErr w:type="spellStart"/>
            <w:r w:rsidRPr="004D32BA">
              <w:rPr>
                <w:i/>
                <w:iCs/>
                <w:color w:val="000000"/>
                <w:sz w:val="18"/>
                <w:szCs w:val="18"/>
              </w:rPr>
              <w:t>pfl</w:t>
            </w:r>
            <w:r w:rsidRPr="004D32BA">
              <w:rPr>
                <w:color w:val="000000"/>
                <w:sz w:val="18"/>
                <w:szCs w:val="18"/>
              </w:rPr>
              <w:t>B</w:t>
            </w:r>
            <w:proofErr w:type="spellEnd"/>
            <w:r w:rsidRPr="004D32BA">
              <w:rPr>
                <w:color w:val="000000"/>
                <w:sz w:val="18"/>
                <w:szCs w:val="18"/>
              </w:rPr>
              <w:t xml:space="preserve">, </w:t>
            </w:r>
            <w:proofErr w:type="spellStart"/>
            <w:r w:rsidRPr="004D32BA">
              <w:rPr>
                <w:i/>
                <w:iCs/>
                <w:color w:val="000000"/>
                <w:sz w:val="18"/>
                <w:szCs w:val="18"/>
              </w:rPr>
              <w:t>adh</w:t>
            </w:r>
            <w:r w:rsidRPr="004D32BA">
              <w:rPr>
                <w:color w:val="000000"/>
                <w:sz w:val="18"/>
                <w:szCs w:val="18"/>
              </w:rPr>
              <w:t>E</w:t>
            </w:r>
            <w:proofErr w:type="spellEnd"/>
            <w:r w:rsidRPr="004D32BA">
              <w:rPr>
                <w:color w:val="000000"/>
                <w:sz w:val="18"/>
                <w:szCs w:val="18"/>
              </w:rPr>
              <w:t xml:space="preserve"> y </w:t>
            </w:r>
            <w:proofErr w:type="spellStart"/>
            <w:r w:rsidRPr="004D32BA">
              <w:rPr>
                <w:i/>
                <w:iCs/>
                <w:color w:val="000000"/>
                <w:sz w:val="18"/>
                <w:szCs w:val="18"/>
              </w:rPr>
              <w:t>ldh</w:t>
            </w:r>
            <w:r w:rsidRPr="004D32BA">
              <w:rPr>
                <w:color w:val="000000"/>
                <w:sz w:val="18"/>
                <w:szCs w:val="18"/>
              </w:rPr>
              <w:t>A</w:t>
            </w:r>
            <w:proofErr w:type="spellEnd"/>
          </w:p>
        </w:tc>
        <w:tc>
          <w:tcPr>
            <w:tcW w:w="1962" w:type="dxa"/>
            <w:tcBorders>
              <w:top w:val="single" w:sz="4" w:space="0" w:color="auto"/>
              <w:left w:val="single" w:sz="4" w:space="0" w:color="auto"/>
              <w:bottom w:val="single" w:sz="4" w:space="0" w:color="auto"/>
              <w:right w:val="single" w:sz="4" w:space="0" w:color="auto"/>
            </w:tcBorders>
            <w:vAlign w:val="center"/>
            <w:hideMark/>
          </w:tcPr>
          <w:p w14:paraId="1D208424" w14:textId="77777777" w:rsidR="00DF3B5B" w:rsidRPr="004D32BA" w:rsidRDefault="00DF3B5B">
            <w:pPr>
              <w:jc w:val="center"/>
              <w:rPr>
                <w:color w:val="000000"/>
                <w:sz w:val="18"/>
                <w:szCs w:val="18"/>
              </w:rPr>
            </w:pPr>
            <w:r w:rsidRPr="004D32BA">
              <w:rPr>
                <w:color w:val="000000"/>
                <w:sz w:val="18"/>
                <w:szCs w:val="18"/>
              </w:rPr>
              <w:t>L-valine</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37A29C8" w14:textId="52647BA2" w:rsidR="00DF3B5B" w:rsidRPr="004D32BA" w:rsidRDefault="00DF3B5B">
            <w:pPr>
              <w:jc w:val="center"/>
              <w:rPr>
                <w:color w:val="000000"/>
                <w:sz w:val="18"/>
                <w:szCs w:val="18"/>
              </w:rPr>
            </w:pPr>
            <w:r w:rsidRPr="004D32BA">
              <w:rPr>
                <w:color w:val="000000"/>
                <w:sz w:val="18"/>
                <w:szCs w:val="18"/>
              </w:rPr>
              <w:fldChar w:fldCharType="begin" w:fldLock="1"/>
            </w:r>
            <w:r w:rsidR="00F25170" w:rsidRPr="004D32BA">
              <w:rPr>
                <w:color w:val="000000"/>
                <w:sz w:val="18"/>
                <w:szCs w:val="18"/>
              </w:rPr>
              <w:instrText>ADDIN CSL_CITATION {"citationItems":[{"id":"ITEM-1","itemData":{"DOI":"10.1016/j.ymben.2020.09.007","ISSN":"10967184","PMID":"32961297","abstract":"L-valine is an essential amino acid and an important amino acid in the food and feed industry. The relatively low titer and low fermentation yield currently limit the large-scale application of L-valine. Here, we constructed a chromosomally engineered Escherichia coli to efficiently produce L-valine. First, the synthetic pathway of L-valine was enhanced by heterologous introduction of a feedback-resistant acetolactate acid synthase from Bacillus subtilis and overexpression of other two enzymes in the L-valine synthetic pathway. For efficient efflux of L-valine, an exporter from Corynebacterium glutamicum was subsequently introduced. Next, the precursor pyruvate pool was increased by knockout of GTP pyrophosphokinase and introduction of a ppGpp 3′-pyrophosphohydrolase mutant to facilitate the glucose uptake process. Finally, in order to improve the redox cofactor balance, acetohydroxy acid isomeroreductase was replaced by a NADH-preferring mutant, and branched-chain amino acid aminotransferase was replaced by leucine dehydrogenase from Bacillus subtilis. Redox cofactor balance enabled the strain to synthesize L-valine under oxygen-limiting condition, significantly increasing the yield in the presence of glucose. Two-stage fed-batch fermentation of the final strain in a 5 L bioreactor produced 84 g/L L-valine with a yield and productivity of 0.41 g/g glucose and 2.33 g/L/h, respectively. To the best of our knowledge, this is the highest L-valine titer and yield ever reported in E. coli. The systems metabolic engineering strategy described here will be useful for future engineering of E. coli strains for the industrial production of L-valine and related products.","author":[{"dropping-particle":"","family":"Hao","given":"Yanan","non-dropping-particle":"","parse-names":false,"suffix":""},{"dropping-particle":"","family":"Ma","given":"Qian","non-dropping-particle":"","parse-names":false,"suffix":""},{"dropping-particle":"","family":"Liu","given":"Xiaoqian","non-dropping-particle":"","parse-names":false,"suffix":""},{"dropping-particle":"","family":"Fan","given":"Xiaoguang","non-dropping-particle":"","parse-names":false,"suffix":""},{"dropping-particle":"","family":"Men","given":"Jiaxuan","non-dropping-particle":"","parse-names":false,"suffix":""},{"dropping-particle":"","family":"Wu","given":"Heyun","non-dropping-particle":"","parse-names":false,"suffix":""},{"dropping-particle":"","family":"Jiang","given":"Shuai","non-dropping-particle":"","parse-names":false,"suffix":""},{"dropping-particle":"","family":"Tian","given":"Daoguang","non-dropping-particle":"","parse-names":false,"suffix":""},{"dropping-particle":"","family":"Xiong","given":"Bo","non-dropping-particle":"","parse-names":false,"suffix":""},{"dropping-particle":"","family":"Xie","given":"Xixian","non-dropping-particle":"","parse-names":false,"suffix":""}],"container-title":"Metabolic Engineering","id":"ITEM-1","issue":"September","issued":{"date-parts":[["2020"]]},"page":"198-206","publisher":"Elsevier Inc.","title":"High-yield production of L-valine in engineered &lt;i&gt;Escherichia coli&lt;/i&gt; by a novel two-stage fermentation","type":"article-journal","volume":"62"},"uris":["http://www.mendeley.com/documents/?uuid=9ab807d8-abf5-4854-8f7f-77eda562b80e"]}],"mendeley":{"formattedCitation":"(Hao et al., 2020)","plainTextFormattedCitation":"(Hao et al., 2020)","previouslyFormattedCitation":"(Hao et al., 2020)"},"properties":{"noteIndex":0},"schema":"https://github.com/citation-style-language/schema/raw/master/csl-citation.json"}</w:instrText>
            </w:r>
            <w:r w:rsidRPr="004D32BA">
              <w:rPr>
                <w:color w:val="000000"/>
                <w:sz w:val="18"/>
                <w:szCs w:val="18"/>
              </w:rPr>
              <w:fldChar w:fldCharType="separate"/>
            </w:r>
            <w:r w:rsidRPr="004D32BA">
              <w:rPr>
                <w:noProof/>
                <w:color w:val="000000"/>
                <w:sz w:val="18"/>
                <w:szCs w:val="18"/>
              </w:rPr>
              <w:t>(Hao et al., 2020)</w:t>
            </w:r>
            <w:r w:rsidRPr="004D32BA">
              <w:rPr>
                <w:color w:val="000000"/>
                <w:sz w:val="18"/>
                <w:szCs w:val="18"/>
              </w:rPr>
              <w:fldChar w:fldCharType="end"/>
            </w:r>
          </w:p>
        </w:tc>
      </w:tr>
    </w:tbl>
    <w:p w14:paraId="33DD2D1D" w14:textId="3E3713B1" w:rsidR="00DF3B5B" w:rsidRPr="004D32BA" w:rsidRDefault="00DF3B5B">
      <w:pPr>
        <w:rPr>
          <w:lang w:val="en-US"/>
        </w:rPr>
      </w:pPr>
    </w:p>
    <w:p w14:paraId="61FB4125" w14:textId="7392B0EC" w:rsidR="00DF3B5B" w:rsidRPr="004D32BA" w:rsidRDefault="00DF3B5B">
      <w:pPr>
        <w:rPr>
          <w:lang w:val="en-US"/>
        </w:rPr>
      </w:pPr>
    </w:p>
    <w:p w14:paraId="5D9A447F" w14:textId="0242923C" w:rsidR="00AA5321" w:rsidRPr="004D32BA" w:rsidRDefault="00AA5321">
      <w:pPr>
        <w:rPr>
          <w:lang w:val="en-US"/>
        </w:rPr>
      </w:pPr>
    </w:p>
    <w:p w14:paraId="4EF0AFF5" w14:textId="029B31A3" w:rsidR="00AA5321" w:rsidRPr="004D32BA" w:rsidRDefault="00AA5321">
      <w:pPr>
        <w:rPr>
          <w:lang w:val="en-US"/>
        </w:rPr>
      </w:pPr>
    </w:p>
    <w:p w14:paraId="16CBE65A" w14:textId="2750BDA7" w:rsidR="00AA5321" w:rsidRPr="004D32BA" w:rsidRDefault="00AA5321">
      <w:pPr>
        <w:rPr>
          <w:lang w:val="en-US"/>
        </w:rPr>
      </w:pPr>
    </w:p>
    <w:p w14:paraId="5F886790" w14:textId="0EF9EC7D" w:rsidR="00AA5321" w:rsidRPr="004D32BA" w:rsidRDefault="00AA5321">
      <w:pPr>
        <w:rPr>
          <w:lang w:val="en-US"/>
        </w:rPr>
      </w:pPr>
    </w:p>
    <w:p w14:paraId="24F21D7A" w14:textId="77618F48" w:rsidR="00AA5321" w:rsidRPr="004D32BA" w:rsidRDefault="00AA5321">
      <w:pPr>
        <w:rPr>
          <w:lang w:val="en-US"/>
        </w:rPr>
      </w:pPr>
    </w:p>
    <w:p w14:paraId="74C2C5AC" w14:textId="6F2655E3" w:rsidR="00AA5321" w:rsidRPr="004D32BA" w:rsidRDefault="00AA5321">
      <w:pPr>
        <w:rPr>
          <w:lang w:val="en-US"/>
        </w:rPr>
      </w:pPr>
    </w:p>
    <w:p w14:paraId="2CB9CFCA" w14:textId="6F6548A1" w:rsidR="00AA5321" w:rsidRPr="004D32BA" w:rsidRDefault="00AA5321">
      <w:pPr>
        <w:rPr>
          <w:lang w:val="en-US"/>
        </w:rPr>
      </w:pPr>
    </w:p>
    <w:p w14:paraId="1BA036EF" w14:textId="6C683EC5" w:rsidR="00AA5321" w:rsidRPr="004D32BA" w:rsidRDefault="00AA5321">
      <w:pPr>
        <w:rPr>
          <w:lang w:val="en-US"/>
        </w:rPr>
      </w:pPr>
    </w:p>
    <w:p w14:paraId="763D047F" w14:textId="1DE282EF" w:rsidR="00AA5321" w:rsidRPr="004D32BA" w:rsidRDefault="00AA5321">
      <w:pPr>
        <w:rPr>
          <w:lang w:val="en-US"/>
        </w:rPr>
      </w:pPr>
    </w:p>
    <w:p w14:paraId="5F42CCAF" w14:textId="20B32D3E" w:rsidR="00AA5321" w:rsidRPr="004D32BA" w:rsidRDefault="00AA5321">
      <w:pPr>
        <w:rPr>
          <w:lang w:val="en-US"/>
        </w:rPr>
      </w:pPr>
    </w:p>
    <w:p w14:paraId="65DE971C" w14:textId="1F4F4A91" w:rsidR="008661B8" w:rsidRDefault="008661B8" w:rsidP="00A70A5B">
      <w:pPr>
        <w:pStyle w:val="Sinespaciado"/>
        <w:spacing w:line="360" w:lineRule="auto"/>
        <w:rPr>
          <w:rFonts w:ascii="Times New Roman" w:hAnsi="Times New Roman" w:cs="Times New Roman"/>
          <w:sz w:val="24"/>
          <w:szCs w:val="24"/>
          <w:u w:val="single"/>
        </w:rPr>
      </w:pPr>
    </w:p>
    <w:p w14:paraId="3FEC5074" w14:textId="0BFC1F05" w:rsidR="002D0CBB" w:rsidRDefault="002D0CBB" w:rsidP="00A70A5B">
      <w:pPr>
        <w:pStyle w:val="Sinespaciado"/>
        <w:spacing w:line="360" w:lineRule="auto"/>
        <w:rPr>
          <w:rFonts w:ascii="Times New Roman" w:hAnsi="Times New Roman" w:cs="Times New Roman"/>
          <w:sz w:val="24"/>
          <w:szCs w:val="24"/>
          <w:u w:val="single"/>
        </w:rPr>
      </w:pPr>
    </w:p>
    <w:p w14:paraId="623EC8F3" w14:textId="1F87A2CC" w:rsidR="002D0CBB" w:rsidRDefault="002D0CBB" w:rsidP="00A70A5B">
      <w:pPr>
        <w:pStyle w:val="Sinespaciado"/>
        <w:spacing w:line="360" w:lineRule="auto"/>
        <w:rPr>
          <w:rFonts w:ascii="Times New Roman" w:hAnsi="Times New Roman" w:cs="Times New Roman"/>
          <w:sz w:val="24"/>
          <w:szCs w:val="24"/>
          <w:u w:val="single"/>
        </w:rPr>
      </w:pPr>
    </w:p>
    <w:p w14:paraId="317D4174" w14:textId="2D44D4B6" w:rsidR="00B3405B" w:rsidRDefault="00B3405B" w:rsidP="00A70A5B">
      <w:pPr>
        <w:pStyle w:val="Sinespaciado"/>
        <w:spacing w:line="360" w:lineRule="auto"/>
        <w:rPr>
          <w:rFonts w:ascii="Times New Roman" w:hAnsi="Times New Roman" w:cs="Times New Roman"/>
          <w:sz w:val="24"/>
          <w:szCs w:val="24"/>
          <w:u w:val="single"/>
        </w:rPr>
      </w:pPr>
    </w:p>
    <w:p w14:paraId="3CBAEB9B" w14:textId="77777777" w:rsidR="002D0CBB" w:rsidRPr="004D32BA" w:rsidRDefault="002D0CBB" w:rsidP="002D0CBB">
      <w:pPr>
        <w:pStyle w:val="Sinespaciado"/>
        <w:spacing w:line="480" w:lineRule="auto"/>
        <w:jc w:val="both"/>
        <w:rPr>
          <w:rFonts w:ascii="Times New Roman" w:hAnsi="Times New Roman" w:cs="Times New Roman"/>
          <w:sz w:val="24"/>
          <w:szCs w:val="24"/>
        </w:rPr>
      </w:pPr>
      <w:r w:rsidRPr="004D32BA">
        <w:rPr>
          <w:rFonts w:ascii="Times New Roman" w:hAnsi="Times New Roman" w:cs="Times New Roman"/>
          <w:sz w:val="24"/>
          <w:szCs w:val="24"/>
          <w:u w:val="single"/>
        </w:rPr>
        <w:t>Supplementary method descriptions MD1. Construction of knockout mutants</w:t>
      </w:r>
    </w:p>
    <w:p w14:paraId="69ED783E" w14:textId="466FC893" w:rsidR="002D0CBB" w:rsidRPr="004D32BA" w:rsidRDefault="002D0CBB" w:rsidP="002D0CBB">
      <w:pPr>
        <w:pStyle w:val="Sinespaciado"/>
        <w:spacing w:line="360" w:lineRule="auto"/>
        <w:jc w:val="both"/>
        <w:rPr>
          <w:rFonts w:ascii="Times New Roman" w:hAnsi="Times New Roman" w:cs="Times New Roman"/>
          <w:sz w:val="24"/>
          <w:szCs w:val="24"/>
        </w:rPr>
      </w:pPr>
      <w:r w:rsidRPr="004D32BA">
        <w:rPr>
          <w:rFonts w:ascii="Times New Roman" w:hAnsi="Times New Roman" w:cs="Times New Roman"/>
          <w:color w:val="000000"/>
          <w:sz w:val="24"/>
          <w:szCs w:val="24"/>
        </w:rPr>
        <w:t xml:space="preserve">The deletion of </w:t>
      </w:r>
      <w:proofErr w:type="spellStart"/>
      <w:r w:rsidRPr="004D32BA">
        <w:rPr>
          <w:rFonts w:ascii="Times New Roman" w:hAnsi="Times New Roman" w:cs="Times New Roman"/>
          <w:i/>
          <w:iCs/>
          <w:color w:val="000000"/>
          <w:sz w:val="24"/>
          <w:szCs w:val="24"/>
        </w:rPr>
        <w:t>mdh</w:t>
      </w:r>
      <w:proofErr w:type="spellEnd"/>
      <w:r w:rsidRPr="004D32BA">
        <w:rPr>
          <w:rFonts w:ascii="Times New Roman" w:hAnsi="Times New Roman" w:cs="Times New Roman"/>
          <w:color w:val="000000"/>
          <w:sz w:val="24"/>
          <w:szCs w:val="24"/>
        </w:rPr>
        <w:t xml:space="preserve"> and </w:t>
      </w:r>
      <w:proofErr w:type="spellStart"/>
      <w:r w:rsidRPr="004D32BA">
        <w:rPr>
          <w:rFonts w:ascii="Times New Roman" w:hAnsi="Times New Roman" w:cs="Times New Roman"/>
          <w:i/>
          <w:iCs/>
          <w:color w:val="000000"/>
          <w:sz w:val="24"/>
          <w:szCs w:val="24"/>
        </w:rPr>
        <w:t>ace</w:t>
      </w:r>
      <w:r w:rsidRPr="004D32BA">
        <w:rPr>
          <w:rFonts w:ascii="Times New Roman" w:hAnsi="Times New Roman" w:cs="Times New Roman"/>
          <w:iCs/>
          <w:color w:val="000000"/>
          <w:sz w:val="24"/>
          <w:szCs w:val="24"/>
        </w:rPr>
        <w:t>F</w:t>
      </w:r>
      <w:proofErr w:type="spellEnd"/>
      <w:r w:rsidRPr="004D32BA">
        <w:rPr>
          <w:rFonts w:ascii="Times New Roman" w:hAnsi="Times New Roman" w:cs="Times New Roman"/>
          <w:color w:val="000000"/>
          <w:sz w:val="24"/>
          <w:szCs w:val="24"/>
        </w:rPr>
        <w:t xml:space="preserve"> genes in </w:t>
      </w:r>
      <w:r w:rsidRPr="004D32BA">
        <w:rPr>
          <w:rFonts w:ascii="Times New Roman" w:hAnsi="Times New Roman" w:cs="Times New Roman"/>
          <w:i/>
          <w:iCs/>
          <w:color w:val="000000"/>
          <w:sz w:val="24"/>
          <w:szCs w:val="24"/>
        </w:rPr>
        <w:t>Escherichia coli</w:t>
      </w:r>
      <w:r w:rsidRPr="004D32BA">
        <w:rPr>
          <w:rFonts w:ascii="Times New Roman" w:hAnsi="Times New Roman" w:cs="Times New Roman"/>
          <w:color w:val="000000"/>
          <w:sz w:val="24"/>
          <w:szCs w:val="24"/>
        </w:rPr>
        <w:t xml:space="preserve"> W was performed using the method developed by Kim </w:t>
      </w:r>
      <w:r w:rsidRPr="004D32BA">
        <w:rPr>
          <w:rFonts w:ascii="Times New Roman" w:hAnsi="Times New Roman" w:cs="Times New Roman"/>
          <w:i/>
          <w:iCs/>
          <w:color w:val="000000"/>
          <w:sz w:val="24"/>
          <w:szCs w:val="24"/>
        </w:rPr>
        <w:t>et al</w:t>
      </w:r>
      <w:r>
        <w:rPr>
          <w:rFonts w:ascii="Times New Roman" w:hAnsi="Times New Roman" w:cs="Times New Roman"/>
          <w:i/>
          <w:iCs/>
          <w:color w:val="000000"/>
          <w:sz w:val="24"/>
          <w:szCs w:val="24"/>
        </w:rPr>
        <w:t>.</w:t>
      </w:r>
      <w:r w:rsidRPr="004D32BA">
        <w:rPr>
          <w:rFonts w:ascii="Times New Roman" w:hAnsi="Times New Roman" w:cs="Times New Roman"/>
          <w:color w:val="000000"/>
          <w:sz w:val="24"/>
          <w:szCs w:val="24"/>
        </w:rPr>
        <w:t xml:space="preserve"> </w:t>
      </w:r>
      <w:r w:rsidRPr="004D32BA">
        <w:rPr>
          <w:rFonts w:ascii="Times New Roman" w:hAnsi="Times New Roman" w:cs="Times New Roman"/>
          <w:sz w:val="24"/>
          <w:szCs w:val="24"/>
          <w:lang w:val="es-CO"/>
        </w:rPr>
        <w:fldChar w:fldCharType="begin" w:fldLock="1"/>
      </w:r>
      <w:r w:rsidR="00766330">
        <w:rPr>
          <w:rFonts w:ascii="Times New Roman" w:hAnsi="Times New Roman" w:cs="Times New Roman"/>
          <w:sz w:val="24"/>
          <w:szCs w:val="24"/>
        </w:rPr>
        <w:instrText>ADDIN CSL_CITATION {"citationItems":[{"id":"ITEM-1","itemData":{"DOI":"10.1186/1472-6750-14-84","ISSN":"14726750","PMID":"25255806","abstract":"Background: Recently developed methods for genome editing in bacteria take advantage of the introduction of double-strand breaks by I-SceI in a mutation cassette to select for cells in which homologous recombination has healed the break and introduced a desired mutation. This elegantly designed method did not work well in our hands for most genes. Results: We corrected a mutation in the gene encoding I-SceI that compromised the function of a previously used Red helper plasmid. Further, we found that transcription extending into the mutation cassette interferes with cleavage by I-SceI. Addition of two transcription terminators upstream of the cleavage site dramatically increases the efficiency of genome editing. We also developed an improved method for modification of essential genes. Inclusion of a segment of the essential gene consisting of synonymous codons restores an open reading frame when the mutation cassette is integrated into the genome and decreases the frequency of recombination events that fail to incorporate the desired mutation. The optimized protocol takes only 5 days and has been 100% successful for over 100 genomic modifications in our hands. Conclusions: The method we describe here is reliable and versatile, enabling various types of genome editing in Escherichia coli and Salmonella enterica by straightforward modifications of the mutation cassette. We provide detailed descriptions of the methods as well as designs for insertions, deletions, and introduction of point mutations.","author":[{"dropping-particle":"","family":"Kim","given":"","non-dropping-particle":"","parse-names":false,"suffix":""},{"dropping-particle":"","family":"Webb","given":"Anthony M.","non-dropping-particle":"","parse-names":false,"suffix":""},{"dropping-particle":"","family":"Kershner","given":"Jamie P.","non-dropping-particle":"","parse-names":false,"suffix":""},{"dropping-particle":"","family":"Blaskowski","given":"Stephen","non-dropping-particle":"","parse-names":false,"suffix":""},{"dropping-particle":"","family":"Copley","given":"Shelley D.","non-dropping-particle":"","parse-names":false,"suffix":""}],"container-title":"BMC Biotechnology","id":"ITEM-1","issue":"1","issued":{"date-parts":[["2014","9","25"]]},"publisher":"BioMed Central Ltd.","title":"A versatile and highly efficient method for scarless genome editing in Escherichia coli and Salmonella enterica","type":"article-journal","volume":"14"},"uris":["http://www.mendeley.com/documents/?uuid=9cfdc88a-b16b-324c-a46a-c4d9fd6e108b"]}],"mendeley":{"formattedCitation":"(Kim et al., 2014)","plainTextFormattedCitation":"(Kim et al., 2014)","previouslyFormattedCitation":"(Kim et al., 2014)"},"properties":{"noteIndex":0},"schema":"https://github.com/citation-style-language/schema/raw/master/csl-citation.json"}</w:instrText>
      </w:r>
      <w:r w:rsidRPr="004D32BA">
        <w:rPr>
          <w:rFonts w:ascii="Times New Roman" w:hAnsi="Times New Roman" w:cs="Times New Roman"/>
          <w:sz w:val="24"/>
          <w:szCs w:val="24"/>
          <w:lang w:val="es-CO"/>
        </w:rPr>
        <w:fldChar w:fldCharType="separate"/>
      </w:r>
      <w:r w:rsidRPr="00766330">
        <w:rPr>
          <w:rFonts w:ascii="Times New Roman" w:hAnsi="Times New Roman" w:cs="Times New Roman"/>
          <w:noProof/>
          <w:sz w:val="24"/>
          <w:szCs w:val="24"/>
        </w:rPr>
        <w:t>(Kim et al., 2014)</w:t>
      </w:r>
      <w:r w:rsidRPr="004D32BA">
        <w:rPr>
          <w:rFonts w:ascii="Times New Roman" w:hAnsi="Times New Roman" w:cs="Times New Roman"/>
          <w:sz w:val="24"/>
          <w:szCs w:val="24"/>
          <w:lang w:val="es-CO"/>
        </w:rPr>
        <w:fldChar w:fldCharType="end"/>
      </w:r>
      <w:r w:rsidRPr="004D32BA">
        <w:rPr>
          <w:rFonts w:ascii="Times New Roman" w:hAnsi="Times New Roman" w:cs="Times New Roman"/>
          <w:sz w:val="24"/>
          <w:szCs w:val="24"/>
        </w:rPr>
        <w:t xml:space="preserve"> </w:t>
      </w:r>
      <w:r w:rsidRPr="004D32BA">
        <w:rPr>
          <w:rFonts w:ascii="Times New Roman" w:hAnsi="Times New Roman" w:cs="Times New Roman"/>
          <w:color w:val="000000"/>
          <w:sz w:val="24"/>
          <w:szCs w:val="24"/>
        </w:rPr>
        <w:t xml:space="preserve">with minor modifications: </w:t>
      </w:r>
      <w:proofErr w:type="spellStart"/>
      <w:r w:rsidRPr="004D32BA">
        <w:rPr>
          <w:rFonts w:ascii="Times New Roman" w:hAnsi="Times New Roman" w:cs="Times New Roman"/>
          <w:color w:val="000000"/>
          <w:sz w:val="24"/>
          <w:szCs w:val="24"/>
        </w:rPr>
        <w:t>i</w:t>
      </w:r>
      <w:proofErr w:type="spellEnd"/>
      <w:r w:rsidRPr="004D32BA">
        <w:rPr>
          <w:rFonts w:ascii="Times New Roman" w:hAnsi="Times New Roman" w:cs="Times New Roman"/>
          <w:color w:val="000000"/>
          <w:sz w:val="24"/>
          <w:szCs w:val="24"/>
        </w:rPr>
        <w:t xml:space="preserve">) The T2SK from the plasmid pT2SK was adapted by PCR introducing </w:t>
      </w:r>
      <w:proofErr w:type="spellStart"/>
      <w:r w:rsidRPr="004D32BA">
        <w:rPr>
          <w:rFonts w:ascii="Times New Roman" w:hAnsi="Times New Roman" w:cs="Times New Roman"/>
          <w:i/>
          <w:iCs/>
          <w:color w:val="000000"/>
          <w:sz w:val="24"/>
          <w:szCs w:val="24"/>
        </w:rPr>
        <w:t>Sac</w:t>
      </w:r>
      <w:r w:rsidRPr="004D32BA">
        <w:rPr>
          <w:rFonts w:ascii="Times New Roman" w:hAnsi="Times New Roman" w:cs="Times New Roman"/>
          <w:color w:val="000000"/>
          <w:sz w:val="24"/>
          <w:szCs w:val="24"/>
        </w:rPr>
        <w:t>I</w:t>
      </w:r>
      <w:proofErr w:type="spellEnd"/>
      <w:r w:rsidRPr="004D32BA">
        <w:rPr>
          <w:rFonts w:ascii="Times New Roman" w:hAnsi="Times New Roman" w:cs="Times New Roman"/>
          <w:color w:val="000000"/>
          <w:sz w:val="24"/>
          <w:szCs w:val="24"/>
        </w:rPr>
        <w:t xml:space="preserve"> and </w:t>
      </w:r>
      <w:proofErr w:type="spellStart"/>
      <w:r w:rsidRPr="004D32BA">
        <w:rPr>
          <w:rFonts w:ascii="Times New Roman" w:hAnsi="Times New Roman" w:cs="Times New Roman"/>
          <w:i/>
          <w:iCs/>
          <w:color w:val="000000"/>
          <w:sz w:val="24"/>
          <w:szCs w:val="24"/>
        </w:rPr>
        <w:t>Bam</w:t>
      </w:r>
      <w:r w:rsidRPr="004D32BA">
        <w:rPr>
          <w:rFonts w:ascii="Times New Roman" w:hAnsi="Times New Roman" w:cs="Times New Roman"/>
          <w:color w:val="000000"/>
          <w:sz w:val="24"/>
          <w:szCs w:val="24"/>
        </w:rPr>
        <w:t>HI</w:t>
      </w:r>
      <w:proofErr w:type="spellEnd"/>
      <w:r w:rsidRPr="004D32BA">
        <w:rPr>
          <w:rFonts w:ascii="Times New Roman" w:hAnsi="Times New Roman" w:cs="Times New Roman"/>
          <w:color w:val="000000"/>
          <w:sz w:val="24"/>
          <w:szCs w:val="24"/>
        </w:rPr>
        <w:t xml:space="preserve"> restriction sites at both sides (T2SK cassette). Ii) 200 pb upstream and downstream of </w:t>
      </w:r>
      <w:proofErr w:type="spellStart"/>
      <w:r w:rsidRPr="004D32BA">
        <w:rPr>
          <w:rFonts w:ascii="Times New Roman" w:hAnsi="Times New Roman" w:cs="Times New Roman"/>
          <w:i/>
          <w:iCs/>
          <w:color w:val="000000"/>
          <w:sz w:val="24"/>
          <w:szCs w:val="24"/>
        </w:rPr>
        <w:t>mdh</w:t>
      </w:r>
      <w:proofErr w:type="spellEnd"/>
      <w:r w:rsidRPr="004D32BA">
        <w:rPr>
          <w:rFonts w:ascii="Times New Roman" w:hAnsi="Times New Roman" w:cs="Times New Roman"/>
          <w:color w:val="000000"/>
          <w:sz w:val="24"/>
          <w:szCs w:val="24"/>
        </w:rPr>
        <w:t xml:space="preserve"> and </w:t>
      </w:r>
      <w:proofErr w:type="spellStart"/>
      <w:r w:rsidRPr="004D32BA">
        <w:rPr>
          <w:rFonts w:ascii="Times New Roman" w:hAnsi="Times New Roman" w:cs="Times New Roman"/>
          <w:i/>
          <w:iCs/>
          <w:color w:val="000000"/>
          <w:sz w:val="24"/>
          <w:szCs w:val="24"/>
        </w:rPr>
        <w:t>ace</w:t>
      </w:r>
      <w:r w:rsidRPr="004D32BA">
        <w:rPr>
          <w:rFonts w:ascii="Times New Roman" w:hAnsi="Times New Roman" w:cs="Times New Roman"/>
          <w:iCs/>
          <w:color w:val="000000"/>
          <w:sz w:val="24"/>
          <w:szCs w:val="24"/>
        </w:rPr>
        <w:t>F</w:t>
      </w:r>
      <w:proofErr w:type="spellEnd"/>
      <w:r w:rsidRPr="004D32BA">
        <w:rPr>
          <w:rFonts w:ascii="Times New Roman" w:hAnsi="Times New Roman" w:cs="Times New Roman"/>
          <w:color w:val="000000"/>
          <w:sz w:val="24"/>
          <w:szCs w:val="24"/>
        </w:rPr>
        <w:t xml:space="preserve"> (</w:t>
      </w:r>
      <w:proofErr w:type="spellStart"/>
      <w:r w:rsidRPr="004D32BA">
        <w:rPr>
          <w:rFonts w:ascii="Times New Roman" w:hAnsi="Times New Roman" w:cs="Times New Roman"/>
          <w:color w:val="000000"/>
          <w:sz w:val="24"/>
          <w:szCs w:val="24"/>
        </w:rPr>
        <w:t>Rec_arms</w:t>
      </w:r>
      <w:proofErr w:type="spellEnd"/>
      <w:r w:rsidRPr="004D32BA">
        <w:rPr>
          <w:rFonts w:ascii="Times New Roman" w:hAnsi="Times New Roman" w:cs="Times New Roman"/>
          <w:color w:val="000000"/>
          <w:sz w:val="24"/>
          <w:szCs w:val="24"/>
        </w:rPr>
        <w:t xml:space="preserve"> 1 and 2) were amplified by PCR using </w:t>
      </w:r>
      <w:r w:rsidRPr="004D32BA">
        <w:rPr>
          <w:rFonts w:ascii="Times New Roman" w:hAnsi="Times New Roman" w:cs="Times New Roman"/>
          <w:i/>
          <w:iCs/>
          <w:color w:val="000000"/>
          <w:sz w:val="24"/>
          <w:szCs w:val="24"/>
        </w:rPr>
        <w:t>E. coli</w:t>
      </w:r>
      <w:r w:rsidRPr="004D32BA">
        <w:rPr>
          <w:rFonts w:ascii="Times New Roman" w:hAnsi="Times New Roman" w:cs="Times New Roman"/>
          <w:color w:val="000000"/>
          <w:sz w:val="24"/>
          <w:szCs w:val="24"/>
        </w:rPr>
        <w:t xml:space="preserve"> W chromosome as template and ligated at both sides of T2SK in the </w:t>
      </w:r>
      <w:proofErr w:type="spellStart"/>
      <w:r w:rsidRPr="004D32BA">
        <w:rPr>
          <w:rFonts w:ascii="Times New Roman" w:hAnsi="Times New Roman" w:cs="Times New Roman"/>
          <w:i/>
          <w:iCs/>
          <w:color w:val="000000"/>
          <w:sz w:val="24"/>
          <w:szCs w:val="24"/>
        </w:rPr>
        <w:t>Sac</w:t>
      </w:r>
      <w:r w:rsidRPr="004D32BA">
        <w:rPr>
          <w:rFonts w:ascii="Times New Roman" w:hAnsi="Times New Roman" w:cs="Times New Roman"/>
          <w:color w:val="000000"/>
          <w:sz w:val="24"/>
          <w:szCs w:val="24"/>
        </w:rPr>
        <w:t>I</w:t>
      </w:r>
      <w:proofErr w:type="spellEnd"/>
      <w:r w:rsidRPr="004D32BA">
        <w:rPr>
          <w:rFonts w:ascii="Times New Roman" w:hAnsi="Times New Roman" w:cs="Times New Roman"/>
          <w:color w:val="000000"/>
          <w:sz w:val="24"/>
          <w:szCs w:val="24"/>
        </w:rPr>
        <w:t xml:space="preserve"> and </w:t>
      </w:r>
      <w:proofErr w:type="spellStart"/>
      <w:r w:rsidRPr="004D32BA">
        <w:rPr>
          <w:rFonts w:ascii="Times New Roman" w:hAnsi="Times New Roman" w:cs="Times New Roman"/>
          <w:i/>
          <w:iCs/>
          <w:color w:val="000000"/>
          <w:sz w:val="24"/>
          <w:szCs w:val="24"/>
        </w:rPr>
        <w:t>Bam</w:t>
      </w:r>
      <w:r w:rsidRPr="004D32BA">
        <w:rPr>
          <w:rFonts w:ascii="Times New Roman" w:hAnsi="Times New Roman" w:cs="Times New Roman"/>
          <w:color w:val="000000"/>
          <w:sz w:val="24"/>
          <w:szCs w:val="24"/>
        </w:rPr>
        <w:t>HI</w:t>
      </w:r>
      <w:proofErr w:type="spellEnd"/>
      <w:r w:rsidRPr="004D32BA">
        <w:rPr>
          <w:rFonts w:ascii="Times New Roman" w:hAnsi="Times New Roman" w:cs="Times New Roman"/>
          <w:color w:val="000000"/>
          <w:sz w:val="24"/>
          <w:szCs w:val="24"/>
        </w:rPr>
        <w:t xml:space="preserve"> sites and cloned in pSEVA182 generating the mdh_Arm1y2 and aceF_Arm1y2 constructs (</w:t>
      </w:r>
      <w:r w:rsidRPr="004D32BA">
        <w:rPr>
          <w:rFonts w:ascii="Times New Roman" w:hAnsi="Times New Roman" w:cs="Times New Roman"/>
          <w:sz w:val="24"/>
          <w:szCs w:val="24"/>
        </w:rPr>
        <w:t>Figure S1 and Figure S2). iii) These constructs where used as PCR template for the construction of the final mutational cassettes for the generation of the knockout mutants.</w:t>
      </w:r>
    </w:p>
    <w:p w14:paraId="7A30C9CE" w14:textId="77777777" w:rsidR="002D0CBB" w:rsidRDefault="002D0CBB" w:rsidP="00A70A5B">
      <w:pPr>
        <w:pStyle w:val="Sinespaciado"/>
        <w:spacing w:line="360" w:lineRule="auto"/>
        <w:rPr>
          <w:rFonts w:ascii="Times New Roman" w:hAnsi="Times New Roman" w:cs="Times New Roman"/>
          <w:sz w:val="24"/>
          <w:szCs w:val="24"/>
          <w:u w:val="single"/>
        </w:rPr>
      </w:pPr>
    </w:p>
    <w:p w14:paraId="3DD61168" w14:textId="77777777" w:rsidR="002D0CBB" w:rsidRPr="004D32BA" w:rsidRDefault="002D0CBB" w:rsidP="002D0CBB">
      <w:pPr>
        <w:tabs>
          <w:tab w:val="left" w:pos="1020"/>
        </w:tabs>
        <w:spacing w:line="360" w:lineRule="auto"/>
        <w:rPr>
          <w:rFonts w:eastAsiaTheme="minorHAnsi"/>
          <w:u w:val="single"/>
          <w:lang w:val="en-US" w:eastAsia="en-US"/>
        </w:rPr>
      </w:pPr>
      <w:r w:rsidRPr="004D32BA">
        <w:rPr>
          <w:u w:val="single"/>
          <w:lang w:val="en-US"/>
        </w:rPr>
        <w:t xml:space="preserve">Supplementary method descriptions MD2. </w:t>
      </w:r>
      <w:r w:rsidRPr="004D32BA">
        <w:rPr>
          <w:rFonts w:eastAsiaTheme="minorHAnsi"/>
          <w:u w:val="single"/>
          <w:lang w:val="en-US" w:eastAsia="en-US"/>
        </w:rPr>
        <w:t>Construction of synthetic expression systems</w:t>
      </w:r>
    </w:p>
    <w:p w14:paraId="58669221" w14:textId="77777777" w:rsidR="002D0CBB" w:rsidRPr="004D32BA" w:rsidRDefault="002D0CBB" w:rsidP="002D0CBB">
      <w:pPr>
        <w:tabs>
          <w:tab w:val="left" w:pos="1020"/>
        </w:tabs>
        <w:spacing w:line="360" w:lineRule="auto"/>
        <w:rPr>
          <w:rFonts w:eastAsiaTheme="minorHAnsi"/>
          <w:u w:val="single"/>
          <w:lang w:val="en-US" w:eastAsia="en-US"/>
        </w:rPr>
      </w:pPr>
    </w:p>
    <w:p w14:paraId="77DBA664" w14:textId="20887650" w:rsidR="002D0CBB" w:rsidRPr="004D32BA" w:rsidRDefault="002D0CBB" w:rsidP="00F73D5E">
      <w:pPr>
        <w:spacing w:line="360" w:lineRule="auto"/>
        <w:jc w:val="both"/>
        <w:rPr>
          <w:rFonts w:eastAsiaTheme="minorHAnsi"/>
          <w:sz w:val="22"/>
          <w:szCs w:val="22"/>
          <w:u w:val="single"/>
          <w:lang w:val="en-US" w:eastAsia="en-US"/>
        </w:rPr>
      </w:pPr>
      <w:r w:rsidRPr="002D0CBB">
        <w:rPr>
          <w:rFonts w:eastAsiaTheme="minorHAnsi"/>
          <w:lang w:val="en" w:eastAsia="en-US"/>
        </w:rPr>
        <w:t xml:space="preserve">For the overexpression of desired genes synthetic operons were constructed according to the </w:t>
      </w:r>
      <w:r w:rsidR="00300FF9" w:rsidRPr="002D0CBB">
        <w:rPr>
          <w:rFonts w:eastAsiaTheme="minorHAnsi"/>
          <w:lang w:val="en" w:eastAsia="en-US"/>
        </w:rPr>
        <w:t xml:space="preserve">Golden Standard </w:t>
      </w:r>
      <w:r w:rsidRPr="002D0CBB">
        <w:rPr>
          <w:rFonts w:eastAsiaTheme="minorHAnsi"/>
          <w:lang w:val="en" w:eastAsia="en-US"/>
        </w:rPr>
        <w:t>method developed in our lab</w:t>
      </w:r>
      <w:r w:rsidR="00766330">
        <w:rPr>
          <w:rFonts w:eastAsiaTheme="minorHAnsi"/>
          <w:lang w:val="en" w:eastAsia="en-US"/>
        </w:rPr>
        <w:t xml:space="preserve"> </w:t>
      </w:r>
      <w:r w:rsidR="00766330">
        <w:rPr>
          <w:rFonts w:eastAsiaTheme="minorHAnsi"/>
          <w:lang w:val="en" w:eastAsia="en-US"/>
        </w:rPr>
        <w:fldChar w:fldCharType="begin" w:fldLock="1"/>
      </w:r>
      <w:r w:rsidR="00766330">
        <w:rPr>
          <w:rFonts w:eastAsiaTheme="minorHAnsi"/>
          <w:lang w:val="en" w:eastAsia="en-US"/>
        </w:rPr>
        <w:instrText>ADDIN CSL_CITATION {"citationItems":[{"id":"ITEM-1","itemData":{"DOI":"10.1101/2022.09.20.508659","abstract":"Modular cloning assembly has become a benchmark technology in synthetic biology. However, there is a mismatch between its impressive development and the standardization required to promote interoperability between the different systems available. The full development of the field is thus hampered by a surge of oftentimes incompatible organism-specific systems. To overcome these issues, we present Golden Standard (GS), a Type IIS assembly method underpinned by the Standard European Vector Architecture (SEVA). GS unlocks modular cloning applications with any type of microorganism and delivers consistent combinatorial multi-part assembly of standardized genetic elements to create genetic circuits of up to twenty transcription units. Reliance on the Golden Gate syntax renders GS fully compatible with many existing tools and it sets the path towards efficient reusability of available part libraries and assembled TUs. GS was fully validated in terms of DNA assembly performance, portability and phenotype engineering in model and non-model bacteria. In order to facilitate the widespread adoption and future community-driven development of GS, we provide a web-portal featuring: i) a repository of parts and vectors, ii) a SBOLHub for exchange and analysis of constructs and iii) Wizard and Setup tools to guide the design of constructs using stored and user-specific parts.\n\n### Competing Interest Statement\n\nThe authors have declared no competing interest.","author":[{"dropping-particle":"","family":"Blázquez","given":"Blas","non-dropping-particle":"","parse-names":false,"suffix":""},{"dropping-particle":"","family":"Torres-Bacete","given":"Jesús","non-dropping-particle":"","parse-names":false,"suffix":""},{"dropping-particle":"","family":"Leon","given":"David San","non-dropping-particle":"","parse-names":false,"suffix":""},{"dropping-particle":"","family":"Kniewel","given":"Ryan","non-dropping-particle":"","parse-names":false,"suffix":""},{"dropping-particle":"","family":"Martinez","given":"Igor","non-dropping-particle":"","parse-names":false,"suffix":""},{"dropping-particle":"","family":"Sordon","given":"Sandra","non-dropping-particle":"","parse-names":false,"suffix":""},{"dropping-particle":"","family":"Wilczak","given":"Aleksandra","non-dropping-particle":"","parse-names":false,"suffix":""},{"dropping-particle":"","family":"Salgado","given":"Sergio","non-dropping-particle":"","parse-names":false,"suffix":""},{"dropping-particle":"","family":"Huszcza","given":"Ewa","non-dropping-particle":"","parse-names":false,"suffix":""},{"dropping-particle":"","family":"Popłoński","given":"Jarosław","non-dropping-particle":"","parse-names":false,"suffix":""},{"dropping-particle":"","family":"Prieto","given":"M. Auxiliadora","non-dropping-particle":"","parse-names":false,"suffix":""},{"dropping-particle":"","family":"Nogales","given":"Juan","non-dropping-particle":"","parse-names":false,"suffix":""}],"container-title":"bioRxiv","id":"ITEM-1","issued":{"date-parts":[["2022","9","20"]]},"page":"2022.09.20.508659","publisher":"Cold Spring Harbor Laboratory","title":"Golden Standard: A complete standard, portable, and interoperative MoClo tool for model and non-model bacterial hosts","type":"article-journal"},"uris":["http://www.mendeley.com/documents/?uuid=1ce04c7a-5c68-3185-8d6c-38de18d7cd7b"]}],"mendeley":{"formattedCitation":"(Blázquez et al., 2022)","plainTextFormattedCitation":"(Blázquez et al., 2022)"},"properties":{"noteIndex":0},"schema":"https://github.com/citation-style-language/schema/raw/master/csl-citation.json"}</w:instrText>
      </w:r>
      <w:r w:rsidR="00766330">
        <w:rPr>
          <w:rFonts w:eastAsiaTheme="minorHAnsi"/>
          <w:lang w:val="en" w:eastAsia="en-US"/>
        </w:rPr>
        <w:fldChar w:fldCharType="separate"/>
      </w:r>
      <w:r w:rsidR="00766330" w:rsidRPr="00766330">
        <w:rPr>
          <w:rFonts w:eastAsiaTheme="minorHAnsi"/>
          <w:noProof/>
          <w:lang w:val="en" w:eastAsia="en-US"/>
        </w:rPr>
        <w:t>(Blázquez et al., 2022)</w:t>
      </w:r>
      <w:r w:rsidR="00766330">
        <w:rPr>
          <w:rFonts w:eastAsiaTheme="minorHAnsi"/>
          <w:lang w:val="en" w:eastAsia="en-US"/>
        </w:rPr>
        <w:fldChar w:fldCharType="end"/>
      </w:r>
      <w:r w:rsidR="00B3405B">
        <w:rPr>
          <w:rFonts w:eastAsiaTheme="minorHAnsi"/>
          <w:lang w:val="en" w:eastAsia="en-US"/>
        </w:rPr>
        <w:t>.</w:t>
      </w:r>
      <w:r w:rsidRPr="002D0CBB">
        <w:rPr>
          <w:rFonts w:eastAsiaTheme="minorHAnsi"/>
          <w:lang w:val="en" w:eastAsia="en-US"/>
        </w:rPr>
        <w:t xml:space="preserve"> </w:t>
      </w:r>
      <w:r w:rsidRPr="00B3405B">
        <w:rPr>
          <w:rFonts w:eastAsiaTheme="minorHAnsi"/>
          <w:lang w:val="en" w:eastAsia="en-US"/>
        </w:rPr>
        <w:t>The CDS level 0 parts were constructed by chemical synthesis (</w:t>
      </w:r>
      <w:r w:rsidR="00B3405B" w:rsidRPr="00B3405B">
        <w:rPr>
          <w:u w:val="single"/>
          <w:lang w:val="en-US"/>
        </w:rPr>
        <w:t>Supplementary Table S</w:t>
      </w:r>
      <w:r w:rsidR="00F43054">
        <w:rPr>
          <w:u w:val="single"/>
          <w:lang w:val="en-US"/>
        </w:rPr>
        <w:t>2</w:t>
      </w:r>
      <w:r w:rsidRPr="00B3405B">
        <w:rPr>
          <w:rFonts w:eastAsiaTheme="minorHAnsi"/>
          <w:lang w:val="en" w:eastAsia="en-US"/>
        </w:rPr>
        <w:t>).</w:t>
      </w:r>
      <w:r w:rsidR="00B3405B">
        <w:rPr>
          <w:rFonts w:eastAsiaTheme="minorHAnsi"/>
          <w:lang w:val="en" w:eastAsia="en-US"/>
        </w:rPr>
        <w:t xml:space="preserve"> </w:t>
      </w:r>
      <w:r w:rsidRPr="00B3405B">
        <w:rPr>
          <w:lang w:val="en-US"/>
        </w:rPr>
        <w:t>Wer</w:t>
      </w:r>
      <w:r w:rsidRPr="002D0CBB">
        <w:rPr>
          <w:lang w:val="en-US"/>
        </w:rPr>
        <w:t>e used linkers for a continue transcription of genes. In addition, through of previous test of others ribosomes</w:t>
      </w:r>
      <w:r w:rsidRPr="004D32BA">
        <w:rPr>
          <w:lang w:val="en-US"/>
        </w:rPr>
        <w:t>, was selected standard ribosome (</w:t>
      </w:r>
      <w:r w:rsidR="00611176" w:rsidRPr="004D32BA">
        <w:rPr>
          <w:lang w:val="en-US"/>
        </w:rPr>
        <w:t>std</w:t>
      </w:r>
      <w:r w:rsidRPr="004D32BA">
        <w:rPr>
          <w:lang w:val="en-US"/>
        </w:rPr>
        <w:t xml:space="preserve">) </w:t>
      </w:r>
      <w:bookmarkStart w:id="6" w:name="_Hlk104730017"/>
      <w:r w:rsidRPr="004D32BA">
        <w:fldChar w:fldCharType="begin" w:fldLock="1"/>
      </w:r>
      <w:r w:rsidR="00766330">
        <w:rPr>
          <w:lang w:val="en-US"/>
        </w:rPr>
        <w:instrText>ADDIN CSL_CITATION {"citationItems":[{"id":"ITEM-1","itemData":{"DOI":"10.1111/J.1365-2958.2010.07448.X","ISSN":"1365-2958","PMID":"21219457","abstract":"Gallic acid (3,4,5-trihydroxybenzoic acid, GA) is widely distributed in nature, being a major phenolic pollutant and a commonly used antioxidant and building-block for drug development. We have characterized the first complete cluster (gal genes) responsible for growth in GA in a derivative of the model bacterium Pseudomonas putida KT2440. GalT mediates specific GA uptake and chemotaxis, and highlights the critical role of GA transport in bacterial adaptation to GA consumption. The proposed GA degradation via the central intermediate 4-oxalomesaconic acid (OMA) was revisited and all enzymes involved have been identified. Thus, GalD is the prototype of a new subfamily of isomerases that catalyses a biochemical step that remained unknown, i.e. the tautomerization of the OMAketo generated by the GalA dioxygenase to OMAenol. GalB is the founding member of a new family of zinc-containing hydratases that converts OMAenol into 4-carboxy-4-hydroxy-2-oxoadipic acid (CHA). galC encodes the aldolase catalysing CHA cleavage to pyruvic and oxaloacetic acids. The presence of homologous gal clusters outside the Pseudomonas genus sheds light on the evolution and ecology of the gal genes in GA degraders. The gal genes were used for expanding the metabolic abilities of heterologous hosts towards GA degradation, and for engineering a GA cellular biosensor. © 2010 Blackwell Publishing Ltd.","author":[{"dropping-particle":"","family":"Nogales","given":"Juan","non-dropping-particle":"","parse-names":false,"suffix":""},{"dropping-particle":"","family":"Canales","given":"Angeles","non-dropping-particle":"","parse-names":false,"suffix":""},{"dropping-particle":"","family":"Jiménez-Barbero","given":"Jesús","non-dropping-particle":"","parse-names":false,"suffix":""},{"dropping-particle":"","family":"Serra","given":"Beatriz","non-dropping-particle":"","parse-names":false,"suffix":""},{"dropping-particle":"","family":"Pingarrón","given":"José","non-dropping-particle":"","parse-names":false,"suffix":""},{"dropping-particle":"","family":"García","given":"José","non-dropping-particle":"","parse-names":false,"suffix":""},{"dropping-particle":"","family":"Díaz","given":"Eduardo","non-dropping-particle":"","parse-names":false,"suffix":""}],"container-title":"Molecular microbiology","id":"ITEM-1","issue":"2","issued":{"date-parts":[["2011","1"]]},"page":"359-374","publisher":"Mol Microbiol","title":"Unravelling the gallic acid degradation pathway in bacteria: the gal cluster from &lt;i&gt;Pseudomonas putida&lt;/i&gt;","type":"article-journal","volume":"79"},"uris":["http://www.mendeley.com/documents/?uuid=f83aa6a1-99a8-302e-8632-86d343ad7cb2"]}],"mendeley":{"formattedCitation":"(Nogales et al., 2011)","plainTextFormattedCitation":"(Nogales et al., 2011)","previouslyFormattedCitation":"(Nogales et al., 2011)"},"properties":{"noteIndex":0},"schema":"https://github.com/citation-style-language/schema/raw/master/csl-citation.json"}</w:instrText>
      </w:r>
      <w:r w:rsidRPr="004D32BA">
        <w:fldChar w:fldCharType="separate"/>
      </w:r>
      <w:r w:rsidRPr="00766330">
        <w:rPr>
          <w:noProof/>
          <w:lang w:val="en-US"/>
        </w:rPr>
        <w:t>(Nogales et al., 2011)</w:t>
      </w:r>
      <w:r w:rsidRPr="004D32BA">
        <w:fldChar w:fldCharType="end"/>
      </w:r>
      <w:bookmarkEnd w:id="6"/>
      <w:r w:rsidRPr="004D32BA">
        <w:rPr>
          <w:lang w:val="en-US"/>
        </w:rPr>
        <w:t>, everything this within a cloning vector of high copy number (</w:t>
      </w:r>
      <w:proofErr w:type="spellStart"/>
      <w:r w:rsidRPr="004D32BA">
        <w:rPr>
          <w:lang w:val="en-US"/>
        </w:rPr>
        <w:t>pUC</w:t>
      </w:r>
      <w:proofErr w:type="spellEnd"/>
      <w:r w:rsidRPr="004D32BA">
        <w:rPr>
          <w:lang w:val="en-US"/>
        </w:rPr>
        <w:t>) and using 3MB at 0.5 mM to activate the expression system.</w:t>
      </w:r>
    </w:p>
    <w:p w14:paraId="4A31665B" w14:textId="408B3DB8" w:rsidR="002D0CBB" w:rsidRDefault="002D0CBB" w:rsidP="00A70A5B">
      <w:pPr>
        <w:pStyle w:val="Sinespaciado"/>
        <w:spacing w:line="360" w:lineRule="auto"/>
        <w:rPr>
          <w:rFonts w:ascii="Times New Roman" w:hAnsi="Times New Roman" w:cs="Times New Roman"/>
          <w:sz w:val="24"/>
          <w:szCs w:val="24"/>
          <w:u w:val="single"/>
        </w:rPr>
      </w:pPr>
    </w:p>
    <w:p w14:paraId="38CB8B32" w14:textId="73A7BE59" w:rsidR="002D0CBB" w:rsidRDefault="002D0CBB" w:rsidP="00A70A5B">
      <w:pPr>
        <w:pStyle w:val="Sinespaciado"/>
        <w:spacing w:line="360" w:lineRule="auto"/>
        <w:rPr>
          <w:rFonts w:ascii="Times New Roman" w:hAnsi="Times New Roman" w:cs="Times New Roman"/>
          <w:sz w:val="24"/>
          <w:szCs w:val="24"/>
          <w:u w:val="single"/>
        </w:rPr>
      </w:pPr>
    </w:p>
    <w:p w14:paraId="053E5D96" w14:textId="449903B5" w:rsidR="002D0CBB" w:rsidRDefault="002D0CBB" w:rsidP="00A70A5B">
      <w:pPr>
        <w:pStyle w:val="Sinespaciado"/>
        <w:spacing w:line="360" w:lineRule="auto"/>
        <w:rPr>
          <w:rFonts w:ascii="Times New Roman" w:hAnsi="Times New Roman" w:cs="Times New Roman"/>
          <w:sz w:val="24"/>
          <w:szCs w:val="24"/>
          <w:u w:val="single"/>
        </w:rPr>
      </w:pPr>
    </w:p>
    <w:p w14:paraId="3D3003C8" w14:textId="760DDF01" w:rsidR="002D0CBB" w:rsidRDefault="002D0CBB" w:rsidP="00A70A5B">
      <w:pPr>
        <w:pStyle w:val="Sinespaciado"/>
        <w:spacing w:line="360" w:lineRule="auto"/>
        <w:rPr>
          <w:rFonts w:ascii="Times New Roman" w:hAnsi="Times New Roman" w:cs="Times New Roman"/>
          <w:sz w:val="24"/>
          <w:szCs w:val="24"/>
          <w:u w:val="single"/>
        </w:rPr>
      </w:pPr>
    </w:p>
    <w:p w14:paraId="0D3110EB" w14:textId="2E62BC0C" w:rsidR="002D0CBB" w:rsidRDefault="002D0CBB" w:rsidP="00A70A5B">
      <w:pPr>
        <w:pStyle w:val="Sinespaciado"/>
        <w:spacing w:line="360" w:lineRule="auto"/>
        <w:rPr>
          <w:rFonts w:ascii="Times New Roman" w:hAnsi="Times New Roman" w:cs="Times New Roman"/>
          <w:sz w:val="24"/>
          <w:szCs w:val="24"/>
          <w:u w:val="single"/>
        </w:rPr>
      </w:pPr>
    </w:p>
    <w:p w14:paraId="1CD4E670" w14:textId="2E991481" w:rsidR="002D0CBB" w:rsidRDefault="002D0CBB" w:rsidP="00A70A5B">
      <w:pPr>
        <w:pStyle w:val="Sinespaciado"/>
        <w:spacing w:line="360" w:lineRule="auto"/>
        <w:rPr>
          <w:rFonts w:ascii="Times New Roman" w:hAnsi="Times New Roman" w:cs="Times New Roman"/>
          <w:sz w:val="24"/>
          <w:szCs w:val="24"/>
          <w:u w:val="single"/>
        </w:rPr>
      </w:pPr>
    </w:p>
    <w:p w14:paraId="41B46D15" w14:textId="41C99EC3" w:rsidR="002D0CBB" w:rsidRDefault="002D0CBB" w:rsidP="00A70A5B">
      <w:pPr>
        <w:pStyle w:val="Sinespaciado"/>
        <w:spacing w:line="360" w:lineRule="auto"/>
        <w:rPr>
          <w:rFonts w:ascii="Times New Roman" w:hAnsi="Times New Roman" w:cs="Times New Roman"/>
          <w:sz w:val="24"/>
          <w:szCs w:val="24"/>
          <w:u w:val="single"/>
        </w:rPr>
      </w:pPr>
    </w:p>
    <w:p w14:paraId="6EDC7A66" w14:textId="1B5099E9" w:rsidR="002D0CBB" w:rsidRDefault="002D0CBB" w:rsidP="00A70A5B">
      <w:pPr>
        <w:pStyle w:val="Sinespaciado"/>
        <w:spacing w:line="360" w:lineRule="auto"/>
        <w:rPr>
          <w:rFonts w:ascii="Times New Roman" w:hAnsi="Times New Roman" w:cs="Times New Roman"/>
          <w:sz w:val="24"/>
          <w:szCs w:val="24"/>
          <w:u w:val="single"/>
        </w:rPr>
      </w:pPr>
    </w:p>
    <w:p w14:paraId="7E2D470C" w14:textId="2A0B9B89" w:rsidR="002D0CBB" w:rsidRDefault="002D0CBB" w:rsidP="00A70A5B">
      <w:pPr>
        <w:pStyle w:val="Sinespaciado"/>
        <w:spacing w:line="360" w:lineRule="auto"/>
        <w:rPr>
          <w:rFonts w:ascii="Times New Roman" w:hAnsi="Times New Roman" w:cs="Times New Roman"/>
          <w:sz w:val="24"/>
          <w:szCs w:val="24"/>
          <w:u w:val="single"/>
        </w:rPr>
      </w:pPr>
    </w:p>
    <w:p w14:paraId="1A5A9A22" w14:textId="20D7C925" w:rsidR="002D0CBB" w:rsidRDefault="002D0CBB" w:rsidP="00A70A5B">
      <w:pPr>
        <w:pStyle w:val="Sinespaciado"/>
        <w:spacing w:line="360" w:lineRule="auto"/>
        <w:rPr>
          <w:rFonts w:ascii="Times New Roman" w:hAnsi="Times New Roman" w:cs="Times New Roman"/>
          <w:sz w:val="24"/>
          <w:szCs w:val="24"/>
          <w:u w:val="single"/>
        </w:rPr>
      </w:pPr>
    </w:p>
    <w:p w14:paraId="114C4C2A" w14:textId="77777777" w:rsidR="002D0CBB" w:rsidRPr="004D32BA" w:rsidRDefault="002D0CBB" w:rsidP="00A70A5B">
      <w:pPr>
        <w:pStyle w:val="Sinespaciado"/>
        <w:spacing w:line="360" w:lineRule="auto"/>
        <w:rPr>
          <w:rFonts w:ascii="Times New Roman" w:hAnsi="Times New Roman" w:cs="Times New Roman"/>
          <w:sz w:val="24"/>
          <w:szCs w:val="24"/>
          <w:u w:val="single"/>
        </w:rPr>
      </w:pPr>
    </w:p>
    <w:p w14:paraId="1FBB75BA" w14:textId="77777777" w:rsidR="00A70A5B" w:rsidRPr="004D32BA" w:rsidRDefault="00A70A5B" w:rsidP="00A70A5B">
      <w:pPr>
        <w:pStyle w:val="Sinespaciado"/>
        <w:spacing w:line="360" w:lineRule="auto"/>
        <w:jc w:val="center"/>
        <w:rPr>
          <w:rFonts w:ascii="Times New Roman" w:hAnsi="Times New Roman" w:cs="Times New Roman"/>
          <w:sz w:val="24"/>
          <w:szCs w:val="24"/>
          <w:u w:val="single"/>
        </w:rPr>
      </w:pPr>
      <w:r w:rsidRPr="004D32BA">
        <w:rPr>
          <w:rFonts w:ascii="Times New Roman" w:hAnsi="Times New Roman" w:cs="Times New Roman"/>
          <w:noProof/>
          <w:sz w:val="24"/>
          <w:szCs w:val="24"/>
          <w:lang w:val="en-GB" w:eastAsia="en-GB"/>
        </w:rPr>
        <w:lastRenderedPageBreak/>
        <w:drawing>
          <wp:inline distT="0" distB="0" distL="0" distR="0" wp14:anchorId="52A1FE02" wp14:editId="2B9A715D">
            <wp:extent cx="4795308" cy="472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7269" r="27586"/>
                    <a:stretch/>
                  </pic:blipFill>
                  <pic:spPr bwMode="auto">
                    <a:xfrm>
                      <a:off x="0" y="0"/>
                      <a:ext cx="4803657" cy="4732625"/>
                    </a:xfrm>
                    <a:prstGeom prst="rect">
                      <a:avLst/>
                    </a:prstGeom>
                    <a:noFill/>
                    <a:ln>
                      <a:noFill/>
                    </a:ln>
                    <a:extLst>
                      <a:ext uri="{53640926-AAD7-44D8-BBD7-CCE9431645EC}">
                        <a14:shadowObscured xmlns:a14="http://schemas.microsoft.com/office/drawing/2010/main"/>
                      </a:ext>
                    </a:extLst>
                  </pic:spPr>
                </pic:pic>
              </a:graphicData>
            </a:graphic>
          </wp:inline>
        </w:drawing>
      </w:r>
    </w:p>
    <w:p w14:paraId="38D6DEF9" w14:textId="77777777" w:rsidR="005932D0" w:rsidRPr="004D32BA" w:rsidRDefault="005932D0" w:rsidP="005932D0">
      <w:pPr>
        <w:pStyle w:val="Sinespaciado"/>
        <w:spacing w:line="360" w:lineRule="auto"/>
        <w:rPr>
          <w:rFonts w:ascii="Times New Roman" w:hAnsi="Times New Roman" w:cs="Times New Roman"/>
          <w:sz w:val="24"/>
          <w:szCs w:val="24"/>
          <w:u w:val="single"/>
        </w:rPr>
      </w:pPr>
      <w:r w:rsidRPr="004D32BA">
        <w:rPr>
          <w:rFonts w:ascii="Times New Roman" w:hAnsi="Times New Roman" w:cs="Times New Roman"/>
          <w:sz w:val="24"/>
          <w:szCs w:val="24"/>
          <w:u w:val="single"/>
        </w:rPr>
        <w:t xml:space="preserve">Supplementary Figure S1. Designed plasmid to deletion of </w:t>
      </w:r>
      <w:proofErr w:type="spellStart"/>
      <w:r w:rsidRPr="004D32BA">
        <w:rPr>
          <w:rFonts w:ascii="Times New Roman" w:hAnsi="Times New Roman" w:cs="Times New Roman"/>
          <w:i/>
          <w:iCs/>
          <w:sz w:val="24"/>
          <w:szCs w:val="24"/>
          <w:u w:val="single"/>
        </w:rPr>
        <w:t>mdh</w:t>
      </w:r>
      <w:proofErr w:type="spellEnd"/>
      <w:r w:rsidRPr="004D32BA">
        <w:rPr>
          <w:rFonts w:ascii="Times New Roman" w:hAnsi="Times New Roman" w:cs="Times New Roman"/>
          <w:sz w:val="24"/>
          <w:szCs w:val="24"/>
          <w:u w:val="single"/>
        </w:rPr>
        <w:t xml:space="preserve"> gen in </w:t>
      </w:r>
      <w:r w:rsidRPr="004D32BA">
        <w:rPr>
          <w:rFonts w:ascii="Times New Roman" w:hAnsi="Times New Roman" w:cs="Times New Roman"/>
          <w:i/>
          <w:iCs/>
          <w:sz w:val="24"/>
          <w:szCs w:val="24"/>
          <w:u w:val="single"/>
        </w:rPr>
        <w:t>E. coli</w:t>
      </w:r>
      <w:r w:rsidRPr="004D32BA">
        <w:rPr>
          <w:rFonts w:ascii="Times New Roman" w:hAnsi="Times New Roman" w:cs="Times New Roman"/>
          <w:sz w:val="24"/>
          <w:szCs w:val="24"/>
          <w:u w:val="single"/>
        </w:rPr>
        <w:t xml:space="preserve"> W</w:t>
      </w:r>
    </w:p>
    <w:p w14:paraId="75A021E8" w14:textId="77777777" w:rsidR="00A70A5B" w:rsidRPr="004D32BA" w:rsidRDefault="00A70A5B" w:rsidP="00A70A5B">
      <w:pPr>
        <w:pStyle w:val="Sinespaciado"/>
        <w:spacing w:line="360" w:lineRule="auto"/>
        <w:rPr>
          <w:rFonts w:ascii="Times New Roman" w:hAnsi="Times New Roman" w:cs="Times New Roman"/>
          <w:sz w:val="24"/>
          <w:szCs w:val="24"/>
          <w:u w:val="single"/>
        </w:rPr>
      </w:pPr>
    </w:p>
    <w:p w14:paraId="73B23B4E"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0CB639F5"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5D359500"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407FB783"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3C5D505D"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6429C1E7"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012647D2"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2BD40615"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3B96B75E" w14:textId="77777777" w:rsidR="008661B8" w:rsidRPr="004D32BA" w:rsidRDefault="008661B8" w:rsidP="00A70A5B">
      <w:pPr>
        <w:pStyle w:val="Sinespaciado"/>
        <w:spacing w:line="360" w:lineRule="auto"/>
        <w:rPr>
          <w:rFonts w:ascii="Times New Roman" w:hAnsi="Times New Roman" w:cs="Times New Roman"/>
          <w:sz w:val="24"/>
          <w:szCs w:val="24"/>
          <w:u w:val="single"/>
        </w:rPr>
      </w:pPr>
    </w:p>
    <w:p w14:paraId="0776A529" w14:textId="19C74F9E" w:rsidR="008661B8" w:rsidRDefault="008661B8" w:rsidP="00A70A5B">
      <w:pPr>
        <w:pStyle w:val="Sinespaciado"/>
        <w:spacing w:line="360" w:lineRule="auto"/>
        <w:rPr>
          <w:rFonts w:ascii="Times New Roman" w:hAnsi="Times New Roman" w:cs="Times New Roman"/>
          <w:sz w:val="24"/>
          <w:szCs w:val="24"/>
          <w:u w:val="single"/>
        </w:rPr>
      </w:pPr>
    </w:p>
    <w:p w14:paraId="0E4623C3" w14:textId="33D6AEA1" w:rsidR="002D0CBB" w:rsidRDefault="002D0CBB" w:rsidP="00A70A5B">
      <w:pPr>
        <w:pStyle w:val="Sinespaciado"/>
        <w:spacing w:line="360" w:lineRule="auto"/>
        <w:rPr>
          <w:rFonts w:ascii="Times New Roman" w:hAnsi="Times New Roman" w:cs="Times New Roman"/>
          <w:sz w:val="24"/>
          <w:szCs w:val="24"/>
          <w:u w:val="single"/>
        </w:rPr>
      </w:pPr>
    </w:p>
    <w:p w14:paraId="4DF63892" w14:textId="79E509F5" w:rsidR="002D0CBB" w:rsidRDefault="002D0CBB" w:rsidP="00A70A5B">
      <w:pPr>
        <w:pStyle w:val="Sinespaciado"/>
        <w:spacing w:line="360" w:lineRule="auto"/>
        <w:rPr>
          <w:rFonts w:ascii="Times New Roman" w:hAnsi="Times New Roman" w:cs="Times New Roman"/>
          <w:sz w:val="24"/>
          <w:szCs w:val="24"/>
          <w:u w:val="single"/>
        </w:rPr>
      </w:pPr>
    </w:p>
    <w:p w14:paraId="4127AC25" w14:textId="77777777" w:rsidR="00A70A5B" w:rsidRPr="004D32BA" w:rsidRDefault="00A70A5B" w:rsidP="00A70A5B">
      <w:pPr>
        <w:pStyle w:val="Sinespaciado"/>
        <w:spacing w:line="360" w:lineRule="auto"/>
        <w:jc w:val="center"/>
        <w:rPr>
          <w:rFonts w:ascii="Times New Roman" w:hAnsi="Times New Roman" w:cs="Times New Roman"/>
          <w:sz w:val="24"/>
          <w:szCs w:val="24"/>
          <w:u w:val="single"/>
        </w:rPr>
      </w:pPr>
      <w:r w:rsidRPr="004D32BA">
        <w:rPr>
          <w:rFonts w:ascii="Times New Roman" w:hAnsi="Times New Roman" w:cs="Times New Roman"/>
          <w:noProof/>
          <w:sz w:val="24"/>
          <w:szCs w:val="24"/>
          <w:lang w:val="en-GB" w:eastAsia="en-GB"/>
        </w:rPr>
        <w:lastRenderedPageBreak/>
        <w:drawing>
          <wp:inline distT="0" distB="0" distL="0" distR="0" wp14:anchorId="5EFBC012" wp14:editId="7B0450B8">
            <wp:extent cx="4734014" cy="472320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7721" r="27699"/>
                    <a:stretch/>
                  </pic:blipFill>
                  <pic:spPr bwMode="auto">
                    <a:xfrm>
                      <a:off x="0" y="0"/>
                      <a:ext cx="4734014" cy="4723200"/>
                    </a:xfrm>
                    <a:prstGeom prst="rect">
                      <a:avLst/>
                    </a:prstGeom>
                    <a:noFill/>
                    <a:ln>
                      <a:noFill/>
                    </a:ln>
                    <a:extLst>
                      <a:ext uri="{53640926-AAD7-44D8-BBD7-CCE9431645EC}">
                        <a14:shadowObscured xmlns:a14="http://schemas.microsoft.com/office/drawing/2010/main"/>
                      </a:ext>
                    </a:extLst>
                  </pic:spPr>
                </pic:pic>
              </a:graphicData>
            </a:graphic>
          </wp:inline>
        </w:drawing>
      </w:r>
    </w:p>
    <w:p w14:paraId="2A03D538" w14:textId="77777777" w:rsidR="00A70A5B" w:rsidRPr="004D32BA" w:rsidRDefault="00A70A5B" w:rsidP="00A70A5B">
      <w:pPr>
        <w:rPr>
          <w:lang w:val="en-US"/>
        </w:rPr>
      </w:pPr>
    </w:p>
    <w:p w14:paraId="52393004" w14:textId="77777777" w:rsidR="005932D0" w:rsidRPr="004D32BA" w:rsidRDefault="005932D0" w:rsidP="005932D0">
      <w:pPr>
        <w:pStyle w:val="Sinespaciado"/>
        <w:spacing w:line="360" w:lineRule="auto"/>
        <w:rPr>
          <w:rFonts w:ascii="Times New Roman" w:hAnsi="Times New Roman" w:cs="Times New Roman"/>
          <w:sz w:val="24"/>
          <w:szCs w:val="24"/>
          <w:u w:val="single"/>
        </w:rPr>
      </w:pPr>
      <w:r w:rsidRPr="004D32BA">
        <w:rPr>
          <w:rFonts w:ascii="Times New Roman" w:hAnsi="Times New Roman" w:cs="Times New Roman"/>
          <w:sz w:val="24"/>
          <w:szCs w:val="24"/>
          <w:u w:val="single"/>
        </w:rPr>
        <w:t xml:space="preserve">Supplementary Figure S2. Designed plasmid to deletion of </w:t>
      </w:r>
      <w:proofErr w:type="spellStart"/>
      <w:r w:rsidRPr="004D32BA">
        <w:rPr>
          <w:rFonts w:ascii="Times New Roman" w:hAnsi="Times New Roman" w:cs="Times New Roman"/>
          <w:i/>
          <w:iCs/>
          <w:sz w:val="24"/>
          <w:szCs w:val="24"/>
          <w:u w:val="single"/>
        </w:rPr>
        <w:t>ace</w:t>
      </w:r>
      <w:r w:rsidRPr="004D32BA">
        <w:rPr>
          <w:rFonts w:ascii="Times New Roman" w:hAnsi="Times New Roman" w:cs="Times New Roman"/>
          <w:sz w:val="24"/>
          <w:szCs w:val="24"/>
          <w:u w:val="single"/>
        </w:rPr>
        <w:t>F</w:t>
      </w:r>
      <w:proofErr w:type="spellEnd"/>
      <w:r w:rsidRPr="004D32BA">
        <w:rPr>
          <w:rFonts w:ascii="Times New Roman" w:hAnsi="Times New Roman" w:cs="Times New Roman"/>
          <w:sz w:val="24"/>
          <w:szCs w:val="24"/>
          <w:u w:val="single"/>
        </w:rPr>
        <w:t xml:space="preserve"> gen in </w:t>
      </w:r>
      <w:r w:rsidRPr="004D32BA">
        <w:rPr>
          <w:rFonts w:ascii="Times New Roman" w:hAnsi="Times New Roman" w:cs="Times New Roman"/>
          <w:i/>
          <w:iCs/>
          <w:sz w:val="24"/>
          <w:szCs w:val="24"/>
          <w:u w:val="single"/>
        </w:rPr>
        <w:t>E. coli</w:t>
      </w:r>
      <w:r w:rsidRPr="004D32BA">
        <w:rPr>
          <w:rFonts w:ascii="Times New Roman" w:hAnsi="Times New Roman" w:cs="Times New Roman"/>
          <w:sz w:val="24"/>
          <w:szCs w:val="24"/>
          <w:u w:val="single"/>
        </w:rPr>
        <w:t xml:space="preserve"> W</w:t>
      </w:r>
    </w:p>
    <w:p w14:paraId="285096F3" w14:textId="77777777" w:rsidR="00AF752E" w:rsidRPr="004D32BA" w:rsidRDefault="00AF752E" w:rsidP="0021669A">
      <w:pPr>
        <w:pStyle w:val="Sinespaciado"/>
        <w:spacing w:line="480" w:lineRule="auto"/>
        <w:jc w:val="both"/>
        <w:rPr>
          <w:rFonts w:ascii="Times New Roman" w:hAnsi="Times New Roman" w:cs="Times New Roman"/>
          <w:sz w:val="24"/>
          <w:szCs w:val="24"/>
          <w:u w:val="single"/>
        </w:rPr>
      </w:pPr>
    </w:p>
    <w:p w14:paraId="15193657" w14:textId="7300D709" w:rsidR="005404E1" w:rsidRPr="004D32BA" w:rsidRDefault="005404E1" w:rsidP="00A70A5B">
      <w:pPr>
        <w:tabs>
          <w:tab w:val="left" w:pos="1020"/>
        </w:tabs>
        <w:spacing w:line="360" w:lineRule="auto"/>
        <w:rPr>
          <w:rFonts w:eastAsiaTheme="minorHAnsi"/>
          <w:u w:val="single"/>
          <w:lang w:val="en-US" w:eastAsia="en-US"/>
        </w:rPr>
      </w:pPr>
    </w:p>
    <w:p w14:paraId="1B5B03CA" w14:textId="0DAD1C61" w:rsidR="00944C15" w:rsidRPr="004D32BA" w:rsidRDefault="00944C15" w:rsidP="00D931FC">
      <w:pPr>
        <w:spacing w:line="360" w:lineRule="auto"/>
        <w:rPr>
          <w:rFonts w:eastAsiaTheme="minorHAnsi"/>
          <w:sz w:val="22"/>
          <w:szCs w:val="22"/>
          <w:u w:val="single"/>
          <w:lang w:val="en-US" w:eastAsia="en-US"/>
        </w:rPr>
      </w:pPr>
    </w:p>
    <w:p w14:paraId="45265E00" w14:textId="6BF0F8A5" w:rsidR="00944C15" w:rsidRPr="004D32BA" w:rsidRDefault="00944C15" w:rsidP="00D931FC">
      <w:pPr>
        <w:spacing w:line="360" w:lineRule="auto"/>
        <w:rPr>
          <w:rFonts w:eastAsiaTheme="minorHAnsi"/>
          <w:sz w:val="22"/>
          <w:szCs w:val="22"/>
          <w:u w:val="single"/>
          <w:lang w:val="en-US" w:eastAsia="en-US"/>
        </w:rPr>
      </w:pPr>
    </w:p>
    <w:p w14:paraId="167FB932" w14:textId="3CF07254" w:rsidR="00944C15" w:rsidRPr="004D32BA" w:rsidRDefault="00944C15" w:rsidP="00D931FC">
      <w:pPr>
        <w:spacing w:line="360" w:lineRule="auto"/>
        <w:rPr>
          <w:rFonts w:eastAsiaTheme="minorHAnsi"/>
          <w:sz w:val="22"/>
          <w:szCs w:val="22"/>
          <w:u w:val="single"/>
          <w:lang w:val="en-US" w:eastAsia="en-US"/>
        </w:rPr>
      </w:pPr>
    </w:p>
    <w:p w14:paraId="6F5EDF13" w14:textId="25A0BE96" w:rsidR="00944C15" w:rsidRPr="004D32BA" w:rsidRDefault="00944C15" w:rsidP="00D931FC">
      <w:pPr>
        <w:spacing w:line="360" w:lineRule="auto"/>
        <w:rPr>
          <w:rFonts w:eastAsiaTheme="minorHAnsi"/>
          <w:sz w:val="22"/>
          <w:szCs w:val="22"/>
          <w:u w:val="single"/>
          <w:lang w:val="en-US" w:eastAsia="en-US"/>
        </w:rPr>
      </w:pPr>
    </w:p>
    <w:p w14:paraId="22BC3C83" w14:textId="2A6A3406" w:rsidR="00944C15" w:rsidRPr="004D32BA" w:rsidRDefault="00944C15" w:rsidP="00D931FC">
      <w:pPr>
        <w:spacing w:line="360" w:lineRule="auto"/>
        <w:rPr>
          <w:rFonts w:eastAsiaTheme="minorHAnsi"/>
          <w:sz w:val="22"/>
          <w:szCs w:val="22"/>
          <w:u w:val="single"/>
          <w:lang w:val="en-US" w:eastAsia="en-US"/>
        </w:rPr>
      </w:pPr>
    </w:p>
    <w:p w14:paraId="475A9A21" w14:textId="371291D1" w:rsidR="00944C15" w:rsidRDefault="00944C15" w:rsidP="00D931FC">
      <w:pPr>
        <w:spacing w:line="360" w:lineRule="auto"/>
        <w:rPr>
          <w:rFonts w:eastAsiaTheme="minorHAnsi"/>
          <w:sz w:val="22"/>
          <w:szCs w:val="22"/>
          <w:u w:val="single"/>
          <w:lang w:val="en-US" w:eastAsia="en-US"/>
        </w:rPr>
      </w:pPr>
    </w:p>
    <w:p w14:paraId="5E70DF5B" w14:textId="2B359D7F" w:rsidR="002D0CBB" w:rsidRDefault="002D0CBB" w:rsidP="00D931FC">
      <w:pPr>
        <w:spacing w:line="360" w:lineRule="auto"/>
        <w:rPr>
          <w:rFonts w:eastAsiaTheme="minorHAnsi"/>
          <w:sz w:val="22"/>
          <w:szCs w:val="22"/>
          <w:u w:val="single"/>
          <w:lang w:val="en-US" w:eastAsia="en-US"/>
        </w:rPr>
      </w:pPr>
    </w:p>
    <w:p w14:paraId="42E7D925" w14:textId="53822945" w:rsidR="002D0CBB" w:rsidRDefault="002D0CBB" w:rsidP="00D931FC">
      <w:pPr>
        <w:spacing w:line="360" w:lineRule="auto"/>
        <w:rPr>
          <w:rFonts w:eastAsiaTheme="minorHAnsi"/>
          <w:sz w:val="22"/>
          <w:szCs w:val="22"/>
          <w:u w:val="single"/>
          <w:lang w:val="en-US" w:eastAsia="en-US"/>
        </w:rPr>
      </w:pPr>
    </w:p>
    <w:p w14:paraId="43762B2F" w14:textId="2763923A" w:rsidR="002D0CBB" w:rsidRDefault="002D0CBB" w:rsidP="00D931FC">
      <w:pPr>
        <w:spacing w:line="360" w:lineRule="auto"/>
        <w:rPr>
          <w:rFonts w:eastAsiaTheme="minorHAnsi"/>
          <w:sz w:val="22"/>
          <w:szCs w:val="22"/>
          <w:u w:val="single"/>
          <w:lang w:val="en-US" w:eastAsia="en-US"/>
        </w:rPr>
      </w:pPr>
    </w:p>
    <w:p w14:paraId="31ED80FB" w14:textId="77777777" w:rsidR="002D0CBB" w:rsidRPr="004D32BA" w:rsidRDefault="002D0CBB" w:rsidP="00D931FC">
      <w:pPr>
        <w:spacing w:line="360" w:lineRule="auto"/>
        <w:rPr>
          <w:rFonts w:eastAsiaTheme="minorHAnsi"/>
          <w:sz w:val="22"/>
          <w:szCs w:val="22"/>
          <w:u w:val="single"/>
          <w:lang w:val="en-US" w:eastAsia="en-US"/>
        </w:rPr>
      </w:pPr>
    </w:p>
    <w:p w14:paraId="784DBB58" w14:textId="78EB45CA" w:rsidR="00D931FC" w:rsidRPr="004D32BA" w:rsidRDefault="00BB77EE" w:rsidP="00D931FC">
      <w:pPr>
        <w:spacing w:line="360" w:lineRule="auto"/>
        <w:jc w:val="center"/>
        <w:rPr>
          <w:u w:val="single"/>
          <w:lang w:val="en-US"/>
        </w:rPr>
      </w:pPr>
      <w:r w:rsidRPr="004D32BA">
        <w:rPr>
          <w:noProof/>
          <w:lang w:val="en-GB" w:eastAsia="en-GB"/>
        </w:rPr>
        <w:lastRenderedPageBreak/>
        <w:drawing>
          <wp:inline distT="0" distB="0" distL="0" distR="0" wp14:anchorId="74E14174" wp14:editId="5384D445">
            <wp:extent cx="2740802" cy="2520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0802" cy="2520000"/>
                    </a:xfrm>
                    <a:prstGeom prst="rect">
                      <a:avLst/>
                    </a:prstGeom>
                  </pic:spPr>
                </pic:pic>
              </a:graphicData>
            </a:graphic>
          </wp:inline>
        </w:drawing>
      </w:r>
    </w:p>
    <w:p w14:paraId="04D6AC42" w14:textId="77777777" w:rsidR="005932D0" w:rsidRPr="004D32BA" w:rsidRDefault="005932D0" w:rsidP="005932D0">
      <w:pPr>
        <w:spacing w:line="360" w:lineRule="auto"/>
        <w:rPr>
          <w:rFonts w:eastAsiaTheme="minorHAnsi"/>
          <w:u w:val="single"/>
          <w:lang w:val="en-US" w:eastAsia="en-US"/>
        </w:rPr>
      </w:pPr>
      <w:r w:rsidRPr="004D32BA">
        <w:rPr>
          <w:rFonts w:eastAsiaTheme="minorHAnsi"/>
          <w:u w:val="single"/>
          <w:lang w:val="en-US" w:eastAsia="en-US"/>
        </w:rPr>
        <w:t xml:space="preserve">Supplementary Figure S3. Gel electrophoresis for verification of gene knockout in </w:t>
      </w:r>
      <w:r w:rsidRPr="004D32BA">
        <w:rPr>
          <w:rFonts w:eastAsiaTheme="minorHAnsi"/>
          <w:i/>
          <w:iCs/>
          <w:u w:val="single"/>
          <w:lang w:val="en-US" w:eastAsia="en-US"/>
        </w:rPr>
        <w:t>E. coli</w:t>
      </w:r>
      <w:r w:rsidRPr="004D32BA">
        <w:rPr>
          <w:rFonts w:eastAsiaTheme="minorHAnsi"/>
          <w:u w:val="single"/>
          <w:lang w:val="en-US" w:eastAsia="en-US"/>
        </w:rPr>
        <w:t xml:space="preserve"> W </w:t>
      </w:r>
    </w:p>
    <w:p w14:paraId="14C4A451" w14:textId="77777777" w:rsidR="00D931FC" w:rsidRPr="004D32BA" w:rsidRDefault="00D931FC">
      <w:pPr>
        <w:rPr>
          <w:rFonts w:eastAsiaTheme="minorHAnsi"/>
          <w:u w:val="single"/>
          <w:lang w:val="en-US" w:eastAsia="en-US"/>
        </w:rPr>
      </w:pPr>
    </w:p>
    <w:p w14:paraId="42300B9B" w14:textId="6DD5A005" w:rsidR="00D931FC" w:rsidRPr="004D32BA" w:rsidRDefault="00D931FC">
      <w:pPr>
        <w:rPr>
          <w:rFonts w:eastAsiaTheme="minorHAnsi"/>
          <w:u w:val="single"/>
          <w:lang w:val="en-US" w:eastAsia="en-US"/>
        </w:rPr>
      </w:pPr>
    </w:p>
    <w:p w14:paraId="3768C100" w14:textId="48C0E71B" w:rsidR="00D931FC" w:rsidRPr="004D32BA" w:rsidRDefault="00D931FC">
      <w:pPr>
        <w:rPr>
          <w:rFonts w:eastAsiaTheme="minorHAnsi"/>
          <w:u w:val="single"/>
          <w:lang w:val="en-US" w:eastAsia="en-US"/>
        </w:rPr>
      </w:pPr>
    </w:p>
    <w:p w14:paraId="7D40C46D" w14:textId="4701F378" w:rsidR="00AF752E" w:rsidRPr="00C62AA0" w:rsidRDefault="00AF752E" w:rsidP="00AF752E">
      <w:pPr>
        <w:spacing w:line="480" w:lineRule="auto"/>
        <w:jc w:val="center"/>
        <w:rPr>
          <w:lang w:val="en-US"/>
        </w:rPr>
      </w:pPr>
    </w:p>
    <w:p w14:paraId="2B6EC2F0" w14:textId="3CD973EB" w:rsidR="00D931FC" w:rsidRPr="004D32BA" w:rsidRDefault="00D931FC" w:rsidP="00D931FC">
      <w:pPr>
        <w:jc w:val="center"/>
        <w:rPr>
          <w:rFonts w:eastAsiaTheme="minorHAnsi"/>
          <w:u w:val="single"/>
          <w:lang w:val="en-US" w:eastAsia="en-US"/>
        </w:rPr>
      </w:pPr>
    </w:p>
    <w:p w14:paraId="63FFD0DF" w14:textId="7F79E2B7" w:rsidR="00D931FC" w:rsidRDefault="00D931FC">
      <w:pPr>
        <w:rPr>
          <w:rFonts w:eastAsiaTheme="minorHAnsi"/>
          <w:u w:val="single"/>
          <w:lang w:val="en-US" w:eastAsia="en-US"/>
        </w:rPr>
      </w:pPr>
    </w:p>
    <w:p w14:paraId="01FB75E7" w14:textId="26E6D64B" w:rsidR="002D0CBB" w:rsidRDefault="002D0CBB">
      <w:pPr>
        <w:rPr>
          <w:rFonts w:eastAsiaTheme="minorHAnsi"/>
          <w:u w:val="single"/>
          <w:lang w:val="en-US" w:eastAsia="en-US"/>
        </w:rPr>
      </w:pPr>
    </w:p>
    <w:p w14:paraId="00B7B7A5" w14:textId="230CE87F" w:rsidR="002D0CBB" w:rsidRDefault="002D0CBB">
      <w:pPr>
        <w:rPr>
          <w:rFonts w:eastAsiaTheme="minorHAnsi"/>
          <w:u w:val="single"/>
          <w:lang w:val="en-US" w:eastAsia="en-US"/>
        </w:rPr>
      </w:pPr>
    </w:p>
    <w:p w14:paraId="4140026A" w14:textId="77777777" w:rsidR="002D0CBB" w:rsidRPr="004D32BA" w:rsidRDefault="002D0CBB">
      <w:pPr>
        <w:rPr>
          <w:rFonts w:eastAsiaTheme="minorHAnsi"/>
          <w:u w:val="single"/>
          <w:lang w:val="en-US" w:eastAsia="en-US"/>
        </w:rPr>
      </w:pPr>
    </w:p>
    <w:p w14:paraId="6A52114A" w14:textId="696E3FE3" w:rsidR="00AA5321" w:rsidRPr="004D32BA" w:rsidRDefault="00AA5321">
      <w:pPr>
        <w:rPr>
          <w:lang w:val="en-US"/>
        </w:rPr>
      </w:pPr>
    </w:p>
    <w:p w14:paraId="4595D8E8" w14:textId="77777777" w:rsidR="00AA5321" w:rsidRPr="004D32BA" w:rsidRDefault="00AA5321">
      <w:pPr>
        <w:rPr>
          <w:lang w:val="en-US"/>
        </w:rPr>
      </w:pPr>
    </w:p>
    <w:p w14:paraId="1DB2650C" w14:textId="5628562B" w:rsidR="00DF3B5B" w:rsidRPr="004D32BA" w:rsidRDefault="00AA5321" w:rsidP="00AA5321">
      <w:pPr>
        <w:jc w:val="center"/>
        <w:rPr>
          <w:lang w:val="en-US"/>
        </w:rPr>
      </w:pPr>
      <w:r w:rsidRPr="004D32BA">
        <w:rPr>
          <w:noProof/>
          <w:lang w:val="en-GB" w:eastAsia="en-GB"/>
        </w:rPr>
        <w:lastRenderedPageBreak/>
        <w:drawing>
          <wp:inline distT="0" distB="0" distL="0" distR="0" wp14:anchorId="7810E888" wp14:editId="42FCD460">
            <wp:extent cx="2722880" cy="68072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880" cy="6807200"/>
                    </a:xfrm>
                    <a:prstGeom prst="rect">
                      <a:avLst/>
                    </a:prstGeom>
                    <a:noFill/>
                    <a:ln>
                      <a:noFill/>
                    </a:ln>
                  </pic:spPr>
                </pic:pic>
              </a:graphicData>
            </a:graphic>
          </wp:inline>
        </w:drawing>
      </w:r>
    </w:p>
    <w:p w14:paraId="3088A17F" w14:textId="0FE00060" w:rsidR="009517D4" w:rsidRPr="004D32BA" w:rsidRDefault="009517D4" w:rsidP="00B308E9">
      <w:pPr>
        <w:jc w:val="both"/>
        <w:rPr>
          <w:rFonts w:eastAsiaTheme="minorHAnsi"/>
          <w:u w:val="single"/>
          <w:lang w:val="en-US" w:eastAsia="en-US"/>
        </w:rPr>
      </w:pPr>
      <w:r w:rsidRPr="004D32BA">
        <w:rPr>
          <w:rFonts w:eastAsiaTheme="minorHAnsi"/>
          <w:u w:val="single"/>
          <w:lang w:val="en-US" w:eastAsia="en-US"/>
        </w:rPr>
        <w:t>Supplementary Figure S</w:t>
      </w:r>
      <w:r w:rsidR="00D9161D">
        <w:rPr>
          <w:rFonts w:eastAsiaTheme="minorHAnsi"/>
          <w:u w:val="single"/>
          <w:lang w:val="en-US" w:eastAsia="en-US"/>
        </w:rPr>
        <w:t>4</w:t>
      </w:r>
      <w:r w:rsidRPr="004D32BA">
        <w:rPr>
          <w:rFonts w:eastAsiaTheme="minorHAnsi"/>
          <w:u w:val="single"/>
          <w:lang w:val="en-US" w:eastAsia="en-US"/>
        </w:rPr>
        <w:t>. Cluster of genes found to increase production of pyruvate, 2-KIV and L-valine</w:t>
      </w:r>
    </w:p>
    <w:p w14:paraId="7A8AE9C5" w14:textId="121BD507" w:rsidR="00DF3B5B" w:rsidRPr="004D32BA" w:rsidRDefault="00DF3B5B">
      <w:pPr>
        <w:rPr>
          <w:lang w:val="en-US"/>
        </w:rPr>
      </w:pPr>
    </w:p>
    <w:p w14:paraId="50C821FE" w14:textId="77777777" w:rsidR="00AA5321" w:rsidRPr="004D32BA" w:rsidRDefault="00AA5321">
      <w:pPr>
        <w:rPr>
          <w:lang w:val="en-US"/>
        </w:rPr>
      </w:pPr>
    </w:p>
    <w:p w14:paraId="02404405" w14:textId="77777777" w:rsidR="00AF455D" w:rsidRPr="004D32BA" w:rsidRDefault="00AF455D" w:rsidP="00AF455D">
      <w:pPr>
        <w:pStyle w:val="Sinespaciado"/>
        <w:spacing w:line="480" w:lineRule="auto"/>
        <w:jc w:val="both"/>
        <w:rPr>
          <w:rFonts w:ascii="Times New Roman" w:hAnsi="Times New Roman" w:cs="Times New Roman"/>
          <w:szCs w:val="24"/>
          <w:u w:val="single"/>
        </w:rPr>
      </w:pPr>
    </w:p>
    <w:p w14:paraId="279BB924" w14:textId="04A844D4" w:rsidR="00DF3B5B" w:rsidRDefault="00DF3B5B">
      <w:pPr>
        <w:rPr>
          <w:lang w:val="en-US"/>
        </w:rPr>
      </w:pPr>
    </w:p>
    <w:p w14:paraId="46653BA0" w14:textId="34AD5553" w:rsidR="009517D4" w:rsidRDefault="009517D4">
      <w:pPr>
        <w:rPr>
          <w:lang w:val="en-US"/>
        </w:rPr>
      </w:pPr>
    </w:p>
    <w:p w14:paraId="277E4441" w14:textId="77777777" w:rsidR="009517D4" w:rsidRPr="004D32BA" w:rsidRDefault="009517D4">
      <w:pPr>
        <w:rPr>
          <w:lang w:val="en-US"/>
        </w:rPr>
      </w:pPr>
    </w:p>
    <w:p w14:paraId="387A0E1F" w14:textId="12EDA511" w:rsidR="00DF3B5B" w:rsidRPr="004D32BA" w:rsidRDefault="004A04EE">
      <w:pPr>
        <w:rPr>
          <w:b/>
          <w:bCs/>
          <w:lang w:val="en-US"/>
        </w:rPr>
      </w:pPr>
      <w:r w:rsidRPr="004D32BA">
        <w:rPr>
          <w:b/>
          <w:bCs/>
          <w:lang w:val="en-US"/>
        </w:rPr>
        <w:lastRenderedPageBreak/>
        <w:t>References</w:t>
      </w:r>
    </w:p>
    <w:p w14:paraId="6CDBB5DC" w14:textId="43DCAD6F" w:rsidR="00DF3B5B" w:rsidRPr="004D32BA" w:rsidRDefault="00DF3B5B">
      <w:pPr>
        <w:rPr>
          <w:lang w:val="en-US"/>
        </w:rPr>
      </w:pPr>
    </w:p>
    <w:p w14:paraId="03F6668D" w14:textId="1EC8DFEE" w:rsidR="00DF3B5B" w:rsidRPr="004D32BA" w:rsidRDefault="00DF3B5B">
      <w:pPr>
        <w:rPr>
          <w:lang w:val="en-US"/>
        </w:rPr>
      </w:pPr>
    </w:p>
    <w:p w14:paraId="1B43637D" w14:textId="034C6477" w:rsidR="00DF3B5B" w:rsidRPr="004D32BA" w:rsidRDefault="00DF3B5B">
      <w:pPr>
        <w:rPr>
          <w:lang w:val="en-US"/>
        </w:rPr>
      </w:pPr>
    </w:p>
    <w:p w14:paraId="3C9619C5" w14:textId="2F99D720" w:rsidR="00766330" w:rsidRPr="006E5EE7" w:rsidRDefault="004A04EE" w:rsidP="00766330">
      <w:pPr>
        <w:widowControl w:val="0"/>
        <w:autoSpaceDE w:val="0"/>
        <w:autoSpaceDN w:val="0"/>
        <w:adjustRightInd w:val="0"/>
        <w:ind w:left="480" w:hanging="480"/>
        <w:rPr>
          <w:noProof/>
          <w:lang w:val="en-US"/>
        </w:rPr>
      </w:pPr>
      <w:r w:rsidRPr="004D32BA">
        <w:rPr>
          <w:lang w:val="en-US"/>
        </w:rPr>
        <w:fldChar w:fldCharType="begin" w:fldLock="1"/>
      </w:r>
      <w:r w:rsidRPr="004D32BA">
        <w:rPr>
          <w:lang w:val="en-US"/>
        </w:rPr>
        <w:instrText xml:space="preserve">ADDIN Mendeley Bibliography CSL_BIBLIOGRAPHY </w:instrText>
      </w:r>
      <w:r w:rsidRPr="004D32BA">
        <w:rPr>
          <w:lang w:val="en-US"/>
        </w:rPr>
        <w:fldChar w:fldCharType="separate"/>
      </w:r>
      <w:r w:rsidR="00766330" w:rsidRPr="006E5EE7">
        <w:rPr>
          <w:noProof/>
          <w:lang w:val="en-US"/>
        </w:rPr>
        <w:t>Atsumi, S., Hanai, T., Liao, J.C., 2008. Non-fermentative pathways for synthesis of branched-chain higher alcohols as biofuels. Nature 451, 86–89. https://doi.org/10.1038/nature06450</w:t>
      </w:r>
    </w:p>
    <w:p w14:paraId="65677B39"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Bartek, T., Blombach, B., Lang, S., Eikmanns, B.J., Wiechert, W., Oldiges, M., Nöh, K., Noack, S., 2011. Comparative 13C metabolic flux analysis of pyruvate dehydrogenase complex-deficient, L-valine-producing </w:t>
      </w:r>
      <w:r w:rsidRPr="006E5EE7">
        <w:rPr>
          <w:i/>
          <w:iCs/>
          <w:noProof/>
          <w:lang w:val="en-US"/>
        </w:rPr>
        <w:t>Corynebacterium glutamicum</w:t>
      </w:r>
      <w:r w:rsidRPr="006E5EE7">
        <w:rPr>
          <w:noProof/>
          <w:lang w:val="en-US"/>
        </w:rPr>
        <w:t>. Appl. Environ. Microbiol. 77, 6644–6652. https://doi.org/10.1128/AEM.00575-11</w:t>
      </w:r>
    </w:p>
    <w:p w14:paraId="4DEF1FAF"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Blázquez, B., Torres-Bacete, J., Leon, D.S., Kniewel, R., Martinez, I., Sordon, S., Wilczak, A., Salgado, S., Huszcza, E., Popłoński, J., Prieto, M.A., Nogales, J., 2022. Golden Standard: A complete standard, portable, and interoperative MoClo tool for model and non-model bacterial hosts. bioRxiv 2022.09.20.508659. https://doi.org/10.1101/2022.09.20.508659</w:t>
      </w:r>
    </w:p>
    <w:p w14:paraId="699F5E94"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Blombach, B., Riester, T., Wieschalka, S., Ziert, C., Youn, J.-W., Wendisch, V.F., Eikmanns, B.J., 2011. </w:t>
      </w:r>
      <w:r w:rsidRPr="006E5EE7">
        <w:rPr>
          <w:i/>
          <w:iCs/>
          <w:noProof/>
          <w:lang w:val="en-US"/>
        </w:rPr>
        <w:t>Corynebacterium glutamicum</w:t>
      </w:r>
      <w:r w:rsidRPr="006E5EE7">
        <w:rPr>
          <w:noProof/>
          <w:lang w:val="en-US"/>
        </w:rPr>
        <w:t xml:space="preserve"> Tailored for Efficient Isobutanol Production. Appl. Environ. Microbiol. 77, 3300–3310. https://doi.org/10.1128/AEM.02972-10</w:t>
      </w:r>
    </w:p>
    <w:p w14:paraId="21FC4416"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Blombach, B., Schreiner, M.E., Holátko, J., Bartek, T., Oldiges, M., Eikmanns, B.J., 2007. L-valine production with pyruvate dehydrogenase complex-deficient </w:t>
      </w:r>
      <w:r w:rsidRPr="006E5EE7">
        <w:rPr>
          <w:i/>
          <w:iCs/>
          <w:noProof/>
          <w:lang w:val="en-US"/>
        </w:rPr>
        <w:t>Corynebacterium glutamicum</w:t>
      </w:r>
      <w:r w:rsidRPr="006E5EE7">
        <w:rPr>
          <w:noProof/>
          <w:lang w:val="en-US"/>
        </w:rPr>
        <w:t>. Appl. Environ. Microbiol. 73, 2079–2084. https://doi.org/10.1128/AEM.02826-06</w:t>
      </w:r>
    </w:p>
    <w:p w14:paraId="65CCBE2E"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Buchholz, J., Schwentner, A., Brunnenkan, B., Gabris, C., Grimm, S., Gerstmeir, R., Takors, R., Eikmanns, B.J., Blombacha, B., 2013. Platform engineering of </w:t>
      </w:r>
      <w:r w:rsidRPr="006E5EE7">
        <w:rPr>
          <w:i/>
          <w:iCs/>
          <w:noProof/>
          <w:lang w:val="en-US"/>
        </w:rPr>
        <w:t>Corynebacterium glutamicum</w:t>
      </w:r>
      <w:r w:rsidRPr="006E5EE7">
        <w:rPr>
          <w:noProof/>
          <w:lang w:val="en-US"/>
        </w:rPr>
        <w:t xml:space="preserve"> with reduced pyruvate dehydrogenase complex activity for improved production of l-lysine, l-valine, and 2-ketoisovalerate. Appl. Environ. Microbiol. 79, 5566–5575. https://doi.org/10.1128/AEM.01741-13</w:t>
      </w:r>
    </w:p>
    <w:p w14:paraId="7AA8E1C5" w14:textId="77777777" w:rsidR="00766330" w:rsidRPr="00766330" w:rsidRDefault="00766330" w:rsidP="00766330">
      <w:pPr>
        <w:widowControl w:val="0"/>
        <w:autoSpaceDE w:val="0"/>
        <w:autoSpaceDN w:val="0"/>
        <w:adjustRightInd w:val="0"/>
        <w:ind w:left="480" w:hanging="480"/>
        <w:rPr>
          <w:noProof/>
        </w:rPr>
      </w:pPr>
      <w:r w:rsidRPr="006E5EE7">
        <w:rPr>
          <w:noProof/>
          <w:lang w:val="en-US"/>
        </w:rPr>
        <w:t xml:space="preserve">Chen, C., Li, Y., Hu, J., Dong, X., Wang, X., 2015. Metabolic engineering of </w:t>
      </w:r>
      <w:r w:rsidRPr="006E5EE7">
        <w:rPr>
          <w:i/>
          <w:iCs/>
          <w:noProof/>
          <w:lang w:val="en-US"/>
        </w:rPr>
        <w:t>Corynebacterium glutamicum</w:t>
      </w:r>
      <w:r w:rsidRPr="006E5EE7">
        <w:rPr>
          <w:noProof/>
          <w:lang w:val="en-US"/>
        </w:rPr>
        <w:t xml:space="preserve"> ATCC13869 for l-valine production. </w:t>
      </w:r>
      <w:r w:rsidRPr="00766330">
        <w:rPr>
          <w:noProof/>
        </w:rPr>
        <w:t>Metab. Eng. 29, 66–75. https://doi.org/10.1016/j.ymben.2015.03.004</w:t>
      </w:r>
    </w:p>
    <w:p w14:paraId="3BEA3475" w14:textId="77777777" w:rsidR="00766330" w:rsidRPr="006E5EE7" w:rsidRDefault="00766330" w:rsidP="00766330">
      <w:pPr>
        <w:widowControl w:val="0"/>
        <w:autoSpaceDE w:val="0"/>
        <w:autoSpaceDN w:val="0"/>
        <w:adjustRightInd w:val="0"/>
        <w:ind w:left="480" w:hanging="480"/>
        <w:rPr>
          <w:noProof/>
          <w:lang w:val="en-US"/>
        </w:rPr>
      </w:pPr>
      <w:r w:rsidRPr="00766330">
        <w:rPr>
          <w:noProof/>
        </w:rPr>
        <w:t xml:space="preserve">Felpeto-Santero, C., Rojas, A., Tortajada, M., Galán, B., Ramón, D., García, J.L., 2015. </w:t>
      </w:r>
      <w:r w:rsidRPr="006E5EE7">
        <w:rPr>
          <w:noProof/>
          <w:lang w:val="en-US"/>
        </w:rPr>
        <w:t>Engineering alternative isobutanol production platforms. AMB Express 5. https://doi.org/10.1186/s13568-015-0119-2</w:t>
      </w:r>
    </w:p>
    <w:p w14:paraId="22EB49F1"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Gu, J., Zhou, J., Zhang, Z., Kim, C.H., Jiang, B., Shi, J., Hao, J., 2017. Isobutanol and 2-ketoisovalerate production by </w:t>
      </w:r>
      <w:r w:rsidRPr="006E5EE7">
        <w:rPr>
          <w:i/>
          <w:iCs/>
          <w:noProof/>
          <w:lang w:val="en-US"/>
        </w:rPr>
        <w:t>Klebsiella pneumoniae</w:t>
      </w:r>
      <w:r w:rsidRPr="006E5EE7">
        <w:rPr>
          <w:noProof/>
          <w:lang w:val="en-US"/>
        </w:rPr>
        <w:t xml:space="preserve"> via a native pathway. Metab. Eng. 43, 71–84. https://doi.org/10.1016/j.ymben.2017.07.003</w:t>
      </w:r>
    </w:p>
    <w:p w14:paraId="3780696F" w14:textId="77777777" w:rsidR="00766330" w:rsidRPr="00766330" w:rsidRDefault="00766330" w:rsidP="00766330">
      <w:pPr>
        <w:widowControl w:val="0"/>
        <w:autoSpaceDE w:val="0"/>
        <w:autoSpaceDN w:val="0"/>
        <w:adjustRightInd w:val="0"/>
        <w:ind w:left="480" w:hanging="480"/>
        <w:rPr>
          <w:noProof/>
        </w:rPr>
      </w:pPr>
      <w:r w:rsidRPr="006E5EE7">
        <w:rPr>
          <w:noProof/>
          <w:lang w:val="en-US"/>
        </w:rPr>
        <w:t xml:space="preserve">Hao, Y., Ma, Q., Liu, X., Fan, X., Men, J., Wu, H., Jiang, S., Tian, D., Xiong, B., Xie, X., 2020. High-yield production of L-valine in engineered </w:t>
      </w:r>
      <w:r w:rsidRPr="006E5EE7">
        <w:rPr>
          <w:i/>
          <w:iCs/>
          <w:noProof/>
          <w:lang w:val="en-US"/>
        </w:rPr>
        <w:t>Escherichia coli</w:t>
      </w:r>
      <w:r w:rsidRPr="006E5EE7">
        <w:rPr>
          <w:noProof/>
          <w:lang w:val="en-US"/>
        </w:rPr>
        <w:t xml:space="preserve"> by a novel two-stage fermentation. </w:t>
      </w:r>
      <w:r w:rsidRPr="00766330">
        <w:rPr>
          <w:noProof/>
        </w:rPr>
        <w:t>Metab. Eng. 62, 198–206. https://doi.org/10.1016/j.ymben.2020.09.007</w:t>
      </w:r>
    </w:p>
    <w:p w14:paraId="54599AB8" w14:textId="77777777" w:rsidR="00766330" w:rsidRPr="006E5EE7" w:rsidRDefault="00766330" w:rsidP="00766330">
      <w:pPr>
        <w:widowControl w:val="0"/>
        <w:autoSpaceDE w:val="0"/>
        <w:autoSpaceDN w:val="0"/>
        <w:adjustRightInd w:val="0"/>
        <w:ind w:left="480" w:hanging="480"/>
        <w:rPr>
          <w:noProof/>
          <w:lang w:val="en-US"/>
        </w:rPr>
      </w:pPr>
      <w:r w:rsidRPr="00766330">
        <w:rPr>
          <w:noProof/>
        </w:rPr>
        <w:t xml:space="preserve">Hasegawa, S., Suda, M., Uematsu, K., Natsuma, Y., Hiraga, K., Jojima, T., Inui, M., Yukawa, H., 2013. </w:t>
      </w:r>
      <w:r w:rsidRPr="006E5EE7">
        <w:rPr>
          <w:noProof/>
          <w:lang w:val="en-US"/>
        </w:rPr>
        <w:t xml:space="preserve">Engineering of </w:t>
      </w:r>
      <w:r w:rsidRPr="006E5EE7">
        <w:rPr>
          <w:i/>
          <w:iCs/>
          <w:noProof/>
          <w:lang w:val="en-US"/>
        </w:rPr>
        <w:t>Corynebacterium glutamicum</w:t>
      </w:r>
      <w:r w:rsidRPr="006E5EE7">
        <w:rPr>
          <w:noProof/>
          <w:lang w:val="en-US"/>
        </w:rPr>
        <w:t xml:space="preserve"> for high-yield l-valine production under oxygen deprivation conditions. Appl. Environ. Microbiol. 79, 1250–1257. https://doi.org/10.1128/AEM.02806-12</w:t>
      </w:r>
    </w:p>
    <w:p w14:paraId="0C91650E" w14:textId="77777777" w:rsidR="00766330" w:rsidRPr="00766330" w:rsidRDefault="00766330" w:rsidP="00766330">
      <w:pPr>
        <w:widowControl w:val="0"/>
        <w:autoSpaceDE w:val="0"/>
        <w:autoSpaceDN w:val="0"/>
        <w:adjustRightInd w:val="0"/>
        <w:ind w:left="480" w:hanging="480"/>
        <w:rPr>
          <w:noProof/>
        </w:rPr>
      </w:pPr>
      <w:r w:rsidRPr="006E5EE7">
        <w:rPr>
          <w:noProof/>
          <w:lang w:val="en-US"/>
        </w:rPr>
        <w:t xml:space="preserve">Hou, X., Chen, X., Zhang, Y., Qian, H., Zhang, W., 2012. l-Valine production with minimization of by-products’ synthesis in </w:t>
      </w:r>
      <w:r w:rsidRPr="006E5EE7">
        <w:rPr>
          <w:i/>
          <w:iCs/>
          <w:noProof/>
          <w:lang w:val="en-US"/>
        </w:rPr>
        <w:t>Corynebacterium glutamicum</w:t>
      </w:r>
      <w:r w:rsidRPr="006E5EE7">
        <w:rPr>
          <w:noProof/>
          <w:lang w:val="en-US"/>
        </w:rPr>
        <w:t xml:space="preserve"> and </w:t>
      </w:r>
      <w:r w:rsidRPr="006E5EE7">
        <w:rPr>
          <w:i/>
          <w:iCs/>
          <w:noProof/>
          <w:lang w:val="en-US"/>
        </w:rPr>
        <w:t>Brevibacterium flavum</w:t>
      </w:r>
      <w:r w:rsidRPr="006E5EE7">
        <w:rPr>
          <w:noProof/>
          <w:lang w:val="en-US"/>
        </w:rPr>
        <w:t xml:space="preserve">. </w:t>
      </w:r>
      <w:r w:rsidRPr="00766330">
        <w:rPr>
          <w:noProof/>
        </w:rPr>
        <w:t>Amin. Acids 2012 436 43, 2301–2311. https://doi.org/10.1007/S00726-012-1308-9</w:t>
      </w:r>
    </w:p>
    <w:p w14:paraId="40DE8641" w14:textId="77777777" w:rsidR="00766330" w:rsidRPr="006E5EE7" w:rsidRDefault="00766330" w:rsidP="00766330">
      <w:pPr>
        <w:widowControl w:val="0"/>
        <w:autoSpaceDE w:val="0"/>
        <w:autoSpaceDN w:val="0"/>
        <w:adjustRightInd w:val="0"/>
        <w:ind w:left="480" w:hanging="480"/>
        <w:rPr>
          <w:noProof/>
          <w:lang w:val="en-US"/>
        </w:rPr>
      </w:pPr>
      <w:r w:rsidRPr="00766330">
        <w:rPr>
          <w:noProof/>
        </w:rPr>
        <w:t xml:space="preserve">Jung, H.M., Han, J.H., Oh, M.K., 2020. </w:t>
      </w:r>
      <w:r w:rsidRPr="006E5EE7">
        <w:rPr>
          <w:noProof/>
          <w:lang w:val="en-US"/>
        </w:rPr>
        <w:t xml:space="preserve">Improved production of 2,3-butanediol and isobutanol by engineering electron transport chain in </w:t>
      </w:r>
      <w:r w:rsidRPr="006E5EE7">
        <w:rPr>
          <w:i/>
          <w:iCs/>
          <w:noProof/>
          <w:lang w:val="en-US"/>
        </w:rPr>
        <w:t>Escherichia coli</w:t>
      </w:r>
      <w:r w:rsidRPr="006E5EE7">
        <w:rPr>
          <w:noProof/>
          <w:lang w:val="en-US"/>
        </w:rPr>
        <w:t>. Microb. Biotechnol. 14, 213–</w:t>
      </w:r>
      <w:r w:rsidRPr="006E5EE7">
        <w:rPr>
          <w:noProof/>
          <w:lang w:val="en-US"/>
        </w:rPr>
        <w:lastRenderedPageBreak/>
        <w:t>226. https://doi.org/10.1111/1751-7915.13669</w:t>
      </w:r>
    </w:p>
    <w:p w14:paraId="33D13FFC"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Kim, Webb, A.M., Kershner, J.P., Blaskowski, S., Copley, S.D., 2014. A versatile and highly efficient method for scarless genome editing in Escherichia coli and Salmonella enterica. BMC Biotechnol. 14. https://doi.org/10.1186/1472-6750-14-84</w:t>
      </w:r>
    </w:p>
    <w:p w14:paraId="7D906E40"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Krause, F.S., Blombach, B., Eikmanns, B.J., 2010. Metabolic engineering of </w:t>
      </w:r>
      <w:r w:rsidRPr="006E5EE7">
        <w:rPr>
          <w:i/>
          <w:iCs/>
          <w:noProof/>
          <w:lang w:val="en-US"/>
        </w:rPr>
        <w:t>Corynebacterium glutamicum</w:t>
      </w:r>
      <w:r w:rsidRPr="006E5EE7">
        <w:rPr>
          <w:noProof/>
          <w:lang w:val="en-US"/>
        </w:rPr>
        <w:t xml:space="preserve"> for 2-Ketoisovalerate production. Appl. Environ. Microbiol. 76, 8053–8061. https://doi.org/10.1128/AEM.01710-10</w:t>
      </w:r>
    </w:p>
    <w:p w14:paraId="28E286EF"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Lee, W.H., Seo, S.O., Bae, Y.H., Nan, H., Jin, Y.S., Seo, J.H., 2012. Isobutanol production in engineered </w:t>
      </w:r>
      <w:r w:rsidRPr="006E5EE7">
        <w:rPr>
          <w:i/>
          <w:iCs/>
          <w:noProof/>
          <w:lang w:val="en-US"/>
        </w:rPr>
        <w:t>Saccharomyces cerevisiae</w:t>
      </w:r>
      <w:r w:rsidRPr="006E5EE7">
        <w:rPr>
          <w:noProof/>
          <w:lang w:val="en-US"/>
        </w:rPr>
        <w:t xml:space="preserve"> by overexpression of 2-ketoisovalerate decarboxylase and valine biosynthetic enzymes. Bioprocess Biosyst. Eng. 35, 1467–1475. https://doi.org/10.1007/s00449-012-0736-y</w:t>
      </w:r>
    </w:p>
    <w:p w14:paraId="155F5811"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Li, S., Wen, J., Jia, X., 2011. Engineering </w:t>
      </w:r>
      <w:r w:rsidRPr="006E5EE7">
        <w:rPr>
          <w:i/>
          <w:iCs/>
          <w:noProof/>
          <w:lang w:val="en-US"/>
        </w:rPr>
        <w:t>Bacillus subtilis</w:t>
      </w:r>
      <w:r w:rsidRPr="006E5EE7">
        <w:rPr>
          <w:noProof/>
          <w:lang w:val="en-US"/>
        </w:rPr>
        <w:t xml:space="preserve"> for isobutanol production by heterologous Ehrlich pathway construction and the biosynthetic 2-ketoisovalerate precursor pathway overexpression. Appl. Microbiol. Biotechnol. 91, 577–589. https://doi.org/10.1007/s00253-011-3280-9</w:t>
      </w:r>
    </w:p>
    <w:p w14:paraId="05C24478"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Liang, S., Chen, H., Liu, J., Wen, J., 2018. Rational design of a synthetic Entner–Doudoroff pathway for enhancing glucose transformation to isobutanol in </w:t>
      </w:r>
      <w:r w:rsidRPr="006E5EE7">
        <w:rPr>
          <w:i/>
          <w:iCs/>
          <w:noProof/>
          <w:lang w:val="en-US"/>
        </w:rPr>
        <w:t>Escherichia coli</w:t>
      </w:r>
      <w:r w:rsidRPr="006E5EE7">
        <w:rPr>
          <w:noProof/>
          <w:lang w:val="en-US"/>
        </w:rPr>
        <w:t>. J. Ind. Microbiol. Biotechnol. 45, 187–199. https://doi.org/10.1007/s10295-018-2017-5</w:t>
      </w:r>
    </w:p>
    <w:p w14:paraId="08C95D3B" w14:textId="77777777" w:rsidR="00766330" w:rsidRPr="00766330" w:rsidRDefault="00766330" w:rsidP="00766330">
      <w:pPr>
        <w:widowControl w:val="0"/>
        <w:autoSpaceDE w:val="0"/>
        <w:autoSpaceDN w:val="0"/>
        <w:adjustRightInd w:val="0"/>
        <w:ind w:left="480" w:hanging="480"/>
        <w:rPr>
          <w:noProof/>
        </w:rPr>
      </w:pPr>
      <w:r w:rsidRPr="006E5EE7">
        <w:rPr>
          <w:noProof/>
          <w:lang w:val="en-US"/>
        </w:rPr>
        <w:t xml:space="preserve">Noda, S., Mori, Y., Oyama, S., Kondo, A., Araki, M., Shirai, T., 2019. Reconstruction of metabolic pathway for isobutanol production in </w:t>
      </w:r>
      <w:r w:rsidRPr="006E5EE7">
        <w:rPr>
          <w:i/>
          <w:iCs/>
          <w:noProof/>
          <w:lang w:val="en-US"/>
        </w:rPr>
        <w:t>Escherichia coli</w:t>
      </w:r>
      <w:r w:rsidRPr="006E5EE7">
        <w:rPr>
          <w:noProof/>
          <w:lang w:val="en-US"/>
        </w:rPr>
        <w:t xml:space="preserve">. </w:t>
      </w:r>
      <w:r w:rsidRPr="00766330">
        <w:rPr>
          <w:noProof/>
        </w:rPr>
        <w:t>Microb. Cell Fact. 18, 124. https://doi.org/10.1186/s12934-019-1171-4</w:t>
      </w:r>
    </w:p>
    <w:p w14:paraId="300A454D" w14:textId="77777777" w:rsidR="00766330" w:rsidRPr="006E5EE7" w:rsidRDefault="00766330" w:rsidP="00766330">
      <w:pPr>
        <w:widowControl w:val="0"/>
        <w:autoSpaceDE w:val="0"/>
        <w:autoSpaceDN w:val="0"/>
        <w:adjustRightInd w:val="0"/>
        <w:ind w:left="480" w:hanging="480"/>
        <w:rPr>
          <w:noProof/>
          <w:lang w:val="en-US"/>
        </w:rPr>
      </w:pPr>
      <w:r w:rsidRPr="00766330">
        <w:rPr>
          <w:noProof/>
        </w:rPr>
        <w:t xml:space="preserve">Nogales, J., Canales, A., Jiménez-Barbero, J., Serra, B., Pingarrón, J., García, J., Díaz, E., 2011. </w:t>
      </w:r>
      <w:r w:rsidRPr="006E5EE7">
        <w:rPr>
          <w:noProof/>
          <w:lang w:val="en-US"/>
        </w:rPr>
        <w:t xml:space="preserve">Unravelling the gallic acid degradation pathway in bacteria: the gal cluster from </w:t>
      </w:r>
      <w:r w:rsidRPr="006E5EE7">
        <w:rPr>
          <w:i/>
          <w:iCs/>
          <w:noProof/>
          <w:lang w:val="en-US"/>
        </w:rPr>
        <w:t>Pseudomonas putida</w:t>
      </w:r>
      <w:r w:rsidRPr="006E5EE7">
        <w:rPr>
          <w:noProof/>
          <w:lang w:val="en-US"/>
        </w:rPr>
        <w:t>. Mol. Microbiol. 79, 359–374. https://doi.org/10.1111/J.1365-2958.2010.07448.X</w:t>
      </w:r>
    </w:p>
    <w:p w14:paraId="15115C8A"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Park, J.H., Jang, Y., Lee, J.W., Lee, S.Y., 2011a. Escherichia coli W as a new platform strain for the enhanced production of L-Valine by systems metabolic engineering 108, 1140–1147. https://doi.org/10.1002/bit.23044</w:t>
      </w:r>
    </w:p>
    <w:p w14:paraId="5617CB23"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Park, J.H., Kim, T.Y., Lee, K.H., Lee, S.Y., 2011b. Fed-batch culture of </w:t>
      </w:r>
      <w:r w:rsidRPr="006E5EE7">
        <w:rPr>
          <w:i/>
          <w:iCs/>
          <w:noProof/>
          <w:lang w:val="en-US"/>
        </w:rPr>
        <w:t>Escherichia coli</w:t>
      </w:r>
      <w:r w:rsidRPr="006E5EE7">
        <w:rPr>
          <w:noProof/>
          <w:lang w:val="en-US"/>
        </w:rPr>
        <w:t xml:space="preserve"> for L-valine production based on in silico flux response analysis. Biotechnol. Bioeng. 108, 934–946. https://doi.org/10.1002/bit.22995</w:t>
      </w:r>
    </w:p>
    <w:p w14:paraId="69D8CF9C"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Park, J.H., Lee, K.H., Kim, T.Y., Lee, S.Y., 2007. Metabolic engineering of </w:t>
      </w:r>
      <w:r w:rsidRPr="006E5EE7">
        <w:rPr>
          <w:i/>
          <w:iCs/>
          <w:noProof/>
          <w:lang w:val="en-US"/>
        </w:rPr>
        <w:t>Escherichia coli</w:t>
      </w:r>
      <w:r w:rsidRPr="006E5EE7">
        <w:rPr>
          <w:noProof/>
          <w:lang w:val="en-US"/>
        </w:rPr>
        <w:t xml:space="preserve"> for the production of L -valine based on transcriptome analysis and in silico gene knockout simulation. PNAS 104, 7797–7802. https://doi.org/10.1073/pnas.0702609104</w:t>
      </w:r>
    </w:p>
    <w:p w14:paraId="3DA181F7"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Radmacher, E., Vaitsikova, A., Burger, U., Krumbach, K., Sahm, H., Eggeling, L., 2002. Linking central metabolism with increased pathway flux: L-valine accumulation by </w:t>
      </w:r>
      <w:r w:rsidRPr="006E5EE7">
        <w:rPr>
          <w:i/>
          <w:iCs/>
          <w:noProof/>
          <w:lang w:val="en-US"/>
        </w:rPr>
        <w:t>Corynebacterium glutamicum</w:t>
      </w:r>
      <w:r w:rsidRPr="006E5EE7">
        <w:rPr>
          <w:noProof/>
          <w:lang w:val="en-US"/>
        </w:rPr>
        <w:t>. Appl. Environ. Microbiol. 68, 2246–2250. https://doi.org/10.1128/AEM.68.5.2246-2250.2002</w:t>
      </w:r>
    </w:p>
    <w:p w14:paraId="7803C8F4" w14:textId="77777777" w:rsidR="00766330" w:rsidRPr="006E5EE7" w:rsidRDefault="00766330" w:rsidP="00766330">
      <w:pPr>
        <w:widowControl w:val="0"/>
        <w:autoSpaceDE w:val="0"/>
        <w:autoSpaceDN w:val="0"/>
        <w:adjustRightInd w:val="0"/>
        <w:ind w:left="480" w:hanging="480"/>
        <w:rPr>
          <w:noProof/>
          <w:lang w:val="en-US"/>
        </w:rPr>
      </w:pPr>
      <w:r w:rsidRPr="006E5EE7">
        <w:rPr>
          <w:noProof/>
          <w:lang w:val="en-US"/>
        </w:rPr>
        <w:t xml:space="preserve">Schwentner, A., Feith, A., Münch, E., Busche, T., Rückert, C., Kalinowski, J., Takors, R., Blombach, B., 2018. Metabolic engineering to guide evolution – Creating a novel mode for L-valine production with </w:t>
      </w:r>
      <w:r w:rsidRPr="006E5EE7">
        <w:rPr>
          <w:i/>
          <w:iCs/>
          <w:noProof/>
          <w:lang w:val="en-US"/>
        </w:rPr>
        <w:t>Corynebacterium glutamicum</w:t>
      </w:r>
      <w:r w:rsidRPr="006E5EE7">
        <w:rPr>
          <w:noProof/>
          <w:lang w:val="en-US"/>
        </w:rPr>
        <w:t>. Metab. Eng. 47, 31–41. https://doi.org/10.1016/j.ymben.2018.02.015</w:t>
      </w:r>
    </w:p>
    <w:p w14:paraId="44412BE1" w14:textId="77777777" w:rsidR="00766330" w:rsidRPr="00766330" w:rsidRDefault="00766330" w:rsidP="00766330">
      <w:pPr>
        <w:widowControl w:val="0"/>
        <w:autoSpaceDE w:val="0"/>
        <w:autoSpaceDN w:val="0"/>
        <w:adjustRightInd w:val="0"/>
        <w:ind w:left="480" w:hanging="480"/>
        <w:rPr>
          <w:noProof/>
        </w:rPr>
      </w:pPr>
      <w:r w:rsidRPr="006E5EE7">
        <w:rPr>
          <w:noProof/>
          <w:lang w:val="en-US"/>
        </w:rPr>
        <w:t xml:space="preserve">Westbrook, A.W., Ren, X., Moo-Young, M., Chou, C.P., 2018. Metabolic engineering of </w:t>
      </w:r>
      <w:r w:rsidRPr="006E5EE7">
        <w:rPr>
          <w:i/>
          <w:iCs/>
          <w:noProof/>
          <w:lang w:val="en-US"/>
        </w:rPr>
        <w:t>Bacillus subtilis</w:t>
      </w:r>
      <w:r w:rsidRPr="006E5EE7">
        <w:rPr>
          <w:noProof/>
          <w:lang w:val="en-US"/>
        </w:rPr>
        <w:t xml:space="preserve"> for l-valine overproduction. </w:t>
      </w:r>
      <w:r w:rsidRPr="00766330">
        <w:rPr>
          <w:noProof/>
        </w:rPr>
        <w:t>Biotechnol. Bioeng. 115, 2778–2792. https://doi.org/10.1002/bit.26789</w:t>
      </w:r>
    </w:p>
    <w:p w14:paraId="24B6E999" w14:textId="1B9484C5" w:rsidR="00DF3B5B" w:rsidRPr="004D32BA" w:rsidRDefault="004A04EE">
      <w:pPr>
        <w:rPr>
          <w:lang w:val="en-US"/>
        </w:rPr>
      </w:pPr>
      <w:r w:rsidRPr="004D32BA">
        <w:rPr>
          <w:lang w:val="en-US"/>
        </w:rPr>
        <w:fldChar w:fldCharType="end"/>
      </w:r>
    </w:p>
    <w:sectPr w:rsidR="00DF3B5B" w:rsidRPr="004D32BA" w:rsidSect="003A3C1E">
      <w:footerReference w:type="default" r:id="rId12"/>
      <w:pgSz w:w="12240" w:h="15840"/>
      <w:pgMar w:top="1140" w:right="1701" w:bottom="1418"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6D61" w14:textId="77777777" w:rsidR="008B0A5C" w:rsidRDefault="008B0A5C" w:rsidP="007F71E9">
      <w:r>
        <w:separator/>
      </w:r>
    </w:p>
  </w:endnote>
  <w:endnote w:type="continuationSeparator" w:id="0">
    <w:p w14:paraId="5471B615" w14:textId="77777777" w:rsidR="008B0A5C" w:rsidRDefault="008B0A5C" w:rsidP="007F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07808"/>
      <w:docPartObj>
        <w:docPartGallery w:val="Page Numbers (Bottom of Page)"/>
        <w:docPartUnique/>
      </w:docPartObj>
    </w:sdtPr>
    <w:sdtEndPr/>
    <w:sdtContent>
      <w:p w14:paraId="2F48656E" w14:textId="5DA662A9" w:rsidR="00212975" w:rsidRDefault="00212975">
        <w:pPr>
          <w:pStyle w:val="Piedepgina"/>
          <w:jc w:val="right"/>
        </w:pPr>
        <w:r>
          <w:fldChar w:fldCharType="begin"/>
        </w:r>
        <w:r>
          <w:instrText>PAGE   \* MERGEFORMAT</w:instrText>
        </w:r>
        <w:r>
          <w:fldChar w:fldCharType="separate"/>
        </w:r>
        <w:r w:rsidR="00706513" w:rsidRPr="00706513">
          <w:rPr>
            <w:noProof/>
            <w:lang w:val="es-ES"/>
          </w:rPr>
          <w:t>2</w:t>
        </w:r>
        <w:r>
          <w:fldChar w:fldCharType="end"/>
        </w:r>
      </w:p>
    </w:sdtContent>
  </w:sdt>
  <w:p w14:paraId="70A66AFE" w14:textId="77777777" w:rsidR="00212975" w:rsidRDefault="002129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780C" w14:textId="77777777" w:rsidR="008B0A5C" w:rsidRDefault="008B0A5C" w:rsidP="007F71E9">
      <w:r>
        <w:separator/>
      </w:r>
    </w:p>
  </w:footnote>
  <w:footnote w:type="continuationSeparator" w:id="0">
    <w:p w14:paraId="4826F90A" w14:textId="77777777" w:rsidR="008B0A5C" w:rsidRDefault="008B0A5C" w:rsidP="007F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601A"/>
    <w:multiLevelType w:val="multilevel"/>
    <w:tmpl w:val="815E75B8"/>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Ttulo1"/>
        <w:lvlText w:val="%1"/>
        <w:lvlJc w:val="left"/>
        <w:pPr>
          <w:tabs>
            <w:tab w:val="num" w:pos="567"/>
          </w:tabs>
          <w:ind w:left="567" w:hanging="567"/>
        </w:pPr>
        <w:rPr>
          <w:rFonts w:hint="default"/>
        </w:rPr>
      </w:lvl>
    </w:lvlOverride>
    <w:lvlOverride w:ilvl="1">
      <w:lvl w:ilvl="1">
        <w:start w:val="1"/>
        <w:numFmt w:val="decimal"/>
        <w:pStyle w:val="Ttulo2"/>
        <w:lvlText w:val="%1.%2"/>
        <w:lvlJc w:val="left"/>
        <w:pPr>
          <w:tabs>
            <w:tab w:val="num" w:pos="2836"/>
          </w:tabs>
          <w:ind w:left="2836" w:hanging="567"/>
        </w:pPr>
        <w:rPr>
          <w:rFonts w:hint="default"/>
          <w:b/>
          <w:bCs w:val="0"/>
          <w:i w:val="0"/>
          <w:iCs w:val="0"/>
        </w:rPr>
      </w:lvl>
    </w:lvlOverride>
    <w:lvlOverride w:ilvl="2">
      <w:lvl w:ilvl="2">
        <w:start w:val="1"/>
        <w:numFmt w:val="decimal"/>
        <w:pStyle w:val="Ttulo3"/>
        <w:lvlText w:val="%1.%2.%3"/>
        <w:lvlJc w:val="left"/>
        <w:pPr>
          <w:tabs>
            <w:tab w:val="num" w:pos="567"/>
          </w:tabs>
          <w:ind w:left="567" w:hanging="567"/>
        </w:pPr>
        <w:rPr>
          <w:rFonts w:hint="default"/>
        </w:rPr>
      </w:lvl>
    </w:lvlOverride>
    <w:lvlOverride w:ilvl="3">
      <w:lvl w:ilvl="3">
        <w:start w:val="1"/>
        <w:numFmt w:val="decimal"/>
        <w:pStyle w:val="Ttulo4"/>
        <w:lvlText w:val="%1.%2.%3.%4"/>
        <w:lvlJc w:val="left"/>
        <w:pPr>
          <w:tabs>
            <w:tab w:val="num" w:pos="567"/>
          </w:tabs>
          <w:ind w:left="567" w:hanging="567"/>
        </w:pPr>
        <w:rPr>
          <w:rFonts w:hint="default"/>
        </w:rPr>
      </w:lvl>
    </w:lvlOverride>
    <w:lvlOverride w:ilvl="4">
      <w:lvl w:ilvl="4">
        <w:start w:val="1"/>
        <w:numFmt w:val="decimal"/>
        <w:pStyle w:val="Ttulo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C"/>
    <w:rsid w:val="000033DF"/>
    <w:rsid w:val="00005742"/>
    <w:rsid w:val="00020633"/>
    <w:rsid w:val="00023377"/>
    <w:rsid w:val="00043629"/>
    <w:rsid w:val="00045613"/>
    <w:rsid w:val="0005530B"/>
    <w:rsid w:val="0006474D"/>
    <w:rsid w:val="00083A9E"/>
    <w:rsid w:val="00091DF9"/>
    <w:rsid w:val="00092E72"/>
    <w:rsid w:val="00095C81"/>
    <w:rsid w:val="000B7D37"/>
    <w:rsid w:val="000C2E2C"/>
    <w:rsid w:val="000E4127"/>
    <w:rsid w:val="000F5744"/>
    <w:rsid w:val="0012090B"/>
    <w:rsid w:val="00122705"/>
    <w:rsid w:val="001521D9"/>
    <w:rsid w:val="00153E3A"/>
    <w:rsid w:val="001619C1"/>
    <w:rsid w:val="00164984"/>
    <w:rsid w:val="001A3FE3"/>
    <w:rsid w:val="001B3B17"/>
    <w:rsid w:val="001C3273"/>
    <w:rsid w:val="001D3026"/>
    <w:rsid w:val="001D4D8E"/>
    <w:rsid w:val="001F4B74"/>
    <w:rsid w:val="00212975"/>
    <w:rsid w:val="0021413B"/>
    <w:rsid w:val="00215EA8"/>
    <w:rsid w:val="0021669A"/>
    <w:rsid w:val="002226BF"/>
    <w:rsid w:val="0022698C"/>
    <w:rsid w:val="0023031D"/>
    <w:rsid w:val="00231A9B"/>
    <w:rsid w:val="002406AE"/>
    <w:rsid w:val="00246BAD"/>
    <w:rsid w:val="00247CD5"/>
    <w:rsid w:val="002673C6"/>
    <w:rsid w:val="00280FE0"/>
    <w:rsid w:val="00282B81"/>
    <w:rsid w:val="00292F8D"/>
    <w:rsid w:val="002A463A"/>
    <w:rsid w:val="002D0CBB"/>
    <w:rsid w:val="002E43D6"/>
    <w:rsid w:val="00300FF9"/>
    <w:rsid w:val="00301CCF"/>
    <w:rsid w:val="0031437E"/>
    <w:rsid w:val="00316CC3"/>
    <w:rsid w:val="00343F67"/>
    <w:rsid w:val="00354CE3"/>
    <w:rsid w:val="00355D1B"/>
    <w:rsid w:val="003A3C1E"/>
    <w:rsid w:val="003B2EFD"/>
    <w:rsid w:val="003B7300"/>
    <w:rsid w:val="0040212B"/>
    <w:rsid w:val="0041035D"/>
    <w:rsid w:val="00465D74"/>
    <w:rsid w:val="004662BC"/>
    <w:rsid w:val="004858EF"/>
    <w:rsid w:val="004909C0"/>
    <w:rsid w:val="00490F4E"/>
    <w:rsid w:val="004938DD"/>
    <w:rsid w:val="004A04EE"/>
    <w:rsid w:val="004B2201"/>
    <w:rsid w:val="004D32BA"/>
    <w:rsid w:val="004E3621"/>
    <w:rsid w:val="0052363A"/>
    <w:rsid w:val="00523E5E"/>
    <w:rsid w:val="005404E1"/>
    <w:rsid w:val="005454D7"/>
    <w:rsid w:val="00552695"/>
    <w:rsid w:val="00560116"/>
    <w:rsid w:val="00565DBC"/>
    <w:rsid w:val="00573156"/>
    <w:rsid w:val="005833DD"/>
    <w:rsid w:val="005932D0"/>
    <w:rsid w:val="005A3910"/>
    <w:rsid w:val="005C68D7"/>
    <w:rsid w:val="005D2ED0"/>
    <w:rsid w:val="005D7ADC"/>
    <w:rsid w:val="005F68A7"/>
    <w:rsid w:val="006030A4"/>
    <w:rsid w:val="00611176"/>
    <w:rsid w:val="00613DF4"/>
    <w:rsid w:val="00621B9F"/>
    <w:rsid w:val="00623C4E"/>
    <w:rsid w:val="006338EF"/>
    <w:rsid w:val="006826DC"/>
    <w:rsid w:val="006A3406"/>
    <w:rsid w:val="006B3CB9"/>
    <w:rsid w:val="006B71D8"/>
    <w:rsid w:val="006E5EE7"/>
    <w:rsid w:val="006E79EE"/>
    <w:rsid w:val="006F2AE6"/>
    <w:rsid w:val="00701BF7"/>
    <w:rsid w:val="00706513"/>
    <w:rsid w:val="00707B64"/>
    <w:rsid w:val="007407B3"/>
    <w:rsid w:val="00766330"/>
    <w:rsid w:val="00766F62"/>
    <w:rsid w:val="007703C7"/>
    <w:rsid w:val="00781B54"/>
    <w:rsid w:val="00783EAD"/>
    <w:rsid w:val="007B4976"/>
    <w:rsid w:val="007C5FA8"/>
    <w:rsid w:val="007D05B6"/>
    <w:rsid w:val="007D20AD"/>
    <w:rsid w:val="007D3952"/>
    <w:rsid w:val="007D732B"/>
    <w:rsid w:val="007E076F"/>
    <w:rsid w:val="007F512F"/>
    <w:rsid w:val="007F709A"/>
    <w:rsid w:val="007F71E9"/>
    <w:rsid w:val="00815921"/>
    <w:rsid w:val="008245FD"/>
    <w:rsid w:val="0083687A"/>
    <w:rsid w:val="00851D66"/>
    <w:rsid w:val="00862F4B"/>
    <w:rsid w:val="00865A02"/>
    <w:rsid w:val="008661B8"/>
    <w:rsid w:val="00884413"/>
    <w:rsid w:val="0088581E"/>
    <w:rsid w:val="00890EA5"/>
    <w:rsid w:val="008B0A5C"/>
    <w:rsid w:val="008B2F09"/>
    <w:rsid w:val="008E5934"/>
    <w:rsid w:val="008F747D"/>
    <w:rsid w:val="00903523"/>
    <w:rsid w:val="009130C0"/>
    <w:rsid w:val="009321CA"/>
    <w:rsid w:val="00944C15"/>
    <w:rsid w:val="009517D4"/>
    <w:rsid w:val="00952643"/>
    <w:rsid w:val="00960A3A"/>
    <w:rsid w:val="00971A6F"/>
    <w:rsid w:val="00986D4C"/>
    <w:rsid w:val="00990C6D"/>
    <w:rsid w:val="009B1D4B"/>
    <w:rsid w:val="009B5F03"/>
    <w:rsid w:val="009C2388"/>
    <w:rsid w:val="009C37FF"/>
    <w:rsid w:val="009E588E"/>
    <w:rsid w:val="009F5EC7"/>
    <w:rsid w:val="00A01891"/>
    <w:rsid w:val="00A02528"/>
    <w:rsid w:val="00A04C82"/>
    <w:rsid w:val="00A2020D"/>
    <w:rsid w:val="00A2295C"/>
    <w:rsid w:val="00A2533A"/>
    <w:rsid w:val="00A330F1"/>
    <w:rsid w:val="00A34D4B"/>
    <w:rsid w:val="00A47868"/>
    <w:rsid w:val="00A63172"/>
    <w:rsid w:val="00A6782E"/>
    <w:rsid w:val="00A70A5B"/>
    <w:rsid w:val="00A86450"/>
    <w:rsid w:val="00A97EE1"/>
    <w:rsid w:val="00AA5321"/>
    <w:rsid w:val="00AA7930"/>
    <w:rsid w:val="00AA7B23"/>
    <w:rsid w:val="00AB25F0"/>
    <w:rsid w:val="00AE4582"/>
    <w:rsid w:val="00AF169B"/>
    <w:rsid w:val="00AF455D"/>
    <w:rsid w:val="00AF752E"/>
    <w:rsid w:val="00B04AD0"/>
    <w:rsid w:val="00B12785"/>
    <w:rsid w:val="00B179CC"/>
    <w:rsid w:val="00B17F78"/>
    <w:rsid w:val="00B308E9"/>
    <w:rsid w:val="00B3405B"/>
    <w:rsid w:val="00B56FCA"/>
    <w:rsid w:val="00B61321"/>
    <w:rsid w:val="00B63FE6"/>
    <w:rsid w:val="00B64D38"/>
    <w:rsid w:val="00B73BCA"/>
    <w:rsid w:val="00BA5A89"/>
    <w:rsid w:val="00BB77EE"/>
    <w:rsid w:val="00C05454"/>
    <w:rsid w:val="00C06528"/>
    <w:rsid w:val="00C23A5D"/>
    <w:rsid w:val="00C310A5"/>
    <w:rsid w:val="00C469E8"/>
    <w:rsid w:val="00C46D58"/>
    <w:rsid w:val="00C62AA0"/>
    <w:rsid w:val="00C66591"/>
    <w:rsid w:val="00C970E2"/>
    <w:rsid w:val="00CA1E1E"/>
    <w:rsid w:val="00D32617"/>
    <w:rsid w:val="00D418AA"/>
    <w:rsid w:val="00D7421B"/>
    <w:rsid w:val="00D86F73"/>
    <w:rsid w:val="00D91531"/>
    <w:rsid w:val="00D9161D"/>
    <w:rsid w:val="00D931FC"/>
    <w:rsid w:val="00D970D0"/>
    <w:rsid w:val="00DB2AD7"/>
    <w:rsid w:val="00DB34BA"/>
    <w:rsid w:val="00DE3C16"/>
    <w:rsid w:val="00DF0D30"/>
    <w:rsid w:val="00DF3B5B"/>
    <w:rsid w:val="00E22FFA"/>
    <w:rsid w:val="00E31D32"/>
    <w:rsid w:val="00E45355"/>
    <w:rsid w:val="00E74FCD"/>
    <w:rsid w:val="00E9537E"/>
    <w:rsid w:val="00EA2FC2"/>
    <w:rsid w:val="00EB0FEA"/>
    <w:rsid w:val="00EC5231"/>
    <w:rsid w:val="00ED5807"/>
    <w:rsid w:val="00EF447E"/>
    <w:rsid w:val="00F07212"/>
    <w:rsid w:val="00F1478C"/>
    <w:rsid w:val="00F23A21"/>
    <w:rsid w:val="00F25170"/>
    <w:rsid w:val="00F33D08"/>
    <w:rsid w:val="00F43054"/>
    <w:rsid w:val="00F5711F"/>
    <w:rsid w:val="00F73D5E"/>
    <w:rsid w:val="00F803F5"/>
    <w:rsid w:val="00FB205C"/>
    <w:rsid w:val="00FB265F"/>
    <w:rsid w:val="00FF3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79796"/>
  <w15:chartTrackingRefBased/>
  <w15:docId w15:val="{9FE9824F-C969-4F79-8DE8-96CDE388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98C"/>
    <w:pPr>
      <w:spacing w:after="0" w:line="240" w:lineRule="auto"/>
    </w:pPr>
    <w:rPr>
      <w:rFonts w:ascii="Times New Roman" w:eastAsia="Times New Roman" w:hAnsi="Times New Roman" w:cs="Times New Roman"/>
      <w:sz w:val="24"/>
      <w:szCs w:val="24"/>
      <w:lang w:eastAsia="es-CO"/>
    </w:rPr>
  </w:style>
  <w:style w:type="paragraph" w:styleId="Ttulo1">
    <w:name w:val="heading 1"/>
    <w:basedOn w:val="Prrafodelista"/>
    <w:next w:val="Normal"/>
    <w:link w:val="Ttulo1Car"/>
    <w:uiPriority w:val="2"/>
    <w:qFormat/>
    <w:rsid w:val="00AF455D"/>
    <w:pPr>
      <w:numPr>
        <w:numId w:val="1"/>
      </w:numPr>
      <w:spacing w:before="240" w:after="240"/>
      <w:contextualSpacing w:val="0"/>
      <w:outlineLvl w:val="0"/>
    </w:pPr>
    <w:rPr>
      <w:rFonts w:eastAsia="Cambria"/>
      <w:b/>
      <w:lang w:val="en-US" w:eastAsia="en-US"/>
    </w:rPr>
  </w:style>
  <w:style w:type="paragraph" w:styleId="Ttulo2">
    <w:name w:val="heading 2"/>
    <w:basedOn w:val="Ttulo1"/>
    <w:next w:val="Normal"/>
    <w:link w:val="Ttulo2Car"/>
    <w:uiPriority w:val="2"/>
    <w:qFormat/>
    <w:rsid w:val="00AF455D"/>
    <w:pPr>
      <w:numPr>
        <w:ilvl w:val="1"/>
      </w:numPr>
      <w:spacing w:after="200"/>
      <w:outlineLvl w:val="1"/>
    </w:pPr>
  </w:style>
  <w:style w:type="paragraph" w:styleId="Ttulo3">
    <w:name w:val="heading 3"/>
    <w:basedOn w:val="Normal"/>
    <w:next w:val="Normal"/>
    <w:link w:val="Ttulo3Car"/>
    <w:uiPriority w:val="2"/>
    <w:qFormat/>
    <w:rsid w:val="00AF455D"/>
    <w:pPr>
      <w:keepNext/>
      <w:keepLines/>
      <w:numPr>
        <w:ilvl w:val="2"/>
        <w:numId w:val="1"/>
      </w:numPr>
      <w:spacing w:before="40" w:after="120"/>
      <w:outlineLvl w:val="2"/>
    </w:pPr>
    <w:rPr>
      <w:rFonts w:eastAsiaTheme="majorEastAsia" w:cstheme="majorBidi"/>
      <w:b/>
      <w:lang w:val="en-US" w:eastAsia="en-US"/>
    </w:rPr>
  </w:style>
  <w:style w:type="paragraph" w:styleId="Ttulo4">
    <w:name w:val="heading 4"/>
    <w:basedOn w:val="Ttulo3"/>
    <w:next w:val="Normal"/>
    <w:link w:val="Ttulo4Car"/>
    <w:uiPriority w:val="2"/>
    <w:qFormat/>
    <w:rsid w:val="00AF455D"/>
    <w:pPr>
      <w:numPr>
        <w:ilvl w:val="3"/>
      </w:numPr>
      <w:outlineLvl w:val="3"/>
    </w:pPr>
    <w:rPr>
      <w:iCs/>
    </w:rPr>
  </w:style>
  <w:style w:type="paragraph" w:styleId="Ttulo5">
    <w:name w:val="heading 5"/>
    <w:basedOn w:val="Ttulo4"/>
    <w:next w:val="Normal"/>
    <w:link w:val="Ttulo5Car"/>
    <w:uiPriority w:val="2"/>
    <w:qFormat/>
    <w:rsid w:val="00AF455D"/>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5DBC"/>
    <w:pPr>
      <w:spacing w:after="0" w:line="240" w:lineRule="auto"/>
    </w:pPr>
    <w:rPr>
      <w:lang w:val="en-US"/>
    </w:rPr>
  </w:style>
  <w:style w:type="table" w:styleId="Tablanormal2">
    <w:name w:val="Plain Table 2"/>
    <w:basedOn w:val="Tablanormal"/>
    <w:uiPriority w:val="42"/>
    <w:rsid w:val="00B63FE6"/>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7F71E9"/>
    <w:pPr>
      <w:tabs>
        <w:tab w:val="center" w:pos="4419"/>
        <w:tab w:val="right" w:pos="8838"/>
      </w:tabs>
    </w:pPr>
  </w:style>
  <w:style w:type="character" w:customStyle="1" w:styleId="EncabezadoCar">
    <w:name w:val="Encabezado Car"/>
    <w:basedOn w:val="Fuentedeprrafopredeter"/>
    <w:link w:val="Encabezado"/>
    <w:uiPriority w:val="99"/>
    <w:rsid w:val="007F71E9"/>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F71E9"/>
    <w:pPr>
      <w:tabs>
        <w:tab w:val="center" w:pos="4419"/>
        <w:tab w:val="right" w:pos="8838"/>
      </w:tabs>
    </w:pPr>
  </w:style>
  <w:style w:type="character" w:customStyle="1" w:styleId="PiedepginaCar">
    <w:name w:val="Pie de página Car"/>
    <w:basedOn w:val="Fuentedeprrafopredeter"/>
    <w:link w:val="Piedepgina"/>
    <w:uiPriority w:val="99"/>
    <w:rsid w:val="007F71E9"/>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F3B5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5934"/>
    <w:rPr>
      <w:sz w:val="16"/>
      <w:szCs w:val="16"/>
    </w:rPr>
  </w:style>
  <w:style w:type="paragraph" w:styleId="Textocomentario">
    <w:name w:val="annotation text"/>
    <w:basedOn w:val="Normal"/>
    <w:link w:val="TextocomentarioCar"/>
    <w:uiPriority w:val="99"/>
    <w:semiHidden/>
    <w:unhideWhenUsed/>
    <w:rsid w:val="008E5934"/>
    <w:rPr>
      <w:sz w:val="20"/>
      <w:szCs w:val="20"/>
    </w:rPr>
  </w:style>
  <w:style w:type="character" w:customStyle="1" w:styleId="TextocomentarioCar">
    <w:name w:val="Texto comentario Car"/>
    <w:basedOn w:val="Fuentedeprrafopredeter"/>
    <w:link w:val="Textocomentario"/>
    <w:uiPriority w:val="99"/>
    <w:semiHidden/>
    <w:rsid w:val="008E593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E5934"/>
    <w:rPr>
      <w:b/>
      <w:bCs/>
    </w:rPr>
  </w:style>
  <w:style w:type="character" w:customStyle="1" w:styleId="AsuntodelcomentarioCar">
    <w:name w:val="Asunto del comentario Car"/>
    <w:basedOn w:val="TextocomentarioCar"/>
    <w:link w:val="Asuntodelcomentario"/>
    <w:uiPriority w:val="99"/>
    <w:semiHidden/>
    <w:rsid w:val="008E5934"/>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8E59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934"/>
    <w:rPr>
      <w:rFonts w:ascii="Segoe UI" w:eastAsia="Times New Roman" w:hAnsi="Segoe UI" w:cs="Segoe UI"/>
      <w:sz w:val="18"/>
      <w:szCs w:val="18"/>
      <w:lang w:eastAsia="es-CO"/>
    </w:rPr>
  </w:style>
  <w:style w:type="character" w:customStyle="1" w:styleId="Ttulo1Car">
    <w:name w:val="Título 1 Car"/>
    <w:basedOn w:val="Fuentedeprrafopredeter"/>
    <w:link w:val="Ttulo1"/>
    <w:uiPriority w:val="2"/>
    <w:rsid w:val="00AF455D"/>
    <w:rPr>
      <w:rFonts w:ascii="Times New Roman" w:eastAsia="Cambria" w:hAnsi="Times New Roman" w:cs="Times New Roman"/>
      <w:b/>
      <w:sz w:val="24"/>
      <w:szCs w:val="24"/>
      <w:lang w:val="en-US"/>
    </w:rPr>
  </w:style>
  <w:style w:type="character" w:customStyle="1" w:styleId="Ttulo2Car">
    <w:name w:val="Título 2 Car"/>
    <w:basedOn w:val="Fuentedeprrafopredeter"/>
    <w:link w:val="Ttulo2"/>
    <w:uiPriority w:val="2"/>
    <w:rsid w:val="00AF455D"/>
    <w:rPr>
      <w:rFonts w:ascii="Times New Roman" w:eastAsia="Cambria" w:hAnsi="Times New Roman" w:cs="Times New Roman"/>
      <w:b/>
      <w:sz w:val="24"/>
      <w:szCs w:val="24"/>
      <w:lang w:val="en-US"/>
    </w:rPr>
  </w:style>
  <w:style w:type="character" w:customStyle="1" w:styleId="Ttulo3Car">
    <w:name w:val="Título 3 Car"/>
    <w:basedOn w:val="Fuentedeprrafopredeter"/>
    <w:link w:val="Ttulo3"/>
    <w:uiPriority w:val="2"/>
    <w:rsid w:val="00AF455D"/>
    <w:rPr>
      <w:rFonts w:ascii="Times New Roman" w:eastAsiaTheme="majorEastAsia" w:hAnsi="Times New Roman" w:cstheme="majorBidi"/>
      <w:b/>
      <w:sz w:val="24"/>
      <w:szCs w:val="24"/>
      <w:lang w:val="en-US"/>
    </w:rPr>
  </w:style>
  <w:style w:type="character" w:customStyle="1" w:styleId="Ttulo4Car">
    <w:name w:val="Título 4 Car"/>
    <w:basedOn w:val="Fuentedeprrafopredeter"/>
    <w:link w:val="Ttulo4"/>
    <w:uiPriority w:val="2"/>
    <w:rsid w:val="00AF455D"/>
    <w:rPr>
      <w:rFonts w:ascii="Times New Roman" w:eastAsiaTheme="majorEastAsia" w:hAnsi="Times New Roman" w:cstheme="majorBidi"/>
      <w:b/>
      <w:iCs/>
      <w:sz w:val="24"/>
      <w:szCs w:val="24"/>
      <w:lang w:val="en-US"/>
    </w:rPr>
  </w:style>
  <w:style w:type="character" w:customStyle="1" w:styleId="Ttulo5Car">
    <w:name w:val="Título 5 Car"/>
    <w:basedOn w:val="Fuentedeprrafopredeter"/>
    <w:link w:val="Ttulo5"/>
    <w:uiPriority w:val="2"/>
    <w:rsid w:val="00AF455D"/>
    <w:rPr>
      <w:rFonts w:ascii="Times New Roman" w:eastAsiaTheme="majorEastAsia" w:hAnsi="Times New Roman" w:cstheme="majorBidi"/>
      <w:b/>
      <w:iCs/>
      <w:sz w:val="24"/>
      <w:szCs w:val="24"/>
      <w:lang w:val="en-US"/>
    </w:rPr>
  </w:style>
  <w:style w:type="numbering" w:customStyle="1" w:styleId="Headings">
    <w:name w:val="Headings"/>
    <w:uiPriority w:val="99"/>
    <w:rsid w:val="00AF455D"/>
    <w:pPr>
      <w:numPr>
        <w:numId w:val="2"/>
      </w:numPr>
    </w:pPr>
  </w:style>
  <w:style w:type="character" w:customStyle="1" w:styleId="hwtze">
    <w:name w:val="hwtze"/>
    <w:basedOn w:val="Fuentedeprrafopredeter"/>
    <w:rsid w:val="00AF455D"/>
  </w:style>
  <w:style w:type="character" w:customStyle="1" w:styleId="rynqvb">
    <w:name w:val="rynqvb"/>
    <w:basedOn w:val="Fuentedeprrafopredeter"/>
    <w:rsid w:val="00AF455D"/>
  </w:style>
  <w:style w:type="paragraph" w:styleId="Prrafodelista">
    <w:name w:val="List Paragraph"/>
    <w:basedOn w:val="Normal"/>
    <w:uiPriority w:val="34"/>
    <w:qFormat/>
    <w:rsid w:val="00AF455D"/>
    <w:pPr>
      <w:ind w:left="720"/>
      <w:contextualSpacing/>
    </w:pPr>
  </w:style>
  <w:style w:type="character" w:styleId="Hipervnculo">
    <w:name w:val="Hyperlink"/>
    <w:basedOn w:val="Fuentedeprrafopredeter"/>
    <w:uiPriority w:val="99"/>
    <w:semiHidden/>
    <w:unhideWhenUsed/>
    <w:rsid w:val="00005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4703">
      <w:bodyDiv w:val="1"/>
      <w:marLeft w:val="0"/>
      <w:marRight w:val="0"/>
      <w:marTop w:val="0"/>
      <w:marBottom w:val="0"/>
      <w:divBdr>
        <w:top w:val="none" w:sz="0" w:space="0" w:color="auto"/>
        <w:left w:val="none" w:sz="0" w:space="0" w:color="auto"/>
        <w:bottom w:val="none" w:sz="0" w:space="0" w:color="auto"/>
        <w:right w:val="none" w:sz="0" w:space="0" w:color="auto"/>
      </w:divBdr>
    </w:div>
    <w:div w:id="413474271">
      <w:bodyDiv w:val="1"/>
      <w:marLeft w:val="0"/>
      <w:marRight w:val="0"/>
      <w:marTop w:val="0"/>
      <w:marBottom w:val="0"/>
      <w:divBdr>
        <w:top w:val="none" w:sz="0" w:space="0" w:color="auto"/>
        <w:left w:val="none" w:sz="0" w:space="0" w:color="auto"/>
        <w:bottom w:val="none" w:sz="0" w:space="0" w:color="auto"/>
        <w:right w:val="none" w:sz="0" w:space="0" w:color="auto"/>
      </w:divBdr>
    </w:div>
    <w:div w:id="651326811">
      <w:bodyDiv w:val="1"/>
      <w:marLeft w:val="0"/>
      <w:marRight w:val="0"/>
      <w:marTop w:val="0"/>
      <w:marBottom w:val="0"/>
      <w:divBdr>
        <w:top w:val="none" w:sz="0" w:space="0" w:color="auto"/>
        <w:left w:val="none" w:sz="0" w:space="0" w:color="auto"/>
        <w:bottom w:val="none" w:sz="0" w:space="0" w:color="auto"/>
        <w:right w:val="none" w:sz="0" w:space="0" w:color="auto"/>
      </w:divBdr>
    </w:div>
    <w:div w:id="780539124">
      <w:bodyDiv w:val="1"/>
      <w:marLeft w:val="0"/>
      <w:marRight w:val="0"/>
      <w:marTop w:val="0"/>
      <w:marBottom w:val="0"/>
      <w:divBdr>
        <w:top w:val="none" w:sz="0" w:space="0" w:color="auto"/>
        <w:left w:val="none" w:sz="0" w:space="0" w:color="auto"/>
        <w:bottom w:val="none" w:sz="0" w:space="0" w:color="auto"/>
        <w:right w:val="none" w:sz="0" w:space="0" w:color="auto"/>
      </w:divBdr>
    </w:div>
    <w:div w:id="1805466461">
      <w:bodyDiv w:val="1"/>
      <w:marLeft w:val="0"/>
      <w:marRight w:val="0"/>
      <w:marTop w:val="0"/>
      <w:marBottom w:val="0"/>
      <w:divBdr>
        <w:top w:val="none" w:sz="0" w:space="0" w:color="auto"/>
        <w:left w:val="none" w:sz="0" w:space="0" w:color="auto"/>
        <w:bottom w:val="none" w:sz="0" w:space="0" w:color="auto"/>
        <w:right w:val="none" w:sz="0" w:space="0" w:color="auto"/>
      </w:divBdr>
    </w:div>
    <w:div w:id="1898740670">
      <w:bodyDiv w:val="1"/>
      <w:marLeft w:val="0"/>
      <w:marRight w:val="0"/>
      <w:marTop w:val="0"/>
      <w:marBottom w:val="0"/>
      <w:divBdr>
        <w:top w:val="none" w:sz="0" w:space="0" w:color="auto"/>
        <w:left w:val="none" w:sz="0" w:space="0" w:color="auto"/>
        <w:bottom w:val="none" w:sz="0" w:space="0" w:color="auto"/>
        <w:right w:val="none" w:sz="0" w:space="0" w:color="auto"/>
      </w:divBdr>
    </w:div>
    <w:div w:id="20185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FA1B-1FFA-418D-B4F5-5DF3F61E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16141</Words>
  <Characters>88777</Characters>
  <Application>Microsoft Office Word</Application>
  <DocSecurity>0</DocSecurity>
  <Lines>739</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dc:creator>
  <cp:keywords/>
  <dc:description/>
  <cp:lastModifiedBy>SBG25A Darwin</cp:lastModifiedBy>
  <cp:revision>2</cp:revision>
  <dcterms:created xsi:type="dcterms:W3CDTF">2023-02-28T14:16:00Z</dcterms:created>
  <dcterms:modified xsi:type="dcterms:W3CDTF">2023-02-28T14:16:00Z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http://csl.mendeley.com/styles/616514211/apa</vt:lpwstr>
  </property>
  <property fmtid="{D5CDD505-2E9C-101B-9397-08002B2CF9AE}" pid="5" name="Mendeley Recent Style Name 1_1">
    <vt:lpwstr>American Psychological Association 7th edition - Darwin Carranza Saavedra</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http://csl.mendeley.com/styles/616514211/Heliyon-2</vt:lpwstr>
  </property>
  <property fmtid="{D5CDD505-2E9C-101B-9397-08002B2CF9AE}" pid="13" name="Mendeley Recent Style Name 5_1">
    <vt:lpwstr>Elsevier (numeric, with titles) - Darwin Carranza Saavedra</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http://www.zotero.org/styles/metabolic-engineering</vt:lpwstr>
  </property>
  <property fmtid="{D5CDD505-2E9C-101B-9397-08002B2CF9AE}" pid="17" name="Mendeley Recent Style Name 7_1">
    <vt:lpwstr>Metabolic Engineering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b9087f36-7803-3cef-9bdd-605588083755</vt:lpwstr>
  </property>
  <property fmtid="{D5CDD505-2E9C-101B-9397-08002B2CF9AE}" pid="24" name="Mendeley Citation Style_1">
    <vt:lpwstr>http://www.zotero.org/styles/metabolic-engineering</vt:lpwstr>
  </property>
</Properties>
</file>