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A923E2">
      <w:pPr>
        <w:pStyle w:val="SupplementaryMaterial"/>
        <w:rPr>
          <w:b w:val="0"/>
        </w:rPr>
      </w:pPr>
      <w:r w:rsidRPr="001549D3">
        <w:t>Supplementary Material</w:t>
      </w:r>
    </w:p>
    <w:p w14:paraId="64016FAB" w14:textId="767F3A64" w:rsidR="007C2D35" w:rsidRPr="008A720E" w:rsidRDefault="008A720E" w:rsidP="004C1FC4">
      <w:pPr>
        <w:pStyle w:val="AuthorList"/>
        <w:jc w:val="center"/>
        <w:rPr>
          <w:sz w:val="32"/>
          <w:szCs w:val="32"/>
        </w:rPr>
      </w:pPr>
      <w:r w:rsidRPr="004C1FC4">
        <w:rPr>
          <w:sz w:val="32"/>
          <w:szCs w:val="32"/>
          <w:lang w:val="en-GB"/>
        </w:rPr>
        <w:t xml:space="preserve">Uncovering the link between the </w:t>
      </w:r>
      <w:proofErr w:type="spellStart"/>
      <w:r w:rsidRPr="004C1FC4">
        <w:rPr>
          <w:sz w:val="32"/>
          <w:szCs w:val="32"/>
          <w:lang w:val="en-GB"/>
        </w:rPr>
        <w:t>SpnIII</w:t>
      </w:r>
      <w:proofErr w:type="spellEnd"/>
      <w:r w:rsidRPr="004C1FC4">
        <w:rPr>
          <w:sz w:val="32"/>
          <w:szCs w:val="32"/>
          <w:lang w:val="en-GB"/>
        </w:rPr>
        <w:t xml:space="preserve"> restriction modification system and</w:t>
      </w:r>
      <w:r w:rsidRPr="008A720E" w:rsidDel="008A720E">
        <w:rPr>
          <w:sz w:val="32"/>
          <w:szCs w:val="32"/>
        </w:rPr>
        <w:t xml:space="preserve"> </w:t>
      </w:r>
      <w:proofErr w:type="spellStart"/>
      <w:r w:rsidR="007C2D35" w:rsidRPr="008A720E">
        <w:rPr>
          <w:sz w:val="32"/>
          <w:szCs w:val="32"/>
        </w:rPr>
        <w:t>LuxS</w:t>
      </w:r>
      <w:proofErr w:type="spellEnd"/>
      <w:r w:rsidR="007C2D35" w:rsidRPr="008A720E">
        <w:rPr>
          <w:sz w:val="32"/>
          <w:szCs w:val="32"/>
        </w:rPr>
        <w:t xml:space="preserve"> in </w:t>
      </w:r>
      <w:r w:rsidR="007C2D35" w:rsidRPr="008A720E">
        <w:rPr>
          <w:i/>
          <w:iCs/>
          <w:sz w:val="32"/>
          <w:szCs w:val="32"/>
        </w:rPr>
        <w:t>Streptococcus pneumoniae</w:t>
      </w:r>
      <w:r w:rsidR="007C2D35" w:rsidRPr="008A720E">
        <w:rPr>
          <w:sz w:val="32"/>
          <w:szCs w:val="32"/>
        </w:rPr>
        <w:t xml:space="preserve"> meningitis isolates.</w:t>
      </w:r>
    </w:p>
    <w:p w14:paraId="562C4458" w14:textId="77777777" w:rsidR="00E07F46" w:rsidRPr="00A923E2" w:rsidRDefault="00E07F46" w:rsidP="004C1FC4">
      <w:pPr>
        <w:pStyle w:val="AuthorList"/>
        <w:jc w:val="both"/>
      </w:pPr>
      <w:r w:rsidRPr="00A923E2">
        <w:t>Hannah N Agnew</w:t>
      </w:r>
      <w:r w:rsidRPr="00A923E2">
        <w:rPr>
          <w:vertAlign w:val="superscript"/>
        </w:rPr>
        <w:t>1</w:t>
      </w:r>
      <w:r w:rsidRPr="00A923E2">
        <w:t>, John M Atack</w:t>
      </w:r>
      <w:r w:rsidRPr="00A923E2">
        <w:rPr>
          <w:vertAlign w:val="superscript"/>
        </w:rPr>
        <w:t>2 3</w:t>
      </w:r>
      <w:r w:rsidRPr="00A923E2">
        <w:t>, Ann RD Fernando</w:t>
      </w:r>
      <w:r w:rsidRPr="00A923E2">
        <w:rPr>
          <w:vertAlign w:val="superscript"/>
        </w:rPr>
        <w:t>1</w:t>
      </w:r>
      <w:r w:rsidRPr="00A923E2">
        <w:t>, Sophie N Waters</w:t>
      </w:r>
      <w:r w:rsidRPr="00A923E2">
        <w:rPr>
          <w:vertAlign w:val="superscript"/>
        </w:rPr>
        <w:t>1</w:t>
      </w:r>
      <w:r w:rsidRPr="00A923E2">
        <w:t>, Mark van der Linden</w:t>
      </w:r>
      <w:r w:rsidRPr="00A923E2">
        <w:rPr>
          <w:vertAlign w:val="superscript"/>
        </w:rPr>
        <w:t>3</w:t>
      </w:r>
      <w:r w:rsidRPr="00A923E2">
        <w:t>, Erin Smith</w:t>
      </w:r>
      <w:r w:rsidRPr="00A923E2">
        <w:rPr>
          <w:vertAlign w:val="superscript"/>
        </w:rPr>
        <w:t>5</w:t>
      </w:r>
      <w:r w:rsidRPr="00A923E2">
        <w:t>, Andrew D. Abell</w:t>
      </w:r>
      <w:r w:rsidRPr="00A923E2">
        <w:rPr>
          <w:vertAlign w:val="superscript"/>
        </w:rPr>
        <w:t>5</w:t>
      </w:r>
      <w:r w:rsidRPr="00A923E2">
        <w:t>, Erin B Brazel</w:t>
      </w:r>
      <w:r w:rsidRPr="00A923E2">
        <w:rPr>
          <w:vertAlign w:val="superscript"/>
        </w:rPr>
        <w:t>1</w:t>
      </w:r>
      <w:r w:rsidRPr="00A923E2">
        <w:t>, James C Paton</w:t>
      </w:r>
      <w:r w:rsidRPr="00A923E2">
        <w:rPr>
          <w:vertAlign w:val="superscript"/>
        </w:rPr>
        <w:t>1*</w:t>
      </w:r>
      <w:r w:rsidRPr="00A923E2">
        <w:t>, Claudia Trappetti</w:t>
      </w:r>
      <w:r w:rsidRPr="00A923E2">
        <w:rPr>
          <w:vertAlign w:val="superscript"/>
        </w:rPr>
        <w:t>1*</w:t>
      </w:r>
    </w:p>
    <w:p w14:paraId="542BE5B0" w14:textId="738ADE0F" w:rsidR="00E07F46" w:rsidRPr="00A923E2" w:rsidRDefault="00E07F46" w:rsidP="004C1FC4">
      <w:pPr>
        <w:spacing w:before="240" w:after="0"/>
        <w:jc w:val="both"/>
        <w:rPr>
          <w:rFonts w:cs="Times New Roman"/>
          <w:b/>
          <w:szCs w:val="24"/>
        </w:rPr>
      </w:pPr>
      <w:r w:rsidRPr="00A923E2">
        <w:rPr>
          <w:rFonts w:cs="Times New Roman"/>
          <w:b/>
          <w:szCs w:val="24"/>
        </w:rPr>
        <w:t xml:space="preserve">* Correspondence: </w:t>
      </w:r>
      <w:r w:rsidRPr="00A923E2">
        <w:rPr>
          <w:rFonts w:cs="Times New Roman"/>
          <w:szCs w:val="24"/>
        </w:rPr>
        <w:t>claudia.trappetti@adelaide.edu.au</w:t>
      </w:r>
      <w:r w:rsidRPr="00A923E2">
        <w:rPr>
          <w:rStyle w:val="Hyperlink"/>
          <w:rFonts w:cs="Times New Roman"/>
          <w:color w:val="auto"/>
          <w:szCs w:val="24"/>
          <w:u w:val="none"/>
        </w:rPr>
        <w:t xml:space="preserve">, </w:t>
      </w:r>
      <w:r w:rsidRPr="00A923E2">
        <w:rPr>
          <w:rFonts w:cs="Times New Roman"/>
          <w:szCs w:val="24"/>
        </w:rPr>
        <w:t>james.paton@adelaide.edu.au</w:t>
      </w:r>
    </w:p>
    <w:p w14:paraId="29026311" w14:textId="77777777" w:rsidR="00EA3D3C" w:rsidRPr="00A923E2" w:rsidRDefault="00654E8F" w:rsidP="004C1FC4">
      <w:pPr>
        <w:pStyle w:val="Heading1"/>
        <w:jc w:val="both"/>
      </w:pPr>
      <w:r w:rsidRPr="00A923E2">
        <w:t>Supplementary Data</w:t>
      </w:r>
    </w:p>
    <w:p w14:paraId="4F412ECC" w14:textId="0BC0495F" w:rsidR="00E07F46" w:rsidRPr="00A923E2" w:rsidRDefault="00E07F46" w:rsidP="00A923E2">
      <w:pPr>
        <w:jc w:val="both"/>
        <w:rPr>
          <w:rFonts w:cs="Times New Roman"/>
          <w:b/>
          <w:bCs/>
        </w:rPr>
      </w:pPr>
      <w:r w:rsidRPr="00A923E2">
        <w:rPr>
          <w:rFonts w:cs="Times New Roman"/>
          <w:b/>
          <w:bCs/>
        </w:rPr>
        <w:t>Synthesis of AI-2 (DPD)</w:t>
      </w:r>
    </w:p>
    <w:p w14:paraId="19F106AD" w14:textId="4A028378" w:rsidR="00E07F46" w:rsidRPr="00A923E2" w:rsidRDefault="00E07F46" w:rsidP="00A923E2">
      <w:pPr>
        <w:jc w:val="both"/>
        <w:rPr>
          <w:rFonts w:cs="Times New Roman"/>
        </w:rPr>
      </w:pPr>
      <w:r w:rsidRPr="00A923E2">
        <w:rPr>
          <w:rFonts w:cs="Times New Roman"/>
        </w:rPr>
        <w:t xml:space="preserve">Starting materials were obtained from commercial sources and used without further purification unless otherwise stated. Thin layer chromatography (TLC) was performed on Merck </w:t>
      </w:r>
      <w:proofErr w:type="spellStart"/>
      <w:r w:rsidRPr="00A923E2">
        <w:rPr>
          <w:rFonts w:cs="Times New Roman"/>
        </w:rPr>
        <w:t>aluminium</w:t>
      </w:r>
      <w:proofErr w:type="spellEnd"/>
      <w:r w:rsidRPr="00A923E2">
        <w:rPr>
          <w:rFonts w:cs="Times New Roman"/>
        </w:rPr>
        <w:t xml:space="preserve"> sheets with silica gel 60 F</w:t>
      </w:r>
      <w:r w:rsidRPr="00A923E2">
        <w:rPr>
          <w:rFonts w:cs="Times New Roman"/>
          <w:vertAlign w:val="subscript"/>
        </w:rPr>
        <w:t>254</w:t>
      </w:r>
      <w:r w:rsidRPr="00A923E2">
        <w:rPr>
          <w:rFonts w:cs="Times New Roman"/>
        </w:rPr>
        <w:t xml:space="preserve"> silica plates. The compounds were </w:t>
      </w:r>
      <w:proofErr w:type="spellStart"/>
      <w:r w:rsidRPr="00A923E2">
        <w:rPr>
          <w:rFonts w:cs="Times New Roman"/>
        </w:rPr>
        <w:t>visualised</w:t>
      </w:r>
      <w:proofErr w:type="spellEnd"/>
      <w:r w:rsidRPr="00A923E2">
        <w:rPr>
          <w:rFonts w:cs="Times New Roman"/>
        </w:rPr>
        <w:t xml:space="preserve"> with an Oliphant (6W 254 nm tube) UV lamp, vanillin stain and/or potassium permanganate stain. Flash chromatography was carried out using Merck </w:t>
      </w:r>
      <w:proofErr w:type="spellStart"/>
      <w:r w:rsidRPr="00A923E2">
        <w:rPr>
          <w:rFonts w:cs="Times New Roman"/>
        </w:rPr>
        <w:t>Kiselgel</w:t>
      </w:r>
      <w:proofErr w:type="spellEnd"/>
      <w:r w:rsidRPr="00A923E2">
        <w:rPr>
          <w:rFonts w:cs="Times New Roman"/>
        </w:rPr>
        <w:t xml:space="preserve"> 60 (230-400 mesh). All yields are reported as isolated yields as judged to homogenous by TLC and NMR spectroscopy. NMR spectra were recorded using either an Agilent DD2 console 500 MHz or a Varian Inova 600 MHz spectrometer. NMR spectra were reference to their respective solvents: chloroform-</w:t>
      </w:r>
      <w:r w:rsidRPr="00A923E2">
        <w:rPr>
          <w:rFonts w:cs="Times New Roman"/>
          <w:i/>
          <w:iCs/>
        </w:rPr>
        <w:t>d</w:t>
      </w:r>
      <w:r w:rsidRPr="00A923E2">
        <w:rPr>
          <w:rFonts w:cs="Times New Roman"/>
        </w:rPr>
        <w:t xml:space="preserve"> (CDCl</w:t>
      </w:r>
      <w:r w:rsidRPr="00A923E2">
        <w:rPr>
          <w:rFonts w:cs="Times New Roman"/>
          <w:vertAlign w:val="subscript"/>
        </w:rPr>
        <w:t>3</w:t>
      </w:r>
      <w:r w:rsidRPr="00A923E2">
        <w:rPr>
          <w:rFonts w:cs="Times New Roman"/>
        </w:rPr>
        <w:t xml:space="preserve">, </w:t>
      </w:r>
      <w:r w:rsidRPr="00A923E2">
        <w:rPr>
          <w:rFonts w:cs="Times New Roman"/>
          <w:vertAlign w:val="superscript"/>
        </w:rPr>
        <w:t>1</w:t>
      </w:r>
      <w:r w:rsidRPr="00A923E2">
        <w:rPr>
          <w:rFonts w:cs="Times New Roman"/>
        </w:rPr>
        <w:t xml:space="preserve">H δ 7.26 ppm, </w:t>
      </w:r>
      <w:r w:rsidRPr="00A923E2">
        <w:rPr>
          <w:rFonts w:cs="Times New Roman"/>
          <w:vertAlign w:val="superscript"/>
        </w:rPr>
        <w:t>13</w:t>
      </w:r>
      <w:r w:rsidRPr="00A923E2">
        <w:rPr>
          <w:rFonts w:cs="Times New Roman"/>
        </w:rPr>
        <w:t>C δ 49.3 ppm); water-</w:t>
      </w:r>
      <w:r w:rsidRPr="00A923E2">
        <w:rPr>
          <w:rFonts w:cs="Times New Roman"/>
          <w:i/>
          <w:iCs/>
        </w:rPr>
        <w:t>d</w:t>
      </w:r>
      <w:r w:rsidRPr="00A923E2">
        <w:rPr>
          <w:rFonts w:cs="Times New Roman"/>
          <w:vertAlign w:val="subscript"/>
        </w:rPr>
        <w:t>2</w:t>
      </w:r>
      <w:r w:rsidRPr="00A923E2">
        <w:rPr>
          <w:rFonts w:cs="Times New Roman"/>
        </w:rPr>
        <w:t xml:space="preserve"> (D</w:t>
      </w:r>
      <w:r w:rsidRPr="00A923E2">
        <w:rPr>
          <w:rFonts w:cs="Times New Roman"/>
          <w:vertAlign w:val="subscript"/>
        </w:rPr>
        <w:t>2</w:t>
      </w:r>
      <w:r w:rsidRPr="00A923E2">
        <w:rPr>
          <w:rFonts w:cs="Times New Roman"/>
        </w:rPr>
        <w:t xml:space="preserve">O, </w:t>
      </w:r>
      <w:r w:rsidRPr="00A923E2">
        <w:rPr>
          <w:rFonts w:cs="Times New Roman"/>
          <w:vertAlign w:val="superscript"/>
        </w:rPr>
        <w:t>1</w:t>
      </w:r>
      <w:r w:rsidRPr="00A923E2">
        <w:rPr>
          <w:rFonts w:cs="Times New Roman"/>
        </w:rPr>
        <w:t>H 4.65 ppm)</w:t>
      </w:r>
    </w:p>
    <w:p w14:paraId="4E99E447" w14:textId="77777777" w:rsidR="00E07F46" w:rsidRPr="00A923E2" w:rsidRDefault="00E07F46" w:rsidP="00A923E2">
      <w:pPr>
        <w:jc w:val="both"/>
        <w:rPr>
          <w:rFonts w:cs="Times New Roman"/>
        </w:rPr>
      </w:pPr>
      <w:r w:rsidRPr="00A923E2">
        <w:rPr>
          <w:rFonts w:cs="Times New Roman"/>
        </w:rPr>
        <w:t xml:space="preserve">Dimethyl amine (10 mL, 33vol% in ethanol) was added to (-)-methyl (S)-2,2-dimethyl-1,3-dioxalane-4-carboxylate (0.49 mL, 3.38 mmol) at 0°C and stirred for 3 hours before being placed in the fridge (5 </w:t>
      </w:r>
      <m:oMath>
        <m:r>
          <w:rPr>
            <w:rFonts w:ascii="Cambria Math" w:hAnsi="Cambria Math" w:cs="Times New Roman"/>
          </w:rPr>
          <m:t>°</m:t>
        </m:r>
      </m:oMath>
      <w:r w:rsidRPr="00A923E2">
        <w:rPr>
          <w:rFonts w:cs="Times New Roman"/>
        </w:rPr>
        <w:t xml:space="preserve">C) for 3 days. The volatile compounds were evaporated, and the residue was subjected to flash chromatography. Elution with 1:1 </w:t>
      </w:r>
      <w:proofErr w:type="spellStart"/>
      <w:r w:rsidRPr="00A923E2">
        <w:rPr>
          <w:rFonts w:cs="Times New Roman"/>
        </w:rPr>
        <w:t>EtOAC</w:t>
      </w:r>
      <w:proofErr w:type="spellEnd"/>
      <w:r w:rsidRPr="00A923E2">
        <w:rPr>
          <w:rFonts w:cs="Times New Roman"/>
        </w:rPr>
        <w:t xml:space="preserve"> in hexanes produced </w:t>
      </w:r>
      <w:proofErr w:type="gramStart"/>
      <w:r w:rsidRPr="00A923E2">
        <w:rPr>
          <w:rFonts w:cs="Times New Roman"/>
          <w:i/>
          <w:iCs/>
        </w:rPr>
        <w:t>N</w:t>
      </w:r>
      <w:r w:rsidRPr="00A923E2">
        <w:rPr>
          <w:rFonts w:cs="Times New Roman"/>
        </w:rPr>
        <w:t>,</w:t>
      </w:r>
      <w:r w:rsidRPr="00A923E2">
        <w:rPr>
          <w:rFonts w:cs="Times New Roman"/>
          <w:i/>
          <w:iCs/>
        </w:rPr>
        <w:t>N</w:t>
      </w:r>
      <w:proofErr w:type="gramEnd"/>
      <w:r w:rsidRPr="00A923E2">
        <w:rPr>
          <w:rFonts w:cs="Times New Roman"/>
        </w:rPr>
        <w:t>-dimethyl (S)-α,β-</w:t>
      </w:r>
      <w:proofErr w:type="spellStart"/>
      <w:r w:rsidRPr="00A923E2">
        <w:rPr>
          <w:rFonts w:cs="Times New Roman"/>
        </w:rPr>
        <w:t>isopropylideneglyceramide</w:t>
      </w:r>
      <w:proofErr w:type="spellEnd"/>
      <w:r w:rsidRPr="00A923E2">
        <w:rPr>
          <w:rFonts w:cs="Times New Roman"/>
        </w:rPr>
        <w:t xml:space="preserve"> as an oil (0.449 g, 77%).</w:t>
      </w:r>
    </w:p>
    <w:p w14:paraId="5F6F0501" w14:textId="5D7A7233" w:rsidR="00E07F46" w:rsidRPr="00A923E2" w:rsidRDefault="00E07F46" w:rsidP="00A923E2">
      <w:pPr>
        <w:jc w:val="both"/>
        <w:rPr>
          <w:rFonts w:cs="Times New Roman"/>
        </w:rPr>
      </w:pPr>
      <w:r w:rsidRPr="00A923E2">
        <w:rPr>
          <w:rFonts w:cs="Times New Roman"/>
          <w:vertAlign w:val="superscript"/>
        </w:rPr>
        <w:t>1</w:t>
      </w:r>
      <w:r w:rsidRPr="00A923E2">
        <w:rPr>
          <w:rFonts w:cs="Times New Roman"/>
        </w:rPr>
        <w:t>H NMR (500 MHz, CDCl</w:t>
      </w:r>
      <w:r w:rsidRPr="00A923E2">
        <w:rPr>
          <w:rFonts w:cs="Times New Roman"/>
          <w:vertAlign w:val="subscript"/>
        </w:rPr>
        <w:t>3</w:t>
      </w:r>
      <w:r w:rsidRPr="00A923E2">
        <w:rPr>
          <w:rFonts w:cs="Times New Roman"/>
        </w:rPr>
        <w:t xml:space="preserve">) δ 4.69 (t, </w:t>
      </w:r>
      <w:r w:rsidRPr="00A923E2">
        <w:rPr>
          <w:rFonts w:cs="Times New Roman"/>
          <w:i/>
          <w:iCs/>
        </w:rPr>
        <w:t>J</w:t>
      </w:r>
      <w:r w:rsidRPr="00A923E2">
        <w:rPr>
          <w:rFonts w:cs="Times New Roman"/>
        </w:rPr>
        <w:t xml:space="preserve"> = 6.6 Hz, 1H), 4.38 (dd, </w:t>
      </w:r>
      <w:r w:rsidRPr="00A923E2">
        <w:rPr>
          <w:rFonts w:cs="Times New Roman"/>
          <w:i/>
          <w:iCs/>
        </w:rPr>
        <w:t>J</w:t>
      </w:r>
      <w:r w:rsidRPr="00A923E2">
        <w:rPr>
          <w:rFonts w:cs="Times New Roman"/>
        </w:rPr>
        <w:t xml:space="preserve"> = 8.4, 6.5 Hz, 1H), 4.14 (dd, </w:t>
      </w:r>
      <w:r w:rsidRPr="00A923E2">
        <w:rPr>
          <w:rFonts w:cs="Times New Roman"/>
          <w:i/>
          <w:iCs/>
        </w:rPr>
        <w:t>J</w:t>
      </w:r>
      <w:r w:rsidRPr="00A923E2">
        <w:rPr>
          <w:rFonts w:cs="Times New Roman"/>
        </w:rPr>
        <w:t xml:space="preserve"> = 8.5, 6.8 Hz, 1H), 3.12 (s, 3H), 2.97 (s, 3H), 1.42 (d, </w:t>
      </w:r>
      <w:r w:rsidRPr="00A923E2">
        <w:rPr>
          <w:rFonts w:cs="Times New Roman"/>
          <w:i/>
          <w:iCs/>
        </w:rPr>
        <w:t>J</w:t>
      </w:r>
      <w:r w:rsidRPr="00A923E2">
        <w:rPr>
          <w:rFonts w:cs="Times New Roman"/>
        </w:rPr>
        <w:t xml:space="preserve"> = 1.4 Hz, 6H) ppm.</w:t>
      </w:r>
    </w:p>
    <w:p w14:paraId="411FE6A2" w14:textId="77777777" w:rsidR="00E07F46" w:rsidRPr="00A923E2" w:rsidRDefault="00E07F46" w:rsidP="00A923E2">
      <w:pPr>
        <w:jc w:val="both"/>
        <w:rPr>
          <w:rFonts w:cs="Times New Roman"/>
        </w:rPr>
      </w:pPr>
      <w:proofErr w:type="gramStart"/>
      <w:r w:rsidRPr="00A923E2">
        <w:rPr>
          <w:rFonts w:cs="Times New Roman"/>
          <w:i/>
          <w:iCs/>
        </w:rPr>
        <w:t>N</w:t>
      </w:r>
      <w:r w:rsidRPr="00A923E2">
        <w:rPr>
          <w:rFonts w:cs="Times New Roman"/>
        </w:rPr>
        <w:t>,</w:t>
      </w:r>
      <w:r w:rsidRPr="00A923E2">
        <w:rPr>
          <w:rFonts w:cs="Times New Roman"/>
          <w:i/>
          <w:iCs/>
        </w:rPr>
        <w:t>N</w:t>
      </w:r>
      <w:proofErr w:type="gramEnd"/>
      <w:r w:rsidRPr="00A923E2">
        <w:rPr>
          <w:rFonts w:cs="Times New Roman"/>
        </w:rPr>
        <w:t>-dimethyl (S)-α,β-</w:t>
      </w:r>
      <w:proofErr w:type="spellStart"/>
      <w:r w:rsidRPr="00A923E2">
        <w:rPr>
          <w:rFonts w:cs="Times New Roman"/>
        </w:rPr>
        <w:t>isopropylideneglyceramide</w:t>
      </w:r>
      <w:proofErr w:type="spellEnd"/>
      <w:r w:rsidRPr="00A923E2">
        <w:rPr>
          <w:rFonts w:cs="Times New Roman"/>
        </w:rPr>
        <w:t xml:space="preserve"> (0.440 g, 2.54 mmol) was dissolved in anhydrous ether (10 mL) under nitrogen and cooled to 0</w:t>
      </w:r>
      <m:oMath>
        <m:r>
          <w:rPr>
            <w:rFonts w:ascii="Cambria Math" w:hAnsi="Cambria Math" w:cs="Times New Roman"/>
          </w:rPr>
          <m:t>°</m:t>
        </m:r>
      </m:oMath>
      <w:r w:rsidRPr="00A923E2">
        <w:rPr>
          <w:rFonts w:cs="Times New Roman"/>
        </w:rPr>
        <w:t xml:space="preserve">C. </w:t>
      </w:r>
      <w:proofErr w:type="spellStart"/>
      <w:r w:rsidRPr="00A923E2">
        <w:rPr>
          <w:rFonts w:cs="Times New Roman"/>
        </w:rPr>
        <w:t>Isopropenylmagnesium</w:t>
      </w:r>
      <w:proofErr w:type="spellEnd"/>
      <w:r w:rsidRPr="00A923E2">
        <w:rPr>
          <w:rFonts w:cs="Times New Roman"/>
        </w:rPr>
        <w:t xml:space="preserve"> bromide (5.33 mL, 2.67 mmol, 0.5M in THF) was added slowly. The resulting mixture was stirred for 10 min before sulfuric acid solution (1M) was added dropwise until the precipitate redissolved. The aqueous layer was extracted with ether (x3) and the combined organic extracts were </w:t>
      </w:r>
      <w:proofErr w:type="spellStart"/>
      <w:r w:rsidRPr="00A923E2">
        <w:rPr>
          <w:rFonts w:cs="Times New Roman"/>
        </w:rPr>
        <w:t>neutralised</w:t>
      </w:r>
      <w:proofErr w:type="spellEnd"/>
      <w:r w:rsidRPr="00A923E2">
        <w:rPr>
          <w:rFonts w:cs="Times New Roman"/>
        </w:rPr>
        <w:t xml:space="preserve"> over solid sodium carbonate, dried over anhydrous magnesium sulfate, filtered and concentrated under reduced pressure. The residue was subjected to flash chromatography. Elution with 20% </w:t>
      </w:r>
      <w:proofErr w:type="spellStart"/>
      <w:r w:rsidRPr="00A923E2">
        <w:rPr>
          <w:rFonts w:cs="Times New Roman"/>
        </w:rPr>
        <w:t>EtOAC</w:t>
      </w:r>
      <w:proofErr w:type="spellEnd"/>
      <w:r w:rsidRPr="00A923E2">
        <w:rPr>
          <w:rFonts w:cs="Times New Roman"/>
        </w:rPr>
        <w:t xml:space="preserve"> in hexanes afforded (S)-4-methacryloyl-2,2-dimethyl-1,3-dioxolane as an oil (0.166 g, 38%).</w:t>
      </w:r>
    </w:p>
    <w:p w14:paraId="43714BA5" w14:textId="3D7C060A" w:rsidR="00E07F46" w:rsidRPr="00A923E2" w:rsidRDefault="00E07F46" w:rsidP="00A923E2">
      <w:pPr>
        <w:jc w:val="both"/>
        <w:rPr>
          <w:rFonts w:cs="Times New Roman"/>
        </w:rPr>
      </w:pPr>
      <w:r w:rsidRPr="00A923E2">
        <w:rPr>
          <w:rFonts w:cs="Times New Roman"/>
          <w:vertAlign w:val="superscript"/>
        </w:rPr>
        <w:t>1</w:t>
      </w:r>
      <w:r w:rsidRPr="00A923E2">
        <w:rPr>
          <w:rFonts w:cs="Times New Roman"/>
        </w:rPr>
        <w:t>H NMR (500 MHz, CDCl</w:t>
      </w:r>
      <w:r w:rsidRPr="00A923E2">
        <w:rPr>
          <w:rFonts w:cs="Times New Roman"/>
          <w:vertAlign w:val="subscript"/>
        </w:rPr>
        <w:t>3</w:t>
      </w:r>
      <w:r w:rsidRPr="00A923E2">
        <w:rPr>
          <w:rFonts w:cs="Times New Roman"/>
        </w:rPr>
        <w:t xml:space="preserve">) δ 6.04 (d, </w:t>
      </w:r>
      <w:r w:rsidRPr="00A923E2">
        <w:rPr>
          <w:rFonts w:cs="Times New Roman"/>
          <w:i/>
          <w:iCs/>
        </w:rPr>
        <w:t>J</w:t>
      </w:r>
      <w:r w:rsidRPr="00A923E2">
        <w:rPr>
          <w:rFonts w:cs="Times New Roman"/>
        </w:rPr>
        <w:t xml:space="preserve"> = 1.2 Hz, 1H), 5.92 (d, </w:t>
      </w:r>
      <w:r w:rsidRPr="00A923E2">
        <w:rPr>
          <w:rFonts w:cs="Times New Roman"/>
          <w:i/>
          <w:iCs/>
        </w:rPr>
        <w:t>J</w:t>
      </w:r>
      <w:r w:rsidRPr="00A923E2">
        <w:rPr>
          <w:rFonts w:cs="Times New Roman"/>
        </w:rPr>
        <w:t xml:space="preserve"> = 1.5 Hz, 1H), 5.07 (dd, </w:t>
      </w:r>
      <w:r w:rsidRPr="00A923E2">
        <w:rPr>
          <w:rFonts w:cs="Times New Roman"/>
          <w:i/>
          <w:iCs/>
        </w:rPr>
        <w:t>J</w:t>
      </w:r>
      <w:r w:rsidRPr="00A923E2">
        <w:rPr>
          <w:rFonts w:cs="Times New Roman"/>
        </w:rPr>
        <w:t xml:space="preserve"> = 7.3, 6.1 Hz, 1H), 4.23 (dd, </w:t>
      </w:r>
      <w:r w:rsidRPr="00A923E2">
        <w:rPr>
          <w:rFonts w:cs="Times New Roman"/>
          <w:i/>
          <w:iCs/>
        </w:rPr>
        <w:t>J</w:t>
      </w:r>
      <w:r w:rsidRPr="00A923E2">
        <w:rPr>
          <w:rFonts w:cs="Times New Roman"/>
        </w:rPr>
        <w:t xml:space="preserve"> = 8.5, 7.3 Hz, 1H), 4.10 (dd, </w:t>
      </w:r>
      <w:r w:rsidRPr="00A923E2">
        <w:rPr>
          <w:rFonts w:cs="Times New Roman"/>
          <w:i/>
          <w:iCs/>
        </w:rPr>
        <w:t>J</w:t>
      </w:r>
      <w:r w:rsidRPr="00A923E2">
        <w:rPr>
          <w:rFonts w:cs="Times New Roman"/>
        </w:rPr>
        <w:t xml:space="preserve"> = 6.4, 5.9 Hz, 1H), 1.91 (s, 1H), 1.44 (s, 2H), 1.43 (s, 3H).</w:t>
      </w:r>
    </w:p>
    <w:p w14:paraId="6C6FD4E0" w14:textId="77777777" w:rsidR="00E07F46" w:rsidRPr="00A923E2" w:rsidRDefault="00E07F46" w:rsidP="00A923E2">
      <w:pPr>
        <w:jc w:val="both"/>
        <w:rPr>
          <w:rFonts w:cs="Times New Roman"/>
        </w:rPr>
      </w:pPr>
      <w:r w:rsidRPr="00A923E2">
        <w:rPr>
          <w:rFonts w:cs="Times New Roman"/>
        </w:rPr>
        <w:lastRenderedPageBreak/>
        <w:t xml:space="preserve">(S)-4-methacryloyl-2,2-dimethyl-1,3-dioxolane (0.05 g, 0.24 mmol) was dissolved in THF (1mL) and water (1 mL) and cooled to 0°C. TFA (1 mL) was added </w:t>
      </w:r>
      <w:proofErr w:type="gramStart"/>
      <w:r w:rsidRPr="00A923E2">
        <w:rPr>
          <w:rFonts w:cs="Times New Roman"/>
        </w:rPr>
        <w:t>dropwise</w:t>
      </w:r>
      <w:proofErr w:type="gramEnd"/>
      <w:r w:rsidRPr="00A923E2">
        <w:rPr>
          <w:rFonts w:cs="Times New Roman"/>
        </w:rPr>
        <w:t xml:space="preserve"> and the resulting mixture was stirred for 1.5 hrs. The volatiles were concentrated under reduced pressure. The residue was subjected to flash chromatography. Elution with 5% MeOH in DCM afforded (S)-1,2-dihydroxy-4-methyl-4-penten-3-one as a </w:t>
      </w:r>
      <w:proofErr w:type="spellStart"/>
      <w:r w:rsidRPr="00A923E2">
        <w:rPr>
          <w:rFonts w:cs="Times New Roman"/>
        </w:rPr>
        <w:t>colourless</w:t>
      </w:r>
      <w:proofErr w:type="spellEnd"/>
      <w:r w:rsidRPr="00A923E2">
        <w:rPr>
          <w:rFonts w:cs="Times New Roman"/>
        </w:rPr>
        <w:t xml:space="preserve"> liquid (0.015 g, 41%). </w:t>
      </w:r>
    </w:p>
    <w:p w14:paraId="432A48FE" w14:textId="5A007C9B" w:rsidR="00E07F46" w:rsidRPr="00A923E2" w:rsidRDefault="00E07F46" w:rsidP="00A923E2">
      <w:pPr>
        <w:jc w:val="both"/>
        <w:rPr>
          <w:rFonts w:cs="Times New Roman"/>
        </w:rPr>
      </w:pPr>
      <w:r w:rsidRPr="00A923E2">
        <w:rPr>
          <w:rFonts w:cs="Times New Roman"/>
        </w:rPr>
        <w:t>1H NMR (500 MHz, CDCl</w:t>
      </w:r>
      <w:r w:rsidRPr="00A923E2">
        <w:rPr>
          <w:rFonts w:cs="Times New Roman"/>
          <w:vertAlign w:val="subscript"/>
        </w:rPr>
        <w:t>3</w:t>
      </w:r>
      <w:r w:rsidRPr="00A923E2">
        <w:rPr>
          <w:rFonts w:cs="Times New Roman"/>
        </w:rPr>
        <w:t>) δ 5.96 (d, J = 1.5 Hz, 1H), 5.95 (s, 1H), 4.91 (m, 1H), 3.95 (m, 1H), 3.71 (dd, J = 11.6, 4.8 Hz, 1H), 3.01 (s, 2H), 1.95 (s, 3H).</w:t>
      </w:r>
    </w:p>
    <w:p w14:paraId="483F1EED" w14:textId="77777777" w:rsidR="00E07F46" w:rsidRPr="00A923E2" w:rsidRDefault="00E07F46" w:rsidP="00A923E2">
      <w:pPr>
        <w:jc w:val="both"/>
        <w:rPr>
          <w:rFonts w:cs="Times New Roman"/>
        </w:rPr>
      </w:pPr>
      <w:r w:rsidRPr="00A923E2">
        <w:rPr>
          <w:rFonts w:cs="Times New Roman"/>
        </w:rPr>
        <w:t xml:space="preserve">(S)-1,2-dihydroxy-4-methyl-4-penten-3-one (15 mg, 0.12 mmol) was dissolved in MeOH (10 mL) and cooled in an acetone-dry ice bath (-78 </w:t>
      </w:r>
      <m:oMath>
        <m:r>
          <w:rPr>
            <w:rFonts w:ascii="Cambria Math" w:hAnsi="Cambria Math" w:cs="Times New Roman"/>
          </w:rPr>
          <m:t>°</m:t>
        </m:r>
      </m:oMath>
      <w:r w:rsidRPr="00A923E2">
        <w:rPr>
          <w:rFonts w:cs="Times New Roman"/>
        </w:rPr>
        <w:t xml:space="preserve">C). Ozone was bubbled through the solution until it turned blue (approx. 2 min). Oxygen gas was then bubbled through until the ozone was </w:t>
      </w:r>
      <w:proofErr w:type="gramStart"/>
      <w:r w:rsidRPr="00A923E2">
        <w:rPr>
          <w:rFonts w:cs="Times New Roman"/>
        </w:rPr>
        <w:t>removed</w:t>
      </w:r>
      <w:proofErr w:type="gramEnd"/>
      <w:r w:rsidRPr="00A923E2">
        <w:rPr>
          <w:rFonts w:cs="Times New Roman"/>
        </w:rPr>
        <w:t xml:space="preserve"> and dimethyl sulphide was added. The mixture was allowed to come to room temperature and stirred overnight.</w:t>
      </w:r>
    </w:p>
    <w:p w14:paraId="38923E18" w14:textId="77777777" w:rsidR="00E07F46" w:rsidRPr="00A923E2" w:rsidRDefault="00E07F46" w:rsidP="00A923E2">
      <w:pPr>
        <w:jc w:val="both"/>
        <w:rPr>
          <w:rFonts w:cs="Times New Roman"/>
        </w:rPr>
      </w:pPr>
      <w:r w:rsidRPr="00A923E2">
        <w:rPr>
          <w:rFonts w:cs="Times New Roman"/>
        </w:rPr>
        <w:t>The bulk of the material was added water (3 mL) and concentrated to remove the volatiles. Diluted with 1M potassium phosphate buffer to give pH 7.3 and final concentration 5 mM product in 0.5M potassium phosphate buffer.</w:t>
      </w:r>
    </w:p>
    <w:p w14:paraId="5D64E9F2" w14:textId="4A240663" w:rsidR="00E07F46" w:rsidRDefault="00E07F46" w:rsidP="00A923E2">
      <w:pPr>
        <w:jc w:val="both"/>
      </w:pPr>
    </w:p>
    <w:p w14:paraId="50A98D6E" w14:textId="65838399" w:rsidR="00A923E2" w:rsidRPr="004C681A" w:rsidRDefault="00A923E2" w:rsidP="004C1FC4">
      <w:pPr>
        <w:jc w:val="both"/>
        <w:rPr>
          <w:rFonts w:cs="Times New Roman"/>
          <w:b/>
          <w:bCs/>
        </w:rPr>
      </w:pPr>
      <w:r w:rsidRPr="005A76B7">
        <w:rPr>
          <w:rFonts w:cs="Times New Roman"/>
          <w:b/>
          <w:bCs/>
        </w:rPr>
        <w:t xml:space="preserve">Supplementary Table 1: Phenotype microarray results for 60B, 60CSF, </w:t>
      </w:r>
      <w:r w:rsidRPr="005A76B7">
        <w:rPr>
          <w:rFonts w:cs="Times New Roman"/>
          <w:b/>
          <w:bCs/>
          <w:i/>
          <w:iCs/>
        </w:rPr>
        <w:t>luxS</w:t>
      </w:r>
      <w:r w:rsidRPr="005A76B7">
        <w:rPr>
          <w:rFonts w:cs="Times New Roman"/>
          <w:b/>
          <w:bCs/>
        </w:rPr>
        <w:t xml:space="preserve"> mutants and</w:t>
      </w:r>
      <w:r w:rsidRPr="004C681A">
        <w:rPr>
          <w:rFonts w:cs="Times New Roman"/>
          <w:b/>
          <w:bCs/>
        </w:rPr>
        <w:t xml:space="preserve"> isolates recovered from murine noses 24 h post-infection in </w:t>
      </w:r>
      <w:proofErr w:type="spellStart"/>
      <w:r w:rsidRPr="004C681A">
        <w:rPr>
          <w:rFonts w:cs="Times New Roman"/>
          <w:b/>
          <w:bCs/>
        </w:rPr>
        <w:t>Biolog</w:t>
      </w:r>
      <w:proofErr w:type="spellEnd"/>
      <w:r w:rsidRPr="004C681A">
        <w:rPr>
          <w:rFonts w:cs="Times New Roman"/>
          <w:b/>
          <w:bCs/>
        </w:rPr>
        <w:t xml:space="preserve"> PM1 plate. </w:t>
      </w:r>
      <w:r>
        <w:rPr>
          <w:rFonts w:cs="Times New Roman"/>
          <w:b/>
          <w:bCs/>
        </w:rPr>
        <w:t xml:space="preserve"> </w:t>
      </w:r>
      <w:r w:rsidRPr="004C681A">
        <w:rPr>
          <w:rFonts w:cs="Times New Roman"/>
        </w:rPr>
        <w:t>Catabolism was measured through a colorless tetrazolium dye being reduced by NADH produced during catabolism. +, metabolism occurred; -, no metabolism occurred. Metabolism was determined by calculating the change in OD</w:t>
      </w:r>
      <w:r w:rsidRPr="004C681A">
        <w:rPr>
          <w:rFonts w:cs="Times New Roman"/>
          <w:vertAlign w:val="subscript"/>
        </w:rPr>
        <w:t>590</w:t>
      </w:r>
      <w:r w:rsidRPr="004C681A">
        <w:rPr>
          <w:rFonts w:cs="Times New Roman"/>
        </w:rPr>
        <w:t xml:space="preserve"> from the initial (0 h) to final (24 h) measurements. These values were then compared with the change in the negative value and an arbitrary value based on the change in the negative control was used to determine if catabolism occurred. Carbon sources in which there were no differences in metabolism between the WT, mutant or strains recovered from mice are not shown. </w:t>
      </w:r>
    </w:p>
    <w:tbl>
      <w:tblPr>
        <w:tblStyle w:val="TableGrid"/>
        <w:tblW w:w="5000" w:type="pct"/>
        <w:tblLook w:val="04A0" w:firstRow="1" w:lastRow="0" w:firstColumn="1" w:lastColumn="0" w:noHBand="0" w:noVBand="1"/>
      </w:tblPr>
      <w:tblGrid>
        <w:gridCol w:w="3027"/>
        <w:gridCol w:w="662"/>
        <w:gridCol w:w="970"/>
        <w:gridCol w:w="1315"/>
        <w:gridCol w:w="1626"/>
        <w:gridCol w:w="1030"/>
        <w:gridCol w:w="1137"/>
      </w:tblGrid>
      <w:tr w:rsidR="00A923E2" w:rsidRPr="004C681A" w14:paraId="799B011C" w14:textId="77777777" w:rsidTr="00516F01">
        <w:trPr>
          <w:trHeight w:val="440"/>
        </w:trPr>
        <w:tc>
          <w:tcPr>
            <w:tcW w:w="1563" w:type="pct"/>
            <w:noWrap/>
            <w:hideMark/>
          </w:tcPr>
          <w:p w14:paraId="13A38CDB" w14:textId="77777777" w:rsidR="00A923E2" w:rsidRPr="004C681A" w:rsidRDefault="00A923E2" w:rsidP="00516F01">
            <w:pPr>
              <w:rPr>
                <w:rFonts w:eastAsia="Times New Roman" w:cs="Times New Roman"/>
                <w:b/>
                <w:bCs/>
                <w:color w:val="000000"/>
                <w:lang w:eastAsia="en-GB"/>
              </w:rPr>
            </w:pPr>
            <w:r w:rsidRPr="004C681A">
              <w:rPr>
                <w:rFonts w:eastAsia="Times New Roman" w:cs="Times New Roman"/>
                <w:b/>
                <w:bCs/>
                <w:color w:val="000000"/>
                <w:lang w:eastAsia="en-GB"/>
              </w:rPr>
              <w:t>Carbon source</w:t>
            </w:r>
          </w:p>
        </w:tc>
        <w:tc>
          <w:tcPr>
            <w:tcW w:w="352" w:type="pct"/>
            <w:noWrap/>
            <w:hideMark/>
          </w:tcPr>
          <w:p w14:paraId="045F6383" w14:textId="77777777" w:rsidR="00A923E2" w:rsidRPr="004C681A" w:rsidRDefault="00A923E2" w:rsidP="00516F01">
            <w:pPr>
              <w:jc w:val="center"/>
              <w:rPr>
                <w:rFonts w:eastAsia="Times New Roman" w:cs="Times New Roman"/>
                <w:b/>
                <w:bCs/>
                <w:color w:val="000000"/>
                <w:lang w:eastAsia="en-GB"/>
              </w:rPr>
            </w:pPr>
            <w:r w:rsidRPr="004C681A">
              <w:rPr>
                <w:rFonts w:eastAsia="Times New Roman" w:cs="Times New Roman"/>
                <w:b/>
                <w:bCs/>
                <w:color w:val="000000"/>
                <w:lang w:eastAsia="en-GB"/>
              </w:rPr>
              <w:t>60B</w:t>
            </w:r>
          </w:p>
        </w:tc>
        <w:tc>
          <w:tcPr>
            <w:tcW w:w="510" w:type="pct"/>
            <w:noWrap/>
            <w:hideMark/>
          </w:tcPr>
          <w:p w14:paraId="5A7943AC" w14:textId="77777777" w:rsidR="00A923E2" w:rsidRPr="004C681A" w:rsidRDefault="00A923E2" w:rsidP="00516F01">
            <w:pPr>
              <w:jc w:val="center"/>
              <w:rPr>
                <w:rFonts w:eastAsia="Times New Roman" w:cs="Times New Roman"/>
                <w:b/>
                <w:bCs/>
                <w:color w:val="000000"/>
                <w:lang w:eastAsia="en-GB"/>
              </w:rPr>
            </w:pPr>
            <w:r w:rsidRPr="004C681A">
              <w:rPr>
                <w:rFonts w:eastAsia="Times New Roman" w:cs="Times New Roman"/>
                <w:b/>
                <w:bCs/>
                <w:color w:val="000000"/>
                <w:lang w:eastAsia="en-GB"/>
              </w:rPr>
              <w:t>60CSF</w:t>
            </w:r>
          </w:p>
        </w:tc>
        <w:tc>
          <w:tcPr>
            <w:tcW w:w="686" w:type="pct"/>
            <w:noWrap/>
            <w:hideMark/>
          </w:tcPr>
          <w:p w14:paraId="79260854" w14:textId="77777777" w:rsidR="00A923E2" w:rsidRPr="004C681A" w:rsidRDefault="00A923E2" w:rsidP="00516F01">
            <w:pPr>
              <w:jc w:val="center"/>
              <w:rPr>
                <w:rFonts w:eastAsia="Times New Roman" w:cs="Times New Roman"/>
                <w:b/>
                <w:bCs/>
                <w:color w:val="000000"/>
                <w:lang w:eastAsia="en-GB"/>
              </w:rPr>
            </w:pPr>
            <w:r w:rsidRPr="004C681A">
              <w:rPr>
                <w:rFonts w:eastAsia="Times New Roman" w:cs="Times New Roman"/>
                <w:b/>
                <w:bCs/>
                <w:color w:val="000000"/>
                <w:lang w:eastAsia="en-GB"/>
              </w:rPr>
              <w:t>60B∆luxS</w:t>
            </w:r>
          </w:p>
        </w:tc>
        <w:tc>
          <w:tcPr>
            <w:tcW w:w="845" w:type="pct"/>
            <w:noWrap/>
            <w:hideMark/>
          </w:tcPr>
          <w:p w14:paraId="431A7F78" w14:textId="77777777" w:rsidR="00A923E2" w:rsidRPr="004C681A" w:rsidRDefault="00A923E2" w:rsidP="00516F01">
            <w:pPr>
              <w:jc w:val="center"/>
              <w:rPr>
                <w:rFonts w:eastAsia="Times New Roman" w:cs="Times New Roman"/>
                <w:b/>
                <w:bCs/>
                <w:color w:val="000000"/>
                <w:lang w:eastAsia="en-GB"/>
              </w:rPr>
            </w:pPr>
            <w:r w:rsidRPr="004C681A">
              <w:rPr>
                <w:rFonts w:eastAsia="Times New Roman" w:cs="Times New Roman"/>
                <w:b/>
                <w:bCs/>
                <w:color w:val="000000"/>
                <w:lang w:eastAsia="en-GB"/>
              </w:rPr>
              <w:t>60CSF∆luxS</w:t>
            </w:r>
          </w:p>
        </w:tc>
        <w:tc>
          <w:tcPr>
            <w:tcW w:w="448" w:type="pct"/>
          </w:tcPr>
          <w:p w14:paraId="6A98E94C" w14:textId="77777777" w:rsidR="00A923E2" w:rsidRPr="004C681A" w:rsidRDefault="00A923E2" w:rsidP="00516F01">
            <w:pPr>
              <w:jc w:val="center"/>
              <w:rPr>
                <w:rFonts w:eastAsia="Times New Roman" w:cs="Times New Roman"/>
                <w:b/>
                <w:bCs/>
                <w:color w:val="000000"/>
                <w:lang w:eastAsia="en-GB"/>
              </w:rPr>
            </w:pPr>
            <w:r w:rsidRPr="004C681A">
              <w:rPr>
                <w:rFonts w:eastAsia="Times New Roman" w:cs="Times New Roman"/>
                <w:b/>
                <w:bCs/>
                <w:color w:val="000000"/>
                <w:lang w:eastAsia="en-GB"/>
              </w:rPr>
              <w:t>60B (mouse)</w:t>
            </w:r>
          </w:p>
        </w:tc>
        <w:tc>
          <w:tcPr>
            <w:tcW w:w="595" w:type="pct"/>
          </w:tcPr>
          <w:p w14:paraId="073AE620" w14:textId="77777777" w:rsidR="00A923E2" w:rsidRPr="004C681A" w:rsidRDefault="00A923E2" w:rsidP="00516F01">
            <w:pPr>
              <w:jc w:val="center"/>
              <w:rPr>
                <w:rFonts w:eastAsia="Times New Roman" w:cs="Times New Roman"/>
                <w:b/>
                <w:bCs/>
                <w:color w:val="000000"/>
                <w:lang w:eastAsia="en-GB"/>
              </w:rPr>
            </w:pPr>
            <w:r w:rsidRPr="004C681A">
              <w:rPr>
                <w:rFonts w:eastAsia="Times New Roman" w:cs="Times New Roman"/>
                <w:b/>
                <w:bCs/>
                <w:color w:val="000000"/>
                <w:lang w:eastAsia="en-GB"/>
              </w:rPr>
              <w:t>60CSF (mouse)</w:t>
            </w:r>
          </w:p>
        </w:tc>
      </w:tr>
      <w:tr w:rsidR="00A923E2" w:rsidRPr="004C681A" w14:paraId="2BBFD26F" w14:textId="77777777" w:rsidTr="00516F01">
        <w:trPr>
          <w:trHeight w:val="340"/>
        </w:trPr>
        <w:tc>
          <w:tcPr>
            <w:tcW w:w="1563" w:type="pct"/>
            <w:shd w:val="clear" w:color="auto" w:fill="auto"/>
            <w:noWrap/>
            <w:hideMark/>
          </w:tcPr>
          <w:p w14:paraId="4A8684CF" w14:textId="77777777" w:rsidR="00A923E2" w:rsidRPr="004C681A" w:rsidRDefault="00A923E2" w:rsidP="00516F01">
            <w:pPr>
              <w:rPr>
                <w:rFonts w:eastAsia="Times New Roman" w:cs="Times New Roman"/>
                <w:b/>
                <w:bCs/>
                <w:color w:val="000000" w:themeColor="text1"/>
                <w:lang w:eastAsia="en-GB"/>
              </w:rPr>
            </w:pPr>
            <w:r w:rsidRPr="004C681A">
              <w:rPr>
                <w:rFonts w:eastAsia="Times New Roman" w:cs="Times New Roman"/>
                <w:b/>
                <w:bCs/>
                <w:color w:val="000000" w:themeColor="text1"/>
                <w:lang w:eastAsia="en-GB"/>
              </w:rPr>
              <w:t>L-Fucose</w:t>
            </w:r>
          </w:p>
        </w:tc>
        <w:tc>
          <w:tcPr>
            <w:tcW w:w="352" w:type="pct"/>
            <w:shd w:val="clear" w:color="auto" w:fill="auto"/>
            <w:noWrap/>
            <w:hideMark/>
          </w:tcPr>
          <w:p w14:paraId="25A1D9EF" w14:textId="77777777" w:rsidR="00A923E2" w:rsidRPr="004C681A" w:rsidRDefault="00A923E2" w:rsidP="00516F01">
            <w:pPr>
              <w:jc w:val="center"/>
              <w:rPr>
                <w:rFonts w:eastAsia="Times New Roman" w:cs="Times New Roman"/>
                <w:color w:val="000000" w:themeColor="text1"/>
                <w:lang w:eastAsia="en-GB"/>
              </w:rPr>
            </w:pPr>
            <w:r w:rsidRPr="004C681A">
              <w:rPr>
                <w:rFonts w:eastAsia="Times New Roman" w:cs="Times New Roman"/>
                <w:color w:val="000000" w:themeColor="text1"/>
                <w:lang w:eastAsia="en-GB"/>
              </w:rPr>
              <w:t>-</w:t>
            </w:r>
          </w:p>
        </w:tc>
        <w:tc>
          <w:tcPr>
            <w:tcW w:w="510" w:type="pct"/>
            <w:shd w:val="clear" w:color="auto" w:fill="auto"/>
            <w:noWrap/>
            <w:hideMark/>
          </w:tcPr>
          <w:p w14:paraId="4D326C68" w14:textId="77777777" w:rsidR="00A923E2" w:rsidRPr="004C681A" w:rsidRDefault="00A923E2" w:rsidP="00516F01">
            <w:pPr>
              <w:jc w:val="center"/>
              <w:rPr>
                <w:rFonts w:eastAsia="Times New Roman" w:cs="Times New Roman"/>
                <w:color w:val="000000" w:themeColor="text1"/>
                <w:lang w:eastAsia="en-GB"/>
              </w:rPr>
            </w:pPr>
            <w:r w:rsidRPr="004C681A">
              <w:rPr>
                <w:rFonts w:eastAsia="Times New Roman" w:cs="Times New Roman"/>
                <w:color w:val="000000" w:themeColor="text1"/>
                <w:lang w:eastAsia="en-GB"/>
              </w:rPr>
              <w:t>-</w:t>
            </w:r>
          </w:p>
        </w:tc>
        <w:tc>
          <w:tcPr>
            <w:tcW w:w="686" w:type="pct"/>
            <w:shd w:val="clear" w:color="auto" w:fill="auto"/>
            <w:noWrap/>
            <w:hideMark/>
          </w:tcPr>
          <w:p w14:paraId="2275AFAB" w14:textId="77777777" w:rsidR="00A923E2" w:rsidRPr="004C681A" w:rsidRDefault="00A923E2" w:rsidP="00516F01">
            <w:pPr>
              <w:jc w:val="center"/>
              <w:rPr>
                <w:rFonts w:eastAsia="Times New Roman" w:cs="Times New Roman"/>
                <w:color w:val="000000" w:themeColor="text1"/>
                <w:highlight w:val="yellow"/>
                <w:lang w:eastAsia="en-GB"/>
              </w:rPr>
            </w:pPr>
            <w:r w:rsidRPr="004C681A">
              <w:rPr>
                <w:rFonts w:eastAsia="Times New Roman" w:cs="Times New Roman"/>
                <w:color w:val="000000" w:themeColor="text1"/>
                <w:lang w:eastAsia="en-GB"/>
              </w:rPr>
              <w:t>+</w:t>
            </w:r>
          </w:p>
        </w:tc>
        <w:tc>
          <w:tcPr>
            <w:tcW w:w="845" w:type="pct"/>
            <w:shd w:val="clear" w:color="auto" w:fill="auto"/>
            <w:noWrap/>
            <w:hideMark/>
          </w:tcPr>
          <w:p w14:paraId="17E0FD74" w14:textId="77777777" w:rsidR="00A923E2" w:rsidRPr="004C681A" w:rsidRDefault="00A923E2" w:rsidP="00516F01">
            <w:pPr>
              <w:jc w:val="center"/>
              <w:rPr>
                <w:rFonts w:eastAsia="Times New Roman" w:cs="Times New Roman"/>
                <w:color w:val="000000" w:themeColor="text1"/>
                <w:lang w:eastAsia="en-GB"/>
              </w:rPr>
            </w:pPr>
            <w:r w:rsidRPr="004C681A">
              <w:rPr>
                <w:rFonts w:eastAsia="Times New Roman" w:cs="Times New Roman"/>
                <w:color w:val="000000" w:themeColor="text1"/>
                <w:lang w:eastAsia="en-GB"/>
              </w:rPr>
              <w:t>+</w:t>
            </w:r>
          </w:p>
        </w:tc>
        <w:tc>
          <w:tcPr>
            <w:tcW w:w="448" w:type="pct"/>
            <w:shd w:val="clear" w:color="auto" w:fill="auto"/>
            <w:vAlign w:val="bottom"/>
          </w:tcPr>
          <w:p w14:paraId="2D6805D0" w14:textId="77777777" w:rsidR="00A923E2" w:rsidRPr="004C681A" w:rsidRDefault="00A923E2" w:rsidP="00516F01">
            <w:pPr>
              <w:jc w:val="center"/>
              <w:rPr>
                <w:rFonts w:eastAsia="Times New Roman" w:cs="Times New Roman"/>
                <w:color w:val="000000" w:themeColor="text1"/>
                <w:lang w:eastAsia="en-GB"/>
              </w:rPr>
            </w:pPr>
            <w:r w:rsidRPr="004C681A">
              <w:rPr>
                <w:rFonts w:cs="Times New Roman"/>
                <w:color w:val="000000" w:themeColor="text1"/>
              </w:rPr>
              <w:t>+</w:t>
            </w:r>
          </w:p>
        </w:tc>
        <w:tc>
          <w:tcPr>
            <w:tcW w:w="595" w:type="pct"/>
            <w:shd w:val="clear" w:color="auto" w:fill="auto"/>
            <w:vAlign w:val="bottom"/>
          </w:tcPr>
          <w:p w14:paraId="0AB3B8A9" w14:textId="77777777" w:rsidR="00A923E2" w:rsidRPr="004C681A" w:rsidRDefault="00A923E2" w:rsidP="00516F01">
            <w:pPr>
              <w:jc w:val="center"/>
              <w:rPr>
                <w:rFonts w:eastAsia="Times New Roman" w:cs="Times New Roman"/>
                <w:color w:val="000000" w:themeColor="text1"/>
                <w:lang w:eastAsia="en-GB"/>
              </w:rPr>
            </w:pPr>
            <w:r w:rsidRPr="004C681A">
              <w:rPr>
                <w:rFonts w:cs="Times New Roman"/>
                <w:color w:val="000000" w:themeColor="text1"/>
              </w:rPr>
              <w:t>+</w:t>
            </w:r>
          </w:p>
        </w:tc>
      </w:tr>
      <w:tr w:rsidR="00A923E2" w:rsidRPr="004C681A" w14:paraId="31A00270" w14:textId="77777777" w:rsidTr="00516F01">
        <w:trPr>
          <w:trHeight w:val="340"/>
        </w:trPr>
        <w:tc>
          <w:tcPr>
            <w:tcW w:w="1563" w:type="pct"/>
            <w:shd w:val="clear" w:color="auto" w:fill="auto"/>
            <w:noWrap/>
            <w:hideMark/>
          </w:tcPr>
          <w:p w14:paraId="78F8B826" w14:textId="77777777" w:rsidR="00A923E2" w:rsidRPr="004C681A" w:rsidRDefault="00A923E2" w:rsidP="00516F01">
            <w:pPr>
              <w:rPr>
                <w:rFonts w:eastAsia="Times New Roman" w:cs="Times New Roman"/>
                <w:b/>
                <w:bCs/>
                <w:color w:val="000000" w:themeColor="text1"/>
                <w:lang w:eastAsia="en-GB"/>
              </w:rPr>
            </w:pPr>
            <w:r w:rsidRPr="004C681A">
              <w:rPr>
                <w:rFonts w:eastAsia="Times New Roman" w:cs="Times New Roman"/>
                <w:b/>
                <w:bCs/>
                <w:color w:val="000000" w:themeColor="text1"/>
                <w:lang w:eastAsia="en-GB"/>
              </w:rPr>
              <w:t>D-Psicose</w:t>
            </w:r>
          </w:p>
        </w:tc>
        <w:tc>
          <w:tcPr>
            <w:tcW w:w="352" w:type="pct"/>
            <w:shd w:val="clear" w:color="auto" w:fill="auto"/>
            <w:noWrap/>
            <w:hideMark/>
          </w:tcPr>
          <w:p w14:paraId="78BD831C" w14:textId="77777777" w:rsidR="00A923E2" w:rsidRPr="004C681A" w:rsidRDefault="00A923E2" w:rsidP="00516F01">
            <w:pPr>
              <w:jc w:val="center"/>
              <w:rPr>
                <w:rFonts w:eastAsia="Times New Roman" w:cs="Times New Roman"/>
                <w:color w:val="000000" w:themeColor="text1"/>
                <w:lang w:eastAsia="en-GB"/>
              </w:rPr>
            </w:pPr>
            <w:r w:rsidRPr="004C681A">
              <w:rPr>
                <w:rFonts w:eastAsia="Times New Roman" w:cs="Times New Roman"/>
                <w:color w:val="000000" w:themeColor="text1"/>
                <w:lang w:eastAsia="en-GB"/>
              </w:rPr>
              <w:t>+</w:t>
            </w:r>
          </w:p>
        </w:tc>
        <w:tc>
          <w:tcPr>
            <w:tcW w:w="510" w:type="pct"/>
            <w:shd w:val="clear" w:color="auto" w:fill="auto"/>
            <w:noWrap/>
            <w:hideMark/>
          </w:tcPr>
          <w:p w14:paraId="195BCC60" w14:textId="77777777" w:rsidR="00A923E2" w:rsidRPr="004C681A" w:rsidRDefault="00A923E2" w:rsidP="00516F01">
            <w:pPr>
              <w:jc w:val="center"/>
              <w:rPr>
                <w:rFonts w:eastAsia="Times New Roman" w:cs="Times New Roman"/>
                <w:color w:val="000000" w:themeColor="text1"/>
                <w:lang w:eastAsia="en-GB"/>
              </w:rPr>
            </w:pPr>
            <w:r w:rsidRPr="004C681A">
              <w:rPr>
                <w:rFonts w:eastAsia="Times New Roman" w:cs="Times New Roman"/>
                <w:color w:val="000000" w:themeColor="text1"/>
                <w:lang w:eastAsia="en-GB"/>
              </w:rPr>
              <w:t>+</w:t>
            </w:r>
          </w:p>
        </w:tc>
        <w:tc>
          <w:tcPr>
            <w:tcW w:w="686" w:type="pct"/>
            <w:shd w:val="clear" w:color="auto" w:fill="auto"/>
            <w:noWrap/>
            <w:hideMark/>
          </w:tcPr>
          <w:p w14:paraId="71BC3472" w14:textId="77777777" w:rsidR="00A923E2" w:rsidRPr="004C681A" w:rsidRDefault="00A923E2" w:rsidP="00516F01">
            <w:pPr>
              <w:jc w:val="center"/>
              <w:rPr>
                <w:rFonts w:eastAsia="Times New Roman" w:cs="Times New Roman"/>
                <w:color w:val="000000" w:themeColor="text1"/>
                <w:lang w:eastAsia="en-GB"/>
              </w:rPr>
            </w:pPr>
            <w:r w:rsidRPr="004C681A">
              <w:rPr>
                <w:rFonts w:eastAsia="Times New Roman" w:cs="Times New Roman"/>
                <w:color w:val="000000" w:themeColor="text1"/>
                <w:lang w:eastAsia="en-GB"/>
              </w:rPr>
              <w:t>-</w:t>
            </w:r>
          </w:p>
        </w:tc>
        <w:tc>
          <w:tcPr>
            <w:tcW w:w="845" w:type="pct"/>
            <w:shd w:val="clear" w:color="auto" w:fill="auto"/>
            <w:noWrap/>
            <w:hideMark/>
          </w:tcPr>
          <w:p w14:paraId="5C34F4BF" w14:textId="77777777" w:rsidR="00A923E2" w:rsidRPr="004C681A" w:rsidRDefault="00A923E2" w:rsidP="00516F01">
            <w:pPr>
              <w:jc w:val="center"/>
              <w:rPr>
                <w:rFonts w:eastAsia="Times New Roman" w:cs="Times New Roman"/>
                <w:color w:val="000000" w:themeColor="text1"/>
                <w:lang w:eastAsia="en-GB"/>
              </w:rPr>
            </w:pPr>
            <w:r w:rsidRPr="004C681A">
              <w:rPr>
                <w:rFonts w:eastAsia="Times New Roman" w:cs="Times New Roman"/>
                <w:color w:val="000000" w:themeColor="text1"/>
                <w:lang w:eastAsia="en-GB"/>
              </w:rPr>
              <w:t>-</w:t>
            </w:r>
          </w:p>
        </w:tc>
        <w:tc>
          <w:tcPr>
            <w:tcW w:w="448" w:type="pct"/>
            <w:shd w:val="clear" w:color="auto" w:fill="auto"/>
            <w:vAlign w:val="bottom"/>
          </w:tcPr>
          <w:p w14:paraId="769E1CA0" w14:textId="77777777" w:rsidR="00A923E2" w:rsidRPr="004C681A" w:rsidRDefault="00A923E2" w:rsidP="00516F01">
            <w:pPr>
              <w:jc w:val="center"/>
              <w:rPr>
                <w:rFonts w:eastAsia="Times New Roman" w:cs="Times New Roman"/>
                <w:color w:val="000000" w:themeColor="text1"/>
                <w:lang w:eastAsia="en-GB"/>
              </w:rPr>
            </w:pPr>
            <w:r w:rsidRPr="004C681A">
              <w:rPr>
                <w:rFonts w:eastAsia="Times New Roman" w:cs="Times New Roman"/>
                <w:color w:val="000000" w:themeColor="text1"/>
                <w:lang w:eastAsia="en-GB"/>
              </w:rPr>
              <w:t>-</w:t>
            </w:r>
          </w:p>
        </w:tc>
        <w:tc>
          <w:tcPr>
            <w:tcW w:w="595" w:type="pct"/>
            <w:shd w:val="clear" w:color="auto" w:fill="auto"/>
            <w:vAlign w:val="bottom"/>
          </w:tcPr>
          <w:p w14:paraId="2ABD0CC7" w14:textId="77777777" w:rsidR="00A923E2" w:rsidRPr="004C681A" w:rsidRDefault="00A923E2" w:rsidP="00516F01">
            <w:pPr>
              <w:jc w:val="center"/>
              <w:rPr>
                <w:rFonts w:eastAsia="Times New Roman" w:cs="Times New Roman"/>
                <w:color w:val="000000" w:themeColor="text1"/>
                <w:lang w:eastAsia="en-GB"/>
              </w:rPr>
            </w:pPr>
            <w:r w:rsidRPr="004C681A">
              <w:rPr>
                <w:rFonts w:eastAsia="Times New Roman" w:cs="Times New Roman"/>
                <w:color w:val="000000" w:themeColor="text1"/>
                <w:lang w:eastAsia="en-GB"/>
              </w:rPr>
              <w:t>-</w:t>
            </w:r>
          </w:p>
        </w:tc>
      </w:tr>
    </w:tbl>
    <w:p w14:paraId="0FF51644" w14:textId="77777777" w:rsidR="00F07A2B" w:rsidRDefault="00F07A2B" w:rsidP="00A923E2"/>
    <w:p w14:paraId="3DABF092" w14:textId="77777777" w:rsidR="00F07A2B" w:rsidRDefault="00F07A2B" w:rsidP="00A923E2"/>
    <w:p w14:paraId="4973E9F7" w14:textId="77777777" w:rsidR="00F07A2B" w:rsidRDefault="00F07A2B" w:rsidP="00A923E2"/>
    <w:p w14:paraId="18584E7A" w14:textId="77777777" w:rsidR="00F07A2B" w:rsidRDefault="00F07A2B" w:rsidP="00A923E2"/>
    <w:p w14:paraId="49960F09" w14:textId="77777777" w:rsidR="002D0C65" w:rsidRDefault="002D0C65" w:rsidP="00A923E2"/>
    <w:p w14:paraId="39B97BC1" w14:textId="77777777" w:rsidR="002D0C65" w:rsidRDefault="002D0C65" w:rsidP="00A923E2"/>
    <w:p w14:paraId="45EF20D0" w14:textId="6A10A35B" w:rsidR="002D0C65" w:rsidRDefault="002D0C65" w:rsidP="00A923E2"/>
    <w:p w14:paraId="3CF63B79" w14:textId="1B57BEB1" w:rsidR="002D0C65" w:rsidRDefault="00DF7F77" w:rsidP="00A923E2">
      <w:r>
        <w:rPr>
          <w:noProof/>
        </w:rPr>
        <w:drawing>
          <wp:anchor distT="0" distB="0" distL="114300" distR="114300" simplePos="0" relativeHeight="251663360" behindDoc="0" locked="0" layoutInCell="1" allowOverlap="1" wp14:anchorId="563CDD5B" wp14:editId="7FBBAE5D">
            <wp:simplePos x="0" y="0"/>
            <wp:positionH relativeFrom="column">
              <wp:posOffset>85725</wp:posOffset>
            </wp:positionH>
            <wp:positionV relativeFrom="paragraph">
              <wp:posOffset>52705</wp:posOffset>
            </wp:positionV>
            <wp:extent cx="4810125" cy="2844800"/>
            <wp:effectExtent l="0" t="0" r="3175" b="0"/>
            <wp:wrapThrough wrapText="bothSides">
              <wp:wrapPolygon edited="0">
                <wp:start x="0" y="0"/>
                <wp:lineTo x="0" y="21504"/>
                <wp:lineTo x="21557" y="21504"/>
                <wp:lineTo x="2155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0125" cy="2844800"/>
                    </a:xfrm>
                    <a:prstGeom prst="rect">
                      <a:avLst/>
                    </a:prstGeom>
                  </pic:spPr>
                </pic:pic>
              </a:graphicData>
            </a:graphic>
            <wp14:sizeRelH relativeFrom="page">
              <wp14:pctWidth>0</wp14:pctWidth>
            </wp14:sizeRelH>
            <wp14:sizeRelV relativeFrom="page">
              <wp14:pctHeight>0</wp14:pctHeight>
            </wp14:sizeRelV>
          </wp:anchor>
        </w:drawing>
      </w:r>
    </w:p>
    <w:p w14:paraId="3BAB991C" w14:textId="77777777" w:rsidR="002D0C65" w:rsidRDefault="002D0C65" w:rsidP="00A923E2"/>
    <w:p w14:paraId="170BDB10" w14:textId="34114C84" w:rsidR="002D0C65" w:rsidRDefault="002D0C65" w:rsidP="00A923E2"/>
    <w:p w14:paraId="6C05A804" w14:textId="77777777" w:rsidR="002D0C65" w:rsidRDefault="002D0C65" w:rsidP="00A923E2"/>
    <w:p w14:paraId="061DCB20" w14:textId="77777777" w:rsidR="002D0C65" w:rsidRDefault="002D0C65" w:rsidP="00A923E2"/>
    <w:p w14:paraId="4823D136" w14:textId="77777777" w:rsidR="002D0C65" w:rsidRDefault="002D0C65" w:rsidP="00A923E2"/>
    <w:p w14:paraId="10879037" w14:textId="77777777" w:rsidR="002D0C65" w:rsidRDefault="002D0C65" w:rsidP="00A923E2"/>
    <w:p w14:paraId="0F0622BF" w14:textId="77777777" w:rsidR="002D0C65" w:rsidRDefault="002D0C65" w:rsidP="00A923E2"/>
    <w:p w14:paraId="1C3DF2C8" w14:textId="77777777" w:rsidR="00697BD8" w:rsidRDefault="00697BD8" w:rsidP="002D0C65">
      <w:pPr>
        <w:jc w:val="both"/>
      </w:pPr>
    </w:p>
    <w:p w14:paraId="030D0ABD" w14:textId="63A50D6C" w:rsidR="002D0C65" w:rsidRPr="00697BD8" w:rsidRDefault="002D0C65" w:rsidP="004C1FC4">
      <w:pPr>
        <w:jc w:val="both"/>
        <w:rPr>
          <w:rFonts w:cs="Times New Roman"/>
        </w:rPr>
      </w:pPr>
      <w:r w:rsidRPr="007510F8">
        <w:rPr>
          <w:b/>
          <w:bCs/>
        </w:rPr>
        <w:t xml:space="preserve">Supplementary Figure 1: </w:t>
      </w:r>
      <w:r w:rsidRPr="007510F8">
        <w:rPr>
          <w:rFonts w:cs="Times New Roman"/>
          <w:b/>
          <w:bCs/>
          <w:i/>
          <w:iCs/>
        </w:rPr>
        <w:t xml:space="preserve">spnIII </w:t>
      </w:r>
      <w:r w:rsidRPr="007510F8">
        <w:rPr>
          <w:rFonts w:cs="Times New Roman"/>
          <w:b/>
          <w:bCs/>
        </w:rPr>
        <w:t xml:space="preserve">allele frequencies of </w:t>
      </w:r>
      <w:r w:rsidRPr="007510F8">
        <w:rPr>
          <w:rFonts w:cs="Times New Roman"/>
          <w:b/>
          <w:bCs/>
          <w:i/>
          <w:iCs/>
        </w:rPr>
        <w:t xml:space="preserve">luxS </w:t>
      </w:r>
      <w:r w:rsidRPr="007510F8">
        <w:rPr>
          <w:rFonts w:cs="Times New Roman"/>
          <w:b/>
          <w:bCs/>
        </w:rPr>
        <w:t xml:space="preserve">mutants, and 60B and 60CSF recovered post intranasal murine infection. </w:t>
      </w:r>
      <w:r w:rsidRPr="007510F8">
        <w:rPr>
          <w:rFonts w:cs="Times New Roman"/>
        </w:rPr>
        <w:t>Mice were intranasally challenged with 10</w:t>
      </w:r>
      <w:r w:rsidRPr="007510F8">
        <w:rPr>
          <w:rFonts w:cs="Times New Roman"/>
          <w:vertAlign w:val="superscript"/>
        </w:rPr>
        <w:t>8</w:t>
      </w:r>
      <w:r w:rsidRPr="007510F8">
        <w:rPr>
          <w:rFonts w:cs="Times New Roman"/>
        </w:rPr>
        <w:t xml:space="preserve"> CFU </w:t>
      </w:r>
      <w:r w:rsidRPr="007510F8">
        <w:rPr>
          <w:rFonts w:cs="Times New Roman"/>
          <w:i/>
          <w:iCs/>
        </w:rPr>
        <w:t>S. pneumoniae</w:t>
      </w:r>
      <w:r w:rsidRPr="007510F8">
        <w:rPr>
          <w:rFonts w:cs="Times New Roman"/>
        </w:rPr>
        <w:t xml:space="preserve"> serotype 15C ST8711 blood isolate (60B) or CSF isolate (60CSF). At 24 h, mice from each group were humanely euthanized and pneumococci in the nasal tissue were harvested. </w:t>
      </w:r>
      <w:r w:rsidRPr="007510F8">
        <w:rPr>
          <w:rFonts w:cs="Times New Roman"/>
          <w:i/>
        </w:rPr>
        <w:t>spnIII</w:t>
      </w:r>
      <w:r w:rsidRPr="007510F8">
        <w:rPr>
          <w:rFonts w:cs="Times New Roman"/>
        </w:rPr>
        <w:t xml:space="preserve"> allele quantification was performed on DNA extracted from colonies grown from nasopharynx samples, in addition to 60B∆luxS and 60CSF∆luxS colonies grown on BA plates overnight at 37°C with 5% CO</w:t>
      </w:r>
      <w:r w:rsidRPr="007510F8">
        <w:rPr>
          <w:rFonts w:cs="Times New Roman"/>
          <w:vertAlign w:val="subscript"/>
        </w:rPr>
        <w:t>2</w:t>
      </w:r>
      <w:r w:rsidRPr="007510F8">
        <w:rPr>
          <w:rFonts w:cs="Times New Roman"/>
        </w:rPr>
        <w:t xml:space="preserve">. Allele percentages are displayed for WT strains recovered from the nose of mice (Figure 1) and </w:t>
      </w:r>
      <w:r w:rsidRPr="007510F8">
        <w:rPr>
          <w:rFonts w:cs="Times New Roman"/>
          <w:i/>
          <w:iCs/>
        </w:rPr>
        <w:t xml:space="preserve">luxS </w:t>
      </w:r>
      <w:r w:rsidRPr="007510F8">
        <w:rPr>
          <w:rFonts w:cs="Times New Roman"/>
        </w:rPr>
        <w:t>mutants from frozen stock.</w:t>
      </w:r>
      <w:r>
        <w:rPr>
          <w:rFonts w:cs="Times New Roman"/>
        </w:rPr>
        <w:t xml:space="preserve"> </w:t>
      </w:r>
    </w:p>
    <w:p w14:paraId="7EB14E8A" w14:textId="35C6FDAD" w:rsidR="00F07A2B" w:rsidRDefault="006B220A" w:rsidP="00F07A2B">
      <w:pPr>
        <w:jc w:val="both"/>
        <w:rPr>
          <w:rFonts w:cs="Times New Roman"/>
        </w:rPr>
      </w:pPr>
      <w:r>
        <w:rPr>
          <w:noProof/>
        </w:rPr>
        <w:lastRenderedPageBreak/>
        <w:drawing>
          <wp:anchor distT="0" distB="0" distL="114300" distR="114300" simplePos="0" relativeHeight="251662336" behindDoc="0" locked="0" layoutInCell="1" allowOverlap="1" wp14:anchorId="4FBC7361" wp14:editId="2C7B0ED5">
            <wp:simplePos x="0" y="0"/>
            <wp:positionH relativeFrom="column">
              <wp:posOffset>-162830</wp:posOffset>
            </wp:positionH>
            <wp:positionV relativeFrom="paragraph">
              <wp:posOffset>3264927</wp:posOffset>
            </wp:positionV>
            <wp:extent cx="6208395" cy="1950720"/>
            <wp:effectExtent l="0" t="0" r="1905" b="5080"/>
            <wp:wrapThrough wrapText="bothSides">
              <wp:wrapPolygon edited="0">
                <wp:start x="0" y="0"/>
                <wp:lineTo x="0" y="21516"/>
                <wp:lineTo x="21562" y="21516"/>
                <wp:lineTo x="215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1950720"/>
                    </a:xfrm>
                    <a:prstGeom prst="rect">
                      <a:avLst/>
                    </a:prstGeom>
                  </pic:spPr>
                </pic:pic>
              </a:graphicData>
            </a:graphic>
            <wp14:sizeRelH relativeFrom="page">
              <wp14:pctWidth>0</wp14:pctWidth>
            </wp14:sizeRelH>
            <wp14:sizeRelV relativeFrom="page">
              <wp14:pctHeight>0</wp14:pctHeight>
            </wp14:sizeRelV>
          </wp:anchor>
        </w:drawing>
      </w:r>
      <w:r w:rsidR="00F07A2B">
        <w:rPr>
          <w:b/>
          <w:bCs/>
          <w:noProof/>
        </w:rPr>
        <w:drawing>
          <wp:anchor distT="0" distB="0" distL="114300" distR="114300" simplePos="0" relativeHeight="251661312" behindDoc="0" locked="0" layoutInCell="1" allowOverlap="1" wp14:anchorId="273B063D" wp14:editId="22EFD3F3">
            <wp:simplePos x="0" y="0"/>
            <wp:positionH relativeFrom="column">
              <wp:posOffset>419</wp:posOffset>
            </wp:positionH>
            <wp:positionV relativeFrom="paragraph">
              <wp:posOffset>567</wp:posOffset>
            </wp:positionV>
            <wp:extent cx="6208395" cy="1925955"/>
            <wp:effectExtent l="0" t="0" r="1905" b="4445"/>
            <wp:wrapThrough wrapText="bothSides">
              <wp:wrapPolygon edited="0">
                <wp:start x="0" y="0"/>
                <wp:lineTo x="0" y="21507"/>
                <wp:lineTo x="21562" y="21507"/>
                <wp:lineTo x="21562" y="0"/>
                <wp:lineTo x="0" y="0"/>
              </wp:wrapPolygon>
            </wp:wrapThrough>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1925955"/>
                    </a:xfrm>
                    <a:prstGeom prst="rect">
                      <a:avLst/>
                    </a:prstGeom>
                  </pic:spPr>
                </pic:pic>
              </a:graphicData>
            </a:graphic>
            <wp14:sizeRelH relativeFrom="page">
              <wp14:pctWidth>0</wp14:pctWidth>
            </wp14:sizeRelH>
            <wp14:sizeRelV relativeFrom="page">
              <wp14:pctHeight>0</wp14:pctHeight>
            </wp14:sizeRelV>
          </wp:anchor>
        </w:drawing>
      </w:r>
      <w:r w:rsidR="00F07A2B">
        <w:rPr>
          <w:b/>
          <w:bCs/>
        </w:rPr>
        <w:t xml:space="preserve">Supplementary Figure </w:t>
      </w:r>
      <w:r w:rsidR="002D0C65">
        <w:rPr>
          <w:b/>
          <w:bCs/>
        </w:rPr>
        <w:t>2</w:t>
      </w:r>
      <w:r w:rsidR="00F07A2B">
        <w:rPr>
          <w:b/>
          <w:bCs/>
        </w:rPr>
        <w:t xml:space="preserve">: Growth of 60B and 60CSF in CDM + glucose and CDM + galactose. </w:t>
      </w:r>
      <w:r w:rsidR="00F07A2B">
        <w:t>Isolates were grown in 200 µL CDM supplemented with 0.5% glucose (CDM + glucose) or 0.5% galactose (CDM + galactose). OD</w:t>
      </w:r>
      <w:r w:rsidR="00F07A2B">
        <w:rPr>
          <w:vertAlign w:val="subscript"/>
        </w:rPr>
        <w:t xml:space="preserve">600 </w:t>
      </w:r>
      <w:r w:rsidR="00F07A2B">
        <w:t>was measured every 30 min for 24 h. Data are mean OD</w:t>
      </w:r>
      <w:r w:rsidR="00F07A2B">
        <w:rPr>
          <w:vertAlign w:val="subscript"/>
        </w:rPr>
        <w:t xml:space="preserve">600 </w:t>
      </w:r>
      <w:r w:rsidR="00F07A2B">
        <w:t xml:space="preserve">± standard error mean (SEM) from two independent assays, each performed in triplicate. </w:t>
      </w:r>
      <w:r w:rsidR="00F07A2B" w:rsidRPr="004C1FC4">
        <w:rPr>
          <w:rFonts w:cs="Times New Roman"/>
        </w:rPr>
        <w:t xml:space="preserve">Significance of differences in final OD and mid-exponential phase OD between strains was determined using two-tailed Student’s </w:t>
      </w:r>
      <w:r w:rsidR="00F07A2B" w:rsidRPr="004C1FC4">
        <w:rPr>
          <w:rFonts w:cs="Times New Roman"/>
          <w:i/>
          <w:iCs/>
        </w:rPr>
        <w:t>t</w:t>
      </w:r>
      <w:r w:rsidR="00F07A2B" w:rsidRPr="004C1FC4">
        <w:rPr>
          <w:rFonts w:cs="Times New Roman"/>
        </w:rPr>
        <w:t xml:space="preserve"> test</w:t>
      </w:r>
      <w:r w:rsidR="00F07A2B" w:rsidRPr="00F07A2B">
        <w:rPr>
          <w:rFonts w:cs="Times New Roman"/>
        </w:rPr>
        <w:t>.</w:t>
      </w:r>
    </w:p>
    <w:p w14:paraId="2127D156" w14:textId="6E86651F" w:rsidR="00F77BEE" w:rsidRDefault="006B220A" w:rsidP="00F77BEE">
      <w:pPr>
        <w:jc w:val="both"/>
        <w:rPr>
          <w:rFonts w:cs="Times New Roman"/>
        </w:rPr>
      </w:pPr>
      <w:r>
        <w:rPr>
          <w:rFonts w:cs="Times New Roman"/>
          <w:b/>
          <w:bCs/>
        </w:rPr>
        <w:t xml:space="preserve">Supplementary Figure </w:t>
      </w:r>
      <w:r w:rsidR="002D0C65">
        <w:rPr>
          <w:rFonts w:cs="Times New Roman"/>
          <w:b/>
          <w:bCs/>
        </w:rPr>
        <w:t>3</w:t>
      </w:r>
      <w:r>
        <w:rPr>
          <w:rFonts w:cs="Times New Roman"/>
          <w:b/>
          <w:bCs/>
        </w:rPr>
        <w:t xml:space="preserve">: </w:t>
      </w:r>
      <w:r w:rsidR="00F77BEE" w:rsidRPr="0029153C">
        <w:rPr>
          <w:rFonts w:cs="Times New Roman"/>
          <w:b/>
          <w:bCs/>
        </w:rPr>
        <w:t>Biofilm formation of 60B</w:t>
      </w:r>
      <w:r w:rsidR="00F77BEE">
        <w:rPr>
          <w:rFonts w:cs="Times New Roman"/>
          <w:b/>
          <w:bCs/>
        </w:rPr>
        <w:t xml:space="preserve"> and</w:t>
      </w:r>
      <w:r w:rsidR="00F77BEE" w:rsidRPr="0029153C">
        <w:rPr>
          <w:rFonts w:cs="Times New Roman"/>
          <w:b/>
          <w:bCs/>
        </w:rPr>
        <w:t xml:space="preserve"> 60CSF</w:t>
      </w:r>
      <w:r w:rsidR="00F77BEE">
        <w:rPr>
          <w:rFonts w:cs="Times New Roman"/>
          <w:b/>
          <w:bCs/>
        </w:rPr>
        <w:t xml:space="preserve"> in CDM + glucose and CDM + galactose. </w:t>
      </w:r>
      <w:r w:rsidR="00F77BEE" w:rsidRPr="0029153C">
        <w:rPr>
          <w:rFonts w:cs="Times New Roman"/>
        </w:rPr>
        <w:t>Bacteria were cultured overnight on BA plates before being diluted to a final OD</w:t>
      </w:r>
      <w:r w:rsidR="00F77BEE" w:rsidRPr="0029153C">
        <w:rPr>
          <w:rFonts w:cs="Times New Roman"/>
          <w:vertAlign w:val="subscript"/>
        </w:rPr>
        <w:t>600</w:t>
      </w:r>
      <w:r w:rsidR="00F77BEE" w:rsidRPr="0029153C">
        <w:rPr>
          <w:rFonts w:cs="Times New Roman"/>
        </w:rPr>
        <w:t xml:space="preserve"> of 0.05 in CDM + 0.5% glucose or CDM + 0.5% galactose. 200 µL of each bacterial strain in each culture medium was placed into wells of a </w:t>
      </w:r>
      <w:proofErr w:type="spellStart"/>
      <w:r w:rsidR="00F77BEE" w:rsidRPr="0029153C">
        <w:rPr>
          <w:rFonts w:cs="Times New Roman"/>
        </w:rPr>
        <w:t>xCELLigence</w:t>
      </w:r>
      <w:proofErr w:type="spellEnd"/>
      <w:r w:rsidR="00F77BEE" w:rsidRPr="0029153C">
        <w:rPr>
          <w:rFonts w:cs="Times New Roman"/>
        </w:rPr>
        <w:t xml:space="preserve"> E-plate, with the plate being placed in the cradles of the RTCA-DP platform and incubated at 37°C with 5% CO</w:t>
      </w:r>
      <w:r w:rsidR="00F77BEE" w:rsidRPr="0029153C">
        <w:rPr>
          <w:rFonts w:cs="Times New Roman"/>
          <w:vertAlign w:val="subscript"/>
        </w:rPr>
        <w:t>2</w:t>
      </w:r>
      <w:r w:rsidR="00F77BEE" w:rsidRPr="0029153C">
        <w:rPr>
          <w:rFonts w:cs="Times New Roman"/>
        </w:rPr>
        <w:t xml:space="preserve">. Biofilm formation was determined by measuring cell index (CI) every 15 min over 24 h using real-time cell analysis (RTCA) </w:t>
      </w:r>
      <w:proofErr w:type="spellStart"/>
      <w:r w:rsidR="00F77BEE" w:rsidRPr="0029153C">
        <w:rPr>
          <w:rFonts w:cs="Times New Roman"/>
        </w:rPr>
        <w:t>xCELLigence</w:t>
      </w:r>
      <w:proofErr w:type="spellEnd"/>
      <w:r w:rsidR="00F77BEE" w:rsidRPr="0029153C">
        <w:rPr>
          <w:rFonts w:cs="Times New Roman"/>
        </w:rPr>
        <w:t xml:space="preserve"> technology. Data are mean CI ± standard error mean (SEM) from three independent assays, each performed in triplicate.</w:t>
      </w:r>
    </w:p>
    <w:p w14:paraId="276ACFA9" w14:textId="0F9681A0" w:rsidR="006B220A" w:rsidRPr="004C1FC4" w:rsidRDefault="006B220A" w:rsidP="00F07A2B">
      <w:pPr>
        <w:jc w:val="both"/>
        <w:rPr>
          <w:rFonts w:cs="Times New Roman"/>
          <w:b/>
          <w:bCs/>
        </w:rPr>
      </w:pPr>
    </w:p>
    <w:p w14:paraId="1BED41DD" w14:textId="71115F4F" w:rsidR="006B220A" w:rsidRDefault="006B220A" w:rsidP="00F07A2B">
      <w:pPr>
        <w:jc w:val="both"/>
        <w:rPr>
          <w:rFonts w:cs="Times New Roman"/>
        </w:rPr>
      </w:pPr>
    </w:p>
    <w:p w14:paraId="42824333" w14:textId="2A51A839" w:rsidR="006B220A" w:rsidRDefault="006B220A" w:rsidP="00F07A2B">
      <w:pPr>
        <w:jc w:val="both"/>
        <w:rPr>
          <w:rFonts w:cs="Times New Roman"/>
        </w:rPr>
      </w:pPr>
    </w:p>
    <w:p w14:paraId="19AF66DB" w14:textId="77777777" w:rsidR="006B220A" w:rsidRPr="00933E77" w:rsidRDefault="006B220A" w:rsidP="00F07A2B">
      <w:pPr>
        <w:jc w:val="both"/>
        <w:rPr>
          <w:rFonts w:cs="Times New Roman"/>
        </w:rPr>
      </w:pPr>
    </w:p>
    <w:p w14:paraId="013687BF" w14:textId="227D0C73" w:rsidR="00F07A2B" w:rsidRPr="00F07A2B" w:rsidRDefault="00F07A2B" w:rsidP="00A923E2"/>
    <w:p w14:paraId="33E51E51" w14:textId="060096FB" w:rsidR="00A923E2" w:rsidRPr="00A923E2" w:rsidRDefault="00F07A2B" w:rsidP="004C1FC4">
      <w:r>
        <w:rPr>
          <w:noProof/>
        </w:rPr>
        <w:lastRenderedPageBreak/>
        <w:drawing>
          <wp:anchor distT="0" distB="0" distL="114300" distR="114300" simplePos="0" relativeHeight="251659264" behindDoc="0" locked="0" layoutInCell="1" allowOverlap="1" wp14:anchorId="1E72BD9A" wp14:editId="4CE74482">
            <wp:simplePos x="0" y="0"/>
            <wp:positionH relativeFrom="column">
              <wp:posOffset>-163195</wp:posOffset>
            </wp:positionH>
            <wp:positionV relativeFrom="paragraph">
              <wp:posOffset>335915</wp:posOffset>
            </wp:positionV>
            <wp:extent cx="6208395" cy="1660525"/>
            <wp:effectExtent l="0" t="0" r="1905" b="3175"/>
            <wp:wrapThrough wrapText="bothSides">
              <wp:wrapPolygon edited="0">
                <wp:start x="0" y="0"/>
                <wp:lineTo x="0" y="21476"/>
                <wp:lineTo x="21562" y="21476"/>
                <wp:lineTo x="21562" y="0"/>
                <wp:lineTo x="0" y="0"/>
              </wp:wrapPolygon>
            </wp:wrapThrough>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8395" cy="1660525"/>
                    </a:xfrm>
                    <a:prstGeom prst="rect">
                      <a:avLst/>
                    </a:prstGeom>
                  </pic:spPr>
                </pic:pic>
              </a:graphicData>
            </a:graphic>
            <wp14:sizeRelH relativeFrom="page">
              <wp14:pctWidth>0</wp14:pctWidth>
            </wp14:sizeRelH>
            <wp14:sizeRelV relativeFrom="page">
              <wp14:pctHeight>0</wp14:pctHeight>
            </wp14:sizeRelV>
          </wp:anchor>
        </w:drawing>
      </w:r>
    </w:p>
    <w:p w14:paraId="08A33FA4" w14:textId="6DE34113" w:rsidR="00A923E2" w:rsidRPr="006C3AA5" w:rsidRDefault="00A923E2" w:rsidP="00A923E2">
      <w:pPr>
        <w:jc w:val="both"/>
      </w:pPr>
      <w:r w:rsidRPr="00227C26">
        <w:rPr>
          <w:b/>
          <w:bCs/>
        </w:rPr>
        <w:t xml:space="preserve">Supplementary Figure </w:t>
      </w:r>
      <w:r w:rsidR="002D0C65">
        <w:rPr>
          <w:b/>
          <w:bCs/>
        </w:rPr>
        <w:t>4</w:t>
      </w:r>
      <w:r w:rsidRPr="00227C26">
        <w:rPr>
          <w:b/>
          <w:bCs/>
        </w:rPr>
        <w:t xml:space="preserve">: Adherence and invasion of </w:t>
      </w:r>
      <w:r w:rsidRPr="00227C26">
        <w:rPr>
          <w:rFonts w:cs="Times New Roman"/>
          <w:b/>
          <w:bCs/>
        </w:rPr>
        <w:t>60B, 60CSF, 60B∆luxS and 60CSF∆luxS strains</w:t>
      </w:r>
      <w:r w:rsidRPr="00227C26">
        <w:rPr>
          <w:b/>
          <w:bCs/>
        </w:rPr>
        <w:t xml:space="preserve"> to Detroit 562 cells.</w:t>
      </w:r>
      <w:r>
        <w:t xml:space="preserve"> Strains at OD</w:t>
      </w:r>
      <w:r>
        <w:rPr>
          <w:vertAlign w:val="subscript"/>
        </w:rPr>
        <w:t xml:space="preserve">600 </w:t>
      </w:r>
      <w:r>
        <w:t>0.2 were inoculated onto monolayers of Detroit 562 cells in CDM ± 10µM AI-</w:t>
      </w:r>
      <w:proofErr w:type="gramStart"/>
      <w:r>
        <w:t>2, and</w:t>
      </w:r>
      <w:proofErr w:type="gramEnd"/>
      <w:r>
        <w:t xml:space="preserve"> incubated for 2 h before being tested for adherent and invasive bacteria (see Materials and Methods). Data are mean adherent or invasive bacteria ± standard error mean (SEM) from two independent assays, each performed in triplicate. Statistical analysis was performed using two-tailed Student’s </w:t>
      </w:r>
      <w:r>
        <w:rPr>
          <w:i/>
          <w:iCs/>
        </w:rPr>
        <w:t>t</w:t>
      </w:r>
      <w:r>
        <w:t xml:space="preserve"> test. No significant differences were detected between the adherence and invasion of the strains in different conditions. </w:t>
      </w:r>
    </w:p>
    <w:p w14:paraId="79CD3BBC" w14:textId="465F4669" w:rsidR="00A923E2" w:rsidRDefault="00A923E2" w:rsidP="00A923E2">
      <w:pPr>
        <w:jc w:val="both"/>
      </w:pPr>
      <w:r>
        <w:rPr>
          <w:noProof/>
        </w:rPr>
        <w:drawing>
          <wp:anchor distT="0" distB="0" distL="114300" distR="114300" simplePos="0" relativeHeight="251660288" behindDoc="0" locked="0" layoutInCell="1" allowOverlap="1" wp14:anchorId="6828C6B0" wp14:editId="7F5B3B08">
            <wp:simplePos x="0" y="0"/>
            <wp:positionH relativeFrom="column">
              <wp:posOffset>2540</wp:posOffset>
            </wp:positionH>
            <wp:positionV relativeFrom="paragraph">
              <wp:posOffset>282048</wp:posOffset>
            </wp:positionV>
            <wp:extent cx="5544766" cy="3718628"/>
            <wp:effectExtent l="0" t="0" r="5715" b="2540"/>
            <wp:wrapThrough wrapText="bothSides">
              <wp:wrapPolygon edited="0">
                <wp:start x="0" y="0"/>
                <wp:lineTo x="0" y="21541"/>
                <wp:lineTo x="21573" y="21541"/>
                <wp:lineTo x="21573" y="0"/>
                <wp:lineTo x="0" y="0"/>
              </wp:wrapPolygon>
            </wp:wrapThrough>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4766" cy="3718628"/>
                    </a:xfrm>
                    <a:prstGeom prst="rect">
                      <a:avLst/>
                    </a:prstGeom>
                  </pic:spPr>
                </pic:pic>
              </a:graphicData>
            </a:graphic>
            <wp14:sizeRelH relativeFrom="page">
              <wp14:pctWidth>0</wp14:pctWidth>
            </wp14:sizeRelH>
            <wp14:sizeRelV relativeFrom="page">
              <wp14:pctHeight>0</wp14:pctHeight>
            </wp14:sizeRelV>
          </wp:anchor>
        </w:drawing>
      </w:r>
    </w:p>
    <w:p w14:paraId="51798E3C" w14:textId="6FBD5CFD" w:rsidR="00A923E2" w:rsidRDefault="00A923E2" w:rsidP="00A923E2">
      <w:pPr>
        <w:jc w:val="both"/>
      </w:pPr>
    </w:p>
    <w:p w14:paraId="3F528636" w14:textId="73484327" w:rsidR="00A923E2" w:rsidRDefault="00A923E2" w:rsidP="00A923E2">
      <w:pPr>
        <w:jc w:val="both"/>
      </w:pPr>
    </w:p>
    <w:p w14:paraId="5BF3AD77" w14:textId="69D7889F" w:rsidR="00A923E2" w:rsidRDefault="00A923E2" w:rsidP="00A923E2">
      <w:pPr>
        <w:jc w:val="both"/>
      </w:pPr>
    </w:p>
    <w:p w14:paraId="2E52A4FE" w14:textId="72A0F596" w:rsidR="00A923E2" w:rsidRDefault="00A923E2" w:rsidP="00A923E2">
      <w:pPr>
        <w:jc w:val="both"/>
      </w:pPr>
    </w:p>
    <w:p w14:paraId="33907A4B" w14:textId="1D426D4A" w:rsidR="00A923E2" w:rsidRDefault="00A923E2" w:rsidP="00A923E2">
      <w:pPr>
        <w:jc w:val="both"/>
      </w:pPr>
    </w:p>
    <w:p w14:paraId="48B056CD" w14:textId="2170226B" w:rsidR="00A923E2" w:rsidRDefault="00A923E2" w:rsidP="00A923E2">
      <w:pPr>
        <w:jc w:val="both"/>
      </w:pPr>
    </w:p>
    <w:p w14:paraId="2FFEE239" w14:textId="6A589A8C" w:rsidR="00A923E2" w:rsidRDefault="00A923E2" w:rsidP="00A923E2">
      <w:pPr>
        <w:jc w:val="both"/>
      </w:pPr>
    </w:p>
    <w:p w14:paraId="60395FD3" w14:textId="5E7EFF00" w:rsidR="00A923E2" w:rsidRDefault="00A923E2" w:rsidP="00A923E2">
      <w:pPr>
        <w:jc w:val="both"/>
      </w:pPr>
    </w:p>
    <w:p w14:paraId="141E078F" w14:textId="637DE2EB" w:rsidR="00A923E2" w:rsidRDefault="00A923E2" w:rsidP="00A923E2">
      <w:pPr>
        <w:jc w:val="both"/>
      </w:pPr>
    </w:p>
    <w:p w14:paraId="5F14AD9F" w14:textId="6C314E3C" w:rsidR="00A923E2" w:rsidRDefault="00A923E2" w:rsidP="00A923E2">
      <w:pPr>
        <w:jc w:val="both"/>
      </w:pPr>
    </w:p>
    <w:p w14:paraId="3755A133" w14:textId="79EC18DD" w:rsidR="00A923E2" w:rsidRDefault="00A923E2" w:rsidP="00A923E2">
      <w:pPr>
        <w:jc w:val="both"/>
      </w:pPr>
    </w:p>
    <w:p w14:paraId="6B1605B4" w14:textId="2869D5B2" w:rsidR="00A923E2" w:rsidRDefault="00A923E2" w:rsidP="00A923E2">
      <w:pPr>
        <w:jc w:val="both"/>
      </w:pPr>
    </w:p>
    <w:p w14:paraId="46E5C4F9" w14:textId="49A2BEF4" w:rsidR="00A923E2" w:rsidRPr="006C3AA5" w:rsidRDefault="00A923E2" w:rsidP="00A923E2">
      <w:pPr>
        <w:jc w:val="both"/>
      </w:pPr>
      <w:r w:rsidRPr="005A76B7">
        <w:rPr>
          <w:b/>
          <w:bCs/>
        </w:rPr>
        <w:t xml:space="preserve">Supplementary Figure </w:t>
      </w:r>
      <w:r w:rsidR="002D0C65">
        <w:rPr>
          <w:b/>
          <w:bCs/>
        </w:rPr>
        <w:t>5</w:t>
      </w:r>
      <w:r w:rsidRPr="005A76B7">
        <w:rPr>
          <w:b/>
          <w:bCs/>
        </w:rPr>
        <w:t xml:space="preserve">: </w:t>
      </w:r>
      <w:r>
        <w:rPr>
          <w:b/>
          <w:bCs/>
        </w:rPr>
        <w:t>Murine brain and nose bacterial burden post-infection with</w:t>
      </w:r>
      <w:r w:rsidRPr="005A76B7">
        <w:rPr>
          <w:b/>
          <w:bCs/>
        </w:rPr>
        <w:t xml:space="preserve"> </w:t>
      </w:r>
      <w:r w:rsidRPr="005A76B7">
        <w:rPr>
          <w:rFonts w:cs="Times New Roman"/>
          <w:b/>
          <w:bCs/>
        </w:rPr>
        <w:t>60B, 60CSF, 60B∆luxS and 60CSF∆luxS strains.</w:t>
      </w:r>
      <w:r w:rsidRPr="0029153C">
        <w:rPr>
          <w:rFonts w:cs="Times New Roman"/>
        </w:rPr>
        <w:t xml:space="preserve"> Groups of 8 mice were infected intranasally with 10</w:t>
      </w:r>
      <w:r w:rsidRPr="0029153C">
        <w:rPr>
          <w:rFonts w:cs="Times New Roman"/>
          <w:vertAlign w:val="superscript"/>
        </w:rPr>
        <w:t>8</w:t>
      </w:r>
      <w:r w:rsidRPr="0029153C">
        <w:rPr>
          <w:rFonts w:cs="Times New Roman"/>
        </w:rPr>
        <w:t xml:space="preserve"> CFU of the indicated strain.</w:t>
      </w:r>
      <w:r>
        <w:rPr>
          <w:rFonts w:cs="Times New Roman"/>
        </w:rPr>
        <w:t xml:space="preserve"> </w:t>
      </w:r>
      <w:r w:rsidRPr="0029153C">
        <w:rPr>
          <w:rFonts w:cs="Times New Roman"/>
        </w:rPr>
        <w:t xml:space="preserve">At 24 h, mice from each group were humanely euthanized and pneumococci in the brain, ear, lungs and nasal tissue were enumerated. Viable bacterial counts are </w:t>
      </w:r>
      <w:r w:rsidRPr="0029153C">
        <w:rPr>
          <w:rFonts w:cs="Times New Roman"/>
        </w:rPr>
        <w:lastRenderedPageBreak/>
        <w:t>displayed for each mouse in the brain and nose</w:t>
      </w:r>
      <w:r>
        <w:rPr>
          <w:rFonts w:cs="Times New Roman"/>
        </w:rPr>
        <w:t xml:space="preserve"> (ears and lungs are in manuscript)</w:t>
      </w:r>
      <w:r w:rsidRPr="0029153C">
        <w:rPr>
          <w:rFonts w:cs="Times New Roman"/>
        </w:rPr>
        <w:t xml:space="preserve">; horizontal bars indicate the geometric mean (GM) CFU for each group; the dotted line indicates the detection threshold. </w:t>
      </w:r>
      <w:r>
        <w:t xml:space="preserve">No significant differences </w:t>
      </w:r>
      <w:r w:rsidRPr="0029153C">
        <w:rPr>
          <w:rFonts w:cs="Times New Roman"/>
        </w:rPr>
        <w:t xml:space="preserve">in bacterial load between groups </w:t>
      </w:r>
      <w:r>
        <w:t xml:space="preserve">were detected. </w:t>
      </w:r>
    </w:p>
    <w:p w14:paraId="77C26496" w14:textId="77777777" w:rsidR="00A923E2" w:rsidRDefault="00A923E2" w:rsidP="00A923E2">
      <w:pPr>
        <w:jc w:val="both"/>
      </w:pPr>
    </w:p>
    <w:p w14:paraId="63848667" w14:textId="77777777" w:rsidR="00A923E2" w:rsidRPr="00422504" w:rsidRDefault="00A923E2" w:rsidP="00A923E2"/>
    <w:p w14:paraId="6E24FFA5" w14:textId="77777777" w:rsidR="00A923E2" w:rsidRPr="001549D3" w:rsidRDefault="00A923E2" w:rsidP="00A923E2">
      <w:pPr>
        <w:keepNext/>
        <w:jc w:val="both"/>
        <w:rPr>
          <w:rFonts w:cs="Times New Roman"/>
          <w:szCs w:val="24"/>
        </w:rPr>
      </w:pPr>
    </w:p>
    <w:p w14:paraId="1C70622B" w14:textId="77777777" w:rsidR="00A923E2" w:rsidRPr="001549D3" w:rsidRDefault="00A923E2" w:rsidP="00A923E2">
      <w:pPr>
        <w:spacing w:before="240"/>
      </w:pPr>
    </w:p>
    <w:p w14:paraId="6C8497B3" w14:textId="77777777" w:rsidR="00A923E2" w:rsidRDefault="00A923E2" w:rsidP="00E07F46">
      <w:pPr>
        <w:jc w:val="both"/>
      </w:pPr>
    </w:p>
    <w:p w14:paraId="58F1AED1" w14:textId="77777777" w:rsidR="00DE23E8" w:rsidRPr="001549D3" w:rsidRDefault="00DE23E8" w:rsidP="00654E8F">
      <w:pPr>
        <w:spacing w:before="240"/>
      </w:pPr>
    </w:p>
    <w:sectPr w:rsidR="00DE23E8"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D85FC" w14:textId="77777777" w:rsidR="00BB7502" w:rsidRDefault="00BB7502" w:rsidP="00117666">
      <w:pPr>
        <w:spacing w:after="0"/>
      </w:pPr>
      <w:r>
        <w:separator/>
      </w:r>
    </w:p>
  </w:endnote>
  <w:endnote w:type="continuationSeparator" w:id="0">
    <w:p w14:paraId="10BD662D" w14:textId="77777777" w:rsidR="00BB7502" w:rsidRDefault="00BB750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1D86C" w14:textId="77777777" w:rsidR="00BB7502" w:rsidRDefault="00BB7502" w:rsidP="00117666">
      <w:pPr>
        <w:spacing w:after="0"/>
      </w:pPr>
      <w:r>
        <w:separator/>
      </w:r>
    </w:p>
  </w:footnote>
  <w:footnote w:type="continuationSeparator" w:id="0">
    <w:p w14:paraId="60E7BC56" w14:textId="77777777" w:rsidR="00BB7502" w:rsidRDefault="00BB750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204548"/>
    <w:rsid w:val="00267D18"/>
    <w:rsid w:val="002868E2"/>
    <w:rsid w:val="002869C3"/>
    <w:rsid w:val="002936E4"/>
    <w:rsid w:val="002B4A57"/>
    <w:rsid w:val="002C74CA"/>
    <w:rsid w:val="002D0C65"/>
    <w:rsid w:val="003544FB"/>
    <w:rsid w:val="003D2F2D"/>
    <w:rsid w:val="00401590"/>
    <w:rsid w:val="00447801"/>
    <w:rsid w:val="00452E9C"/>
    <w:rsid w:val="004735C8"/>
    <w:rsid w:val="004961FF"/>
    <w:rsid w:val="004C1FC4"/>
    <w:rsid w:val="00517A89"/>
    <w:rsid w:val="005250F2"/>
    <w:rsid w:val="00593EEA"/>
    <w:rsid w:val="005A5EEE"/>
    <w:rsid w:val="005A728C"/>
    <w:rsid w:val="006375C7"/>
    <w:rsid w:val="00654E8F"/>
    <w:rsid w:val="00660D05"/>
    <w:rsid w:val="006820B1"/>
    <w:rsid w:val="00697BD8"/>
    <w:rsid w:val="006B220A"/>
    <w:rsid w:val="006B7D14"/>
    <w:rsid w:val="006C03AE"/>
    <w:rsid w:val="00701727"/>
    <w:rsid w:val="0070566C"/>
    <w:rsid w:val="00714C50"/>
    <w:rsid w:val="00725A7D"/>
    <w:rsid w:val="007501BE"/>
    <w:rsid w:val="007510F8"/>
    <w:rsid w:val="00790BB3"/>
    <w:rsid w:val="007C206C"/>
    <w:rsid w:val="007C2D35"/>
    <w:rsid w:val="00803D24"/>
    <w:rsid w:val="00817DD6"/>
    <w:rsid w:val="00885156"/>
    <w:rsid w:val="008A720E"/>
    <w:rsid w:val="009151AA"/>
    <w:rsid w:val="0093429D"/>
    <w:rsid w:val="00943573"/>
    <w:rsid w:val="00970F7D"/>
    <w:rsid w:val="00994A3D"/>
    <w:rsid w:val="009C2B12"/>
    <w:rsid w:val="009C70F3"/>
    <w:rsid w:val="00A174D9"/>
    <w:rsid w:val="00A569CD"/>
    <w:rsid w:val="00A81FB7"/>
    <w:rsid w:val="00A87002"/>
    <w:rsid w:val="00A923E2"/>
    <w:rsid w:val="00AB6715"/>
    <w:rsid w:val="00B1671E"/>
    <w:rsid w:val="00B25EB8"/>
    <w:rsid w:val="00B354E1"/>
    <w:rsid w:val="00B37F4D"/>
    <w:rsid w:val="00BB7502"/>
    <w:rsid w:val="00C52A7B"/>
    <w:rsid w:val="00C56BAF"/>
    <w:rsid w:val="00C679AA"/>
    <w:rsid w:val="00C75972"/>
    <w:rsid w:val="00CC0A3A"/>
    <w:rsid w:val="00CD066B"/>
    <w:rsid w:val="00CE4FEE"/>
    <w:rsid w:val="00D23739"/>
    <w:rsid w:val="00DB59C3"/>
    <w:rsid w:val="00DC259A"/>
    <w:rsid w:val="00DE23E8"/>
    <w:rsid w:val="00DF7F77"/>
    <w:rsid w:val="00E07F46"/>
    <w:rsid w:val="00E52377"/>
    <w:rsid w:val="00E64E17"/>
    <w:rsid w:val="00E866C9"/>
    <w:rsid w:val="00EA3D3C"/>
    <w:rsid w:val="00EC2382"/>
    <w:rsid w:val="00F07A2B"/>
    <w:rsid w:val="00F27494"/>
    <w:rsid w:val="00F46900"/>
    <w:rsid w:val="00F61D89"/>
    <w:rsid w:val="00F71172"/>
    <w:rsid w:val="00F77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34</TotalTime>
  <Pages>6</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Claire Percival</cp:lastModifiedBy>
  <cp:revision>16</cp:revision>
  <cp:lastPrinted>2013-10-03T12:51:00Z</cp:lastPrinted>
  <dcterms:created xsi:type="dcterms:W3CDTF">2023-03-02T02:36:00Z</dcterms:created>
  <dcterms:modified xsi:type="dcterms:W3CDTF">2023-04-27T07:47:00Z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