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063F36" w:rsidRDefault="00654E8F" w:rsidP="0001436A">
      <w:pPr>
        <w:pStyle w:val="SupplementaryMaterial"/>
        <w:rPr>
          <w:b w:val="0"/>
        </w:rPr>
      </w:pPr>
      <w:r w:rsidRPr="00063F36">
        <w:t>Supplementary Material</w:t>
      </w:r>
    </w:p>
    <w:p w14:paraId="2FDAE677" w14:textId="77777777" w:rsidR="00063F36" w:rsidRPr="00063F36" w:rsidRDefault="00063F36" w:rsidP="00063F36">
      <w:pPr>
        <w:spacing w:line="480" w:lineRule="auto"/>
        <w:rPr>
          <w:rFonts w:eastAsia="Calibri" w:cs="Times New Roman"/>
          <w:b/>
          <w:szCs w:val="24"/>
        </w:rPr>
      </w:pPr>
      <w:r w:rsidRPr="00063F36">
        <w:rPr>
          <w:rFonts w:eastAsia="Times New Roman" w:cs="Times New Roman"/>
          <w:b/>
          <w:szCs w:val="24"/>
        </w:rPr>
        <w:t>Intermittent parathyroid hormone enhances the healing of medication-related osteonecrosis of the jaw lesions in rice rats</w:t>
      </w:r>
    </w:p>
    <w:p w14:paraId="7BC82CE2" w14:textId="77777777" w:rsidR="00063F36" w:rsidRPr="00063F36" w:rsidRDefault="00063F36" w:rsidP="00063F36">
      <w:pPr>
        <w:autoSpaceDE w:val="0"/>
        <w:autoSpaceDN w:val="0"/>
        <w:adjustRightInd w:val="0"/>
        <w:spacing w:after="0" w:line="480" w:lineRule="auto"/>
        <w:rPr>
          <w:rFonts w:eastAsia="Calibri" w:cs="Times New Roman"/>
          <w:szCs w:val="24"/>
        </w:rPr>
      </w:pPr>
      <w:r w:rsidRPr="00063F36">
        <w:rPr>
          <w:rFonts w:eastAsia="Calibri" w:cs="Times New Roman"/>
          <w:szCs w:val="24"/>
        </w:rPr>
        <w:t>E.J. Castillo</w:t>
      </w:r>
      <w:r w:rsidRPr="00063F36">
        <w:rPr>
          <w:rFonts w:eastAsia="Calibri" w:cs="Times New Roman"/>
          <w:szCs w:val="24"/>
          <w:vertAlign w:val="superscript"/>
        </w:rPr>
        <w:t>1</w:t>
      </w:r>
      <w:r w:rsidRPr="00063F36">
        <w:rPr>
          <w:rFonts w:eastAsia="Calibri" w:cs="Times New Roman"/>
          <w:szCs w:val="24"/>
        </w:rPr>
        <w:t>, J.M. Jiron</w:t>
      </w:r>
      <w:r w:rsidRPr="00063F36">
        <w:rPr>
          <w:rFonts w:eastAsia="Calibri" w:cs="Times New Roman"/>
          <w:szCs w:val="24"/>
          <w:vertAlign w:val="superscript"/>
        </w:rPr>
        <w:t>1</w:t>
      </w:r>
      <w:r w:rsidRPr="00063F36">
        <w:rPr>
          <w:rFonts w:eastAsia="Calibri" w:cs="Times New Roman"/>
          <w:szCs w:val="24"/>
        </w:rPr>
        <w:t>, C S. Croft</w:t>
      </w:r>
      <w:r w:rsidRPr="00063F36">
        <w:rPr>
          <w:rFonts w:eastAsia="Calibri" w:cs="Times New Roman"/>
          <w:szCs w:val="24"/>
          <w:vertAlign w:val="superscript"/>
        </w:rPr>
        <w:t>1</w:t>
      </w:r>
      <w:r w:rsidRPr="00063F36">
        <w:rPr>
          <w:rFonts w:eastAsia="Calibri" w:cs="Times New Roman"/>
          <w:szCs w:val="24"/>
        </w:rPr>
        <w:t>, D.G. Freehill</w:t>
      </w:r>
      <w:r w:rsidRPr="00063F36">
        <w:rPr>
          <w:rFonts w:eastAsia="Calibri" w:cs="Times New Roman"/>
          <w:szCs w:val="24"/>
          <w:vertAlign w:val="superscript"/>
        </w:rPr>
        <w:t>1</w:t>
      </w:r>
      <w:r w:rsidRPr="00063F36">
        <w:rPr>
          <w:rFonts w:eastAsia="Calibri" w:cs="Times New Roman"/>
          <w:szCs w:val="24"/>
        </w:rPr>
        <w:t>, C.M. Castillo</w:t>
      </w:r>
      <w:r w:rsidRPr="00063F36">
        <w:rPr>
          <w:rFonts w:eastAsia="Calibri" w:cs="Times New Roman"/>
          <w:szCs w:val="24"/>
          <w:vertAlign w:val="superscript"/>
        </w:rPr>
        <w:t>1</w:t>
      </w:r>
      <w:r w:rsidRPr="00063F36">
        <w:rPr>
          <w:rFonts w:eastAsia="Calibri" w:cs="Times New Roman"/>
          <w:szCs w:val="24"/>
        </w:rPr>
        <w:t>, J, Kura</w:t>
      </w:r>
      <w:r w:rsidRPr="00063F36">
        <w:rPr>
          <w:rFonts w:eastAsia="Calibri" w:cs="Times New Roman"/>
          <w:szCs w:val="24"/>
          <w:vertAlign w:val="superscript"/>
        </w:rPr>
        <w:t>2</w:t>
      </w:r>
      <w:r w:rsidRPr="00063F36">
        <w:rPr>
          <w:rFonts w:eastAsia="Calibri" w:cs="Times New Roman"/>
          <w:szCs w:val="24"/>
        </w:rPr>
        <w:t xml:space="preserve">, </w:t>
      </w:r>
      <w:r w:rsidRPr="00063F36">
        <w:rPr>
          <w:rFonts w:cs="Times New Roman"/>
          <w:noProof/>
          <w:szCs w:val="24"/>
        </w:rPr>
        <w:t xml:space="preserve">J.F. </w:t>
      </w:r>
      <w:r w:rsidRPr="00063F36">
        <w:rPr>
          <w:rFonts w:cs="Times New Roman"/>
          <w:szCs w:val="24"/>
        </w:rPr>
        <w:t>Yarrow</w:t>
      </w:r>
      <w:r w:rsidRPr="00063F36">
        <w:rPr>
          <w:rFonts w:cs="Times New Roman"/>
          <w:szCs w:val="24"/>
          <w:vertAlign w:val="superscript"/>
        </w:rPr>
        <w:t>2</w:t>
      </w:r>
      <w:r w:rsidRPr="00063F36">
        <w:rPr>
          <w:rFonts w:eastAsia="Calibri" w:cs="Times New Roman"/>
          <w:szCs w:val="24"/>
        </w:rPr>
        <w:t xml:space="preserve">, </w:t>
      </w:r>
      <w:r w:rsidRPr="00063F36">
        <w:rPr>
          <w:rFonts w:cs="Times New Roman"/>
          <w:noProof/>
          <w:szCs w:val="24"/>
        </w:rPr>
        <w:t>I. Bhattacharyya</w:t>
      </w:r>
      <w:r w:rsidRPr="00063F36">
        <w:rPr>
          <w:rFonts w:cs="Times New Roman"/>
          <w:noProof/>
          <w:szCs w:val="24"/>
          <w:vertAlign w:val="superscript"/>
        </w:rPr>
        <w:t>3</w:t>
      </w:r>
      <w:r w:rsidRPr="00063F36">
        <w:rPr>
          <w:rFonts w:cs="Times New Roman"/>
          <w:noProof/>
          <w:szCs w:val="24"/>
        </w:rPr>
        <w:t xml:space="preserve">, </w:t>
      </w:r>
      <w:r w:rsidRPr="00063F36">
        <w:rPr>
          <w:rFonts w:eastAsia="Calibri" w:cs="Times New Roman"/>
          <w:szCs w:val="24"/>
        </w:rPr>
        <w:t>D.B. Kimmel</w:t>
      </w:r>
      <w:r w:rsidRPr="00063F36">
        <w:rPr>
          <w:rFonts w:eastAsia="Calibri" w:cs="Times New Roman"/>
          <w:szCs w:val="24"/>
          <w:vertAlign w:val="superscript"/>
        </w:rPr>
        <w:t>1</w:t>
      </w:r>
      <w:r w:rsidRPr="00063F36">
        <w:rPr>
          <w:rFonts w:eastAsia="Calibri" w:cs="Times New Roman"/>
          <w:szCs w:val="24"/>
        </w:rPr>
        <w:t>, J.I. Aguirre</w:t>
      </w:r>
      <w:r w:rsidRPr="00063F36">
        <w:rPr>
          <w:rFonts w:eastAsia="Calibri" w:cs="Times New Roman"/>
          <w:szCs w:val="24"/>
          <w:vertAlign w:val="superscript"/>
        </w:rPr>
        <w:t>1*</w:t>
      </w:r>
    </w:p>
    <w:p w14:paraId="496EC925" w14:textId="77777777" w:rsidR="00063F36" w:rsidRPr="00063F36" w:rsidRDefault="00063F36" w:rsidP="00063F36">
      <w:pPr>
        <w:spacing w:after="0" w:line="480" w:lineRule="auto"/>
        <w:rPr>
          <w:rFonts w:eastAsia="Calibri" w:cs="Times New Roman"/>
          <w:szCs w:val="24"/>
          <w:vertAlign w:val="superscript"/>
        </w:rPr>
      </w:pPr>
    </w:p>
    <w:p w14:paraId="3A2771C6" w14:textId="77777777" w:rsidR="00063F36" w:rsidRPr="00063F36" w:rsidRDefault="00063F36" w:rsidP="00063F36">
      <w:pPr>
        <w:spacing w:after="0" w:line="480" w:lineRule="auto"/>
        <w:contextualSpacing/>
        <w:rPr>
          <w:rFonts w:eastAsia="Calibri" w:cs="Times New Roman"/>
          <w:szCs w:val="24"/>
        </w:rPr>
      </w:pPr>
      <w:bookmarkStart w:id="0" w:name="_Hlk127346269"/>
      <w:r w:rsidRPr="00063F36">
        <w:rPr>
          <w:rFonts w:eastAsia="Calibri" w:cs="Times New Roman"/>
          <w:szCs w:val="24"/>
          <w:vertAlign w:val="superscript"/>
        </w:rPr>
        <w:t xml:space="preserve">1 </w:t>
      </w:r>
      <w:r w:rsidRPr="00063F36">
        <w:rPr>
          <w:rFonts w:eastAsia="Calibri" w:cs="Times New Roman"/>
          <w:szCs w:val="24"/>
        </w:rPr>
        <w:t xml:space="preserve">Department of Physiological Sciences, University of Florida (UF), Gainesville, FL; </w:t>
      </w:r>
    </w:p>
    <w:p w14:paraId="164490E6" w14:textId="77777777" w:rsidR="00063F36" w:rsidRPr="00063F36" w:rsidRDefault="00063F36" w:rsidP="00063F36">
      <w:pPr>
        <w:spacing w:after="0" w:line="480" w:lineRule="auto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  <w:vertAlign w:val="superscript"/>
        </w:rPr>
        <w:t xml:space="preserve">2 </w:t>
      </w:r>
      <w:r w:rsidRPr="00063F36">
        <w:rPr>
          <w:rFonts w:cs="Times New Roman"/>
          <w:szCs w:val="24"/>
        </w:rPr>
        <w:t>VA Medical Center, Research Service, VA Medical Center, Gainesville, FL.</w:t>
      </w:r>
    </w:p>
    <w:p w14:paraId="5F778478" w14:textId="77777777" w:rsidR="00063F36" w:rsidRPr="00063F36" w:rsidRDefault="00063F36" w:rsidP="00063F36">
      <w:pPr>
        <w:spacing w:after="0" w:line="480" w:lineRule="auto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  <w:vertAlign w:val="superscript"/>
        </w:rPr>
        <w:t xml:space="preserve">3 </w:t>
      </w:r>
      <w:r w:rsidRPr="00063F36">
        <w:rPr>
          <w:rFonts w:cs="Times New Roman"/>
          <w:szCs w:val="24"/>
        </w:rPr>
        <w:t>Department of Oral &amp; Maxillofacial Diagnostic Sciences, College of Dentistry, UF</w:t>
      </w:r>
      <w:r w:rsidRPr="00063F36" w:rsidDel="00405A10">
        <w:rPr>
          <w:rFonts w:cs="Times New Roman"/>
          <w:szCs w:val="24"/>
        </w:rPr>
        <w:t xml:space="preserve"> </w:t>
      </w:r>
    </w:p>
    <w:p w14:paraId="0721E349" w14:textId="77777777" w:rsidR="00063F36" w:rsidRPr="00063F36" w:rsidRDefault="00063F36" w:rsidP="00063F36">
      <w:pPr>
        <w:spacing w:after="0" w:line="480" w:lineRule="auto"/>
        <w:contextualSpacing/>
        <w:rPr>
          <w:rFonts w:cs="Times New Roman"/>
          <w:szCs w:val="24"/>
        </w:rPr>
      </w:pPr>
    </w:p>
    <w:p w14:paraId="3A192C61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* Please address correspondence to:</w:t>
      </w:r>
    </w:p>
    <w:p w14:paraId="72C85C4D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J. Ignacio Aguirre, D.V.M., Ph.D., DACLAM</w:t>
      </w:r>
    </w:p>
    <w:p w14:paraId="0B89F8BA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Department of Physiological Sciences</w:t>
      </w:r>
    </w:p>
    <w:p w14:paraId="4717A9B2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Box 100144, JHMHC</w:t>
      </w:r>
    </w:p>
    <w:p w14:paraId="71D5FF5B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University of Florida</w:t>
      </w:r>
    </w:p>
    <w:p w14:paraId="39B24344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Gainesville, FL 32610</w:t>
      </w:r>
    </w:p>
    <w:p w14:paraId="06CB4F43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Telephone: (352) 294-4038</w:t>
      </w:r>
    </w:p>
    <w:p w14:paraId="40AC82B9" w14:textId="77777777" w:rsidR="00063F36" w:rsidRPr="00063F36" w:rsidRDefault="00063F36" w:rsidP="00063F36">
      <w:pPr>
        <w:spacing w:after="0"/>
        <w:contextualSpacing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FAX: (352) 392-5145</w:t>
      </w:r>
    </w:p>
    <w:p w14:paraId="351FD4B1" w14:textId="77777777" w:rsidR="00063F36" w:rsidRPr="00063F36" w:rsidRDefault="00063F36" w:rsidP="00063F36">
      <w:pPr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 xml:space="preserve">E-mail: </w:t>
      </w:r>
      <w:hyperlink r:id="rId12" w:history="1">
        <w:r w:rsidRPr="00063F36">
          <w:rPr>
            <w:rStyle w:val="Hyperlink"/>
            <w:rFonts w:cs="Times New Roman"/>
            <w:szCs w:val="24"/>
          </w:rPr>
          <w:t>aguirrej@ufl.edu</w:t>
        </w:r>
      </w:hyperlink>
    </w:p>
    <w:bookmarkEnd w:id="0"/>
    <w:p w14:paraId="6CC79E27" w14:textId="410B23D9" w:rsidR="00727DBA" w:rsidRPr="00063F36" w:rsidRDefault="00727DBA" w:rsidP="00063F36">
      <w:pPr>
        <w:spacing w:line="480" w:lineRule="auto"/>
        <w:rPr>
          <w:rFonts w:cs="Times New Roman"/>
          <w:szCs w:val="24"/>
        </w:rPr>
      </w:pPr>
    </w:p>
    <w:p w14:paraId="636B020A" w14:textId="1B3A1B0B" w:rsidR="00727DBA" w:rsidRPr="00063F36" w:rsidRDefault="00727DBA" w:rsidP="0097429A">
      <w:pPr>
        <w:rPr>
          <w:rFonts w:cs="Times New Roman"/>
          <w:szCs w:val="24"/>
        </w:rPr>
      </w:pPr>
    </w:p>
    <w:p w14:paraId="1F2C2D92" w14:textId="7CDCF2D5" w:rsidR="00727DBA" w:rsidRPr="00063F36" w:rsidRDefault="00727DBA" w:rsidP="0097429A">
      <w:pPr>
        <w:rPr>
          <w:rFonts w:cs="Times New Roman"/>
          <w:szCs w:val="24"/>
        </w:rPr>
      </w:pPr>
    </w:p>
    <w:p w14:paraId="435CC971" w14:textId="59A8DBD3" w:rsidR="00727DBA" w:rsidRPr="00063F36" w:rsidRDefault="00727DBA" w:rsidP="0097429A">
      <w:pPr>
        <w:rPr>
          <w:rFonts w:cs="Times New Roman"/>
          <w:szCs w:val="24"/>
        </w:rPr>
      </w:pPr>
    </w:p>
    <w:p w14:paraId="3E061D72" w14:textId="0BA4788E" w:rsidR="00727DBA" w:rsidRPr="00063F36" w:rsidRDefault="00727DBA" w:rsidP="0097429A">
      <w:pPr>
        <w:rPr>
          <w:rFonts w:cs="Times New Roman"/>
          <w:szCs w:val="24"/>
        </w:rPr>
      </w:pPr>
    </w:p>
    <w:p w14:paraId="3FB1A6C5" w14:textId="1D579C79" w:rsidR="00727DBA" w:rsidRPr="00063F36" w:rsidRDefault="00727DBA" w:rsidP="0097429A">
      <w:pPr>
        <w:rPr>
          <w:rFonts w:cs="Times New Roman"/>
          <w:szCs w:val="24"/>
        </w:rPr>
      </w:pPr>
    </w:p>
    <w:p w14:paraId="451A9DAE" w14:textId="2920003E" w:rsidR="00727DBA" w:rsidRPr="00063F36" w:rsidRDefault="00727DBA" w:rsidP="0097429A">
      <w:pPr>
        <w:rPr>
          <w:rFonts w:cs="Times New Roman"/>
          <w:szCs w:val="24"/>
        </w:rPr>
      </w:pPr>
    </w:p>
    <w:p w14:paraId="05A3316A" w14:textId="77777777" w:rsidR="00727DBA" w:rsidRPr="00063F36" w:rsidRDefault="00727DBA" w:rsidP="00727DBA">
      <w:pPr>
        <w:spacing w:after="200" w:line="480" w:lineRule="auto"/>
        <w:rPr>
          <w:rFonts w:cs="Times New Roman"/>
        </w:rPr>
      </w:pPr>
      <w:r w:rsidRPr="00063F36">
        <w:rPr>
          <w:rFonts w:cs="Times New Roman"/>
          <w:b/>
          <w:bCs/>
        </w:rPr>
        <w:lastRenderedPageBreak/>
        <w:t>Supplemental Table 1. Criteria for Gross Quadrant Grades (</w:t>
      </w:r>
      <w:r w:rsidRPr="00063F36">
        <w:rPr>
          <w:rFonts w:cs="Times New Roman"/>
          <w:b/>
          <w:bCs/>
          <w:i/>
        </w:rPr>
        <w:t>GQG</w:t>
      </w:r>
      <w:r w:rsidRPr="00063F36">
        <w:rPr>
          <w:rFonts w:cs="Times New Roman"/>
          <w:b/>
          <w:bCs/>
        </w:rPr>
        <w:t>)</w:t>
      </w:r>
    </w:p>
    <w:tbl>
      <w:tblPr>
        <w:tblW w:w="9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152"/>
        <w:gridCol w:w="7056"/>
      </w:tblGrid>
      <w:tr w:rsidR="00727DBA" w:rsidRPr="00063F36" w14:paraId="1537D434" w14:textId="77777777" w:rsidTr="00E57819">
        <w:trPr>
          <w:trHeight w:val="360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</w:tcPr>
          <w:p w14:paraId="60AB54D2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  <w:b/>
              </w:rPr>
            </w:pPr>
            <w:r w:rsidRPr="00063F36">
              <w:rPr>
                <w:rFonts w:cs="Times New Roman"/>
                <w:b/>
              </w:rPr>
              <w:t>GQG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27E1E7AA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  <w:b/>
              </w:rPr>
            </w:pPr>
            <w:r w:rsidRPr="00063F36">
              <w:rPr>
                <w:rFonts w:cs="Times New Roman"/>
                <w:b/>
                <w:bCs/>
              </w:rPr>
              <w:t>Degree</w:t>
            </w:r>
          </w:p>
        </w:tc>
        <w:tc>
          <w:tcPr>
            <w:tcW w:w="70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20812366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  <w:b/>
              </w:rPr>
            </w:pPr>
            <w:r w:rsidRPr="00063F36">
              <w:rPr>
                <w:rFonts w:cs="Times New Roman"/>
                <w:b/>
                <w:bCs/>
              </w:rPr>
              <w:t>Gross Lesion Description</w:t>
            </w:r>
          </w:p>
        </w:tc>
      </w:tr>
      <w:tr w:rsidR="00727DBA" w:rsidRPr="00063F36" w14:paraId="1AF8659D" w14:textId="77777777" w:rsidTr="00E57819">
        <w:trPr>
          <w:trHeight w:val="344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19D481B2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</w:rPr>
            </w:pPr>
            <w:r w:rsidRPr="00063F36">
              <w:rPr>
                <w:rFonts w:cs="Times New Roman"/>
                <w:b/>
                <w:bCs/>
              </w:rPr>
              <w:t>0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088042FD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Absence</w:t>
            </w:r>
          </w:p>
        </w:tc>
        <w:tc>
          <w:tcPr>
            <w:tcW w:w="70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3B9695AA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None</w:t>
            </w:r>
          </w:p>
        </w:tc>
      </w:tr>
      <w:tr w:rsidR="00727DBA" w:rsidRPr="00063F36" w14:paraId="260CCCD0" w14:textId="77777777" w:rsidTr="00E57819">
        <w:trPr>
          <w:trHeight w:val="344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</w:tcPr>
          <w:p w14:paraId="465EFD1E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  <w:b/>
                <w:bCs/>
              </w:rPr>
            </w:pPr>
            <w:r w:rsidRPr="00063F36">
              <w:rPr>
                <w:rFonts w:cs="Times New Roman"/>
                <w:b/>
                <w:bCs/>
              </w:rPr>
              <w:t>0.5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</w:tcPr>
          <w:p w14:paraId="452153DF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Incipient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</w:tcPr>
          <w:p w14:paraId="2A9B6209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ind w:left="173" w:hanging="144"/>
              <w:rPr>
                <w:rFonts w:cs="Times New Roman"/>
              </w:rPr>
            </w:pPr>
            <w:r w:rsidRPr="00063F36">
              <w:rPr>
                <w:rFonts w:cs="Times New Roman"/>
              </w:rPr>
              <w:t xml:space="preserve">Hair strands and food particles in an interdental space with no soft tissue inflammation. </w:t>
            </w:r>
          </w:p>
        </w:tc>
      </w:tr>
      <w:tr w:rsidR="00727DBA" w:rsidRPr="00063F36" w14:paraId="0E4AA916" w14:textId="77777777" w:rsidTr="00E57819">
        <w:trPr>
          <w:trHeight w:val="864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5419FD5C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</w:rPr>
            </w:pPr>
            <w:r w:rsidRPr="00063F36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04199C4D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Slight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658DDC55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ind w:left="173" w:hanging="144"/>
              <w:rPr>
                <w:rFonts w:cs="Times New Roman"/>
              </w:rPr>
            </w:pPr>
            <w:r w:rsidRPr="00063F36">
              <w:rPr>
                <w:rFonts w:cs="Times New Roman"/>
              </w:rPr>
              <w:t>A discrete lesion in an interdental space; minimal gingival recession; impacted materials (hair, food debris); inflammation at the margin of impacted materials.</w:t>
            </w:r>
          </w:p>
        </w:tc>
      </w:tr>
      <w:tr w:rsidR="00727DBA" w:rsidRPr="00063F36" w14:paraId="7A6FCBD7" w14:textId="77777777" w:rsidTr="00E57819">
        <w:trPr>
          <w:trHeight w:val="1584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61455C4D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</w:rPr>
            </w:pPr>
            <w:r w:rsidRPr="00063F36">
              <w:rPr>
                <w:rFonts w:cs="Times New Roman"/>
                <w:b/>
                <w:bCs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3CF2CF5D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Mild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4A09F103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ind w:left="173" w:hanging="144"/>
              <w:rPr>
                <w:rFonts w:cs="Times New Roman"/>
              </w:rPr>
            </w:pPr>
            <w:r w:rsidRPr="00063F36">
              <w:rPr>
                <w:rFonts w:cs="Times New Roman"/>
              </w:rPr>
              <w:t xml:space="preserve">Single open wound lesion in an interdental space with ulceration/ recession of lingual gingiva along 1/2 to 2/3 the lingual gingival margin of one involved molar; limited extension into the lingual mucosa; inflammation/swelling/redness at the margin of impacted material; or presence of two separate </w:t>
            </w:r>
            <w:r w:rsidRPr="00063F36">
              <w:rPr>
                <w:rFonts w:cs="Times New Roman"/>
                <w:i/>
              </w:rPr>
              <w:t>GQG</w:t>
            </w:r>
            <w:r w:rsidRPr="00063F36">
              <w:rPr>
                <w:rFonts w:cs="Times New Roman"/>
              </w:rPr>
              <w:t xml:space="preserve">=1 </w:t>
            </w:r>
            <w:proofErr w:type="gramStart"/>
            <w:r w:rsidRPr="00063F36">
              <w:rPr>
                <w:rFonts w:cs="Times New Roman"/>
              </w:rPr>
              <w:t>lesions</w:t>
            </w:r>
            <w:proofErr w:type="gramEnd"/>
            <w:r w:rsidRPr="00063F36">
              <w:rPr>
                <w:rFonts w:cs="Times New Roman"/>
              </w:rPr>
              <w:t xml:space="preserve"> (one always lingual, the other lingual or buccal) in the same quadrant.</w:t>
            </w:r>
          </w:p>
        </w:tc>
      </w:tr>
      <w:tr w:rsidR="00727DBA" w:rsidRPr="00063F36" w14:paraId="1982A66A" w14:textId="77777777" w:rsidTr="00E57819">
        <w:trPr>
          <w:trHeight w:val="1296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2DEBE973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</w:rPr>
            </w:pPr>
            <w:r w:rsidRPr="00063F36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4E679B72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Moderate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77C346DE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ind w:left="173" w:hanging="144"/>
              <w:rPr>
                <w:rFonts w:cs="Times New Roman"/>
              </w:rPr>
            </w:pPr>
            <w:r w:rsidRPr="00063F36">
              <w:rPr>
                <w:rFonts w:cs="Times New Roman"/>
              </w:rPr>
              <w:t>Open wound involving gingival recession/ulceration along the entire lingual gingival margin of two molars; ulceration extending into lingual mucosa towards the midline in the maxilla or onto the lingual plate (mandible); inflammation/ swelling/redness at the margin of impacted material; possible involvement of buccal mucosa.</w:t>
            </w:r>
          </w:p>
        </w:tc>
      </w:tr>
      <w:tr w:rsidR="00727DBA" w:rsidRPr="00063F36" w14:paraId="793EB19F" w14:textId="77777777" w:rsidTr="00E57819">
        <w:trPr>
          <w:trHeight w:val="1152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4436FC69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jc w:val="center"/>
              <w:rPr>
                <w:rFonts w:cs="Times New Roman"/>
              </w:rPr>
            </w:pPr>
            <w:r w:rsidRPr="00063F36"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0C7E2210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rPr>
                <w:rFonts w:cs="Times New Roman"/>
              </w:rPr>
            </w:pPr>
            <w:r w:rsidRPr="00063F36">
              <w:rPr>
                <w:rFonts w:cs="Times New Roman"/>
              </w:rPr>
              <w:t>Severe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13" w:type="dxa"/>
              <w:left w:w="99" w:type="dxa"/>
              <w:bottom w:w="0" w:type="dxa"/>
              <w:right w:w="99" w:type="dxa"/>
            </w:tcMar>
            <w:hideMark/>
          </w:tcPr>
          <w:p w14:paraId="5DED7216" w14:textId="77777777" w:rsidR="00727DBA" w:rsidRPr="00063F36" w:rsidRDefault="00727DBA" w:rsidP="00E57819">
            <w:pPr>
              <w:tabs>
                <w:tab w:val="left" w:pos="1260"/>
              </w:tabs>
              <w:spacing w:after="0"/>
              <w:ind w:left="173" w:hanging="144"/>
              <w:rPr>
                <w:rFonts w:cs="Times New Roman"/>
              </w:rPr>
            </w:pPr>
            <w:r w:rsidRPr="00063F36">
              <w:rPr>
                <w:rFonts w:cs="Times New Roman"/>
              </w:rPr>
              <w:t>Open wound involving gingival recession/ulceration around all three molars; ulceration extending into lingual mucosa toward the midline in the maxilla or onto the lingual plate (mandible) and the buccal mucosa; marked gingival inflammation/swelling/ redness along the lingual gingival margin of all molars; possible tooth migration or loss.</w:t>
            </w:r>
          </w:p>
        </w:tc>
      </w:tr>
    </w:tbl>
    <w:p w14:paraId="753115B9" w14:textId="77777777" w:rsidR="00727DBA" w:rsidRPr="00063F36" w:rsidRDefault="00727DBA" w:rsidP="00727DBA">
      <w:pPr>
        <w:rPr>
          <w:rFonts w:cs="Times New Roman"/>
        </w:rPr>
      </w:pPr>
    </w:p>
    <w:p w14:paraId="66D72536" w14:textId="66BB690C" w:rsidR="00E86B27" w:rsidRPr="00063F36" w:rsidRDefault="00E86B27" w:rsidP="0097429A">
      <w:pPr>
        <w:rPr>
          <w:rFonts w:cs="Times New Roman"/>
          <w:szCs w:val="24"/>
        </w:rPr>
      </w:pPr>
    </w:p>
    <w:p w14:paraId="3EB9E8CC" w14:textId="7D24A21D" w:rsidR="00E86B27" w:rsidRPr="00063F36" w:rsidRDefault="00E86B27" w:rsidP="0097429A">
      <w:pPr>
        <w:rPr>
          <w:rFonts w:cs="Times New Roman"/>
          <w:szCs w:val="24"/>
        </w:rPr>
      </w:pPr>
    </w:p>
    <w:p w14:paraId="016C21BC" w14:textId="77777777" w:rsidR="00E86B27" w:rsidRPr="00063F36" w:rsidRDefault="00E86B27" w:rsidP="0097429A">
      <w:pPr>
        <w:rPr>
          <w:rFonts w:cs="Times New Roman"/>
          <w:szCs w:val="24"/>
        </w:rPr>
      </w:pPr>
    </w:p>
    <w:p w14:paraId="4C4DA42D" w14:textId="487BE7C7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  <w:szCs w:val="24"/>
        </w:rPr>
      </w:pPr>
    </w:p>
    <w:p w14:paraId="22BC20C6" w14:textId="506C6CB7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4D8B4378" w14:textId="26D8DB1F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39D16395" w14:textId="325AD891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064DA4FB" w14:textId="19D97F1C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13125331" w14:textId="410E4CA7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5C9F71F1" w14:textId="685B0D6D" w:rsidR="0097429A" w:rsidRPr="00063F36" w:rsidRDefault="0015030C" w:rsidP="0097429A">
      <w:pPr>
        <w:tabs>
          <w:tab w:val="left" w:pos="360"/>
        </w:tabs>
        <w:spacing w:after="0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081EEE49" wp14:editId="25A81846">
            <wp:extent cx="6096000" cy="4068224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2E91D78-0784-4CDE-AE89-B0DD78FC5A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2E91D78-0784-4CDE-AE89-B0DD78FC5A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200" cy="40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BE0A" w14:textId="77777777" w:rsidR="00DC6CDE" w:rsidRDefault="00DC6CDE" w:rsidP="00063F36">
      <w:pPr>
        <w:tabs>
          <w:tab w:val="left" w:pos="360"/>
        </w:tabs>
        <w:spacing w:after="0" w:line="480" w:lineRule="auto"/>
        <w:rPr>
          <w:rFonts w:cs="Times New Roman"/>
          <w:b/>
        </w:rPr>
      </w:pPr>
    </w:p>
    <w:p w14:paraId="1C2447F3" w14:textId="5DC13BDF" w:rsidR="00063F36" w:rsidRPr="00063F36" w:rsidRDefault="00063F36" w:rsidP="00063F36">
      <w:pPr>
        <w:tabs>
          <w:tab w:val="left" w:pos="360"/>
        </w:tabs>
        <w:spacing w:after="0" w:line="480" w:lineRule="auto"/>
        <w:rPr>
          <w:rFonts w:cs="Times New Roman"/>
          <w:b/>
        </w:rPr>
      </w:pPr>
      <w:r w:rsidRPr="00063F36">
        <w:rPr>
          <w:rFonts w:cs="Times New Roman"/>
          <w:b/>
        </w:rPr>
        <w:t xml:space="preserve">Supplemental Figure 1. </w:t>
      </w:r>
    </w:p>
    <w:p w14:paraId="3025C5FE" w14:textId="7C16C0EA" w:rsidR="0097429A" w:rsidRPr="00063F36" w:rsidRDefault="00E86B27" w:rsidP="00063F36">
      <w:pPr>
        <w:tabs>
          <w:tab w:val="left" w:pos="360"/>
        </w:tabs>
        <w:spacing w:after="0" w:line="480" w:lineRule="auto"/>
        <w:rPr>
          <w:rFonts w:cs="Times New Roman"/>
          <w:szCs w:val="24"/>
        </w:rPr>
      </w:pPr>
      <w:r w:rsidRPr="00063F36">
        <w:rPr>
          <w:rFonts w:cs="Times New Roman"/>
          <w:b/>
        </w:rPr>
        <w:t>Experimental Design</w:t>
      </w:r>
      <w:r w:rsidR="00063F36" w:rsidRPr="00063F36">
        <w:rPr>
          <w:rFonts w:cs="Times New Roman"/>
          <w:b/>
        </w:rPr>
        <w:t xml:space="preserve">. </w:t>
      </w:r>
      <w:r w:rsidR="0097429A" w:rsidRPr="00063F36">
        <w:rPr>
          <w:rFonts w:cs="Times New Roman"/>
          <w:szCs w:val="24"/>
        </w:rPr>
        <w:t xml:space="preserve">Eighty-four rice rats of both genders, age 4 </w:t>
      </w:r>
      <w:proofErr w:type="spellStart"/>
      <w:r w:rsidR="0097429A" w:rsidRPr="00063F36">
        <w:rPr>
          <w:rFonts w:cs="Times New Roman"/>
          <w:szCs w:val="24"/>
        </w:rPr>
        <w:t>wks</w:t>
      </w:r>
      <w:proofErr w:type="spellEnd"/>
      <w:r w:rsidR="0097429A" w:rsidRPr="00063F36">
        <w:rPr>
          <w:rFonts w:cs="Times New Roman"/>
          <w:szCs w:val="24"/>
        </w:rPr>
        <w:t xml:space="preserve">, were fed a standard (STD) </w:t>
      </w:r>
      <w:r w:rsidR="0015030C">
        <w:rPr>
          <w:rFonts w:cs="Times New Roman"/>
          <w:szCs w:val="24"/>
        </w:rPr>
        <w:t>rodent chow diet</w:t>
      </w:r>
      <w:r w:rsidR="0097429A" w:rsidRPr="00063F36">
        <w:rPr>
          <w:rFonts w:cs="Times New Roman"/>
          <w:szCs w:val="24"/>
        </w:rPr>
        <w:t xml:space="preserve"> to induce localized periodontitis. Animals were then randomized to receive either 0.9% VEH saline or zoledronic acid, ZOL (80 µg/kg BW) intravenously (IV) q 4 </w:t>
      </w:r>
      <w:proofErr w:type="spellStart"/>
      <w:r w:rsidR="0097429A" w:rsidRPr="00063F36">
        <w:rPr>
          <w:rFonts w:cs="Times New Roman"/>
          <w:szCs w:val="24"/>
        </w:rPr>
        <w:t>wks</w:t>
      </w:r>
      <w:proofErr w:type="spellEnd"/>
      <w:r w:rsidR="0097429A" w:rsidRPr="00063F36">
        <w:rPr>
          <w:rFonts w:cs="Times New Roman"/>
          <w:szCs w:val="24"/>
        </w:rPr>
        <w:t xml:space="preserve"> until the end of the study. </w:t>
      </w:r>
      <w:r w:rsidR="0097429A" w:rsidRPr="00063F36">
        <w:rPr>
          <w:rFonts w:cs="Times New Roman"/>
          <w:color w:val="000000" w:themeColor="text1"/>
          <w:szCs w:val="24"/>
        </w:rPr>
        <w:t xml:space="preserve">Oral exams were performed biweekly in all rats to determine </w:t>
      </w:r>
      <w:r w:rsidR="00063F36">
        <w:rPr>
          <w:rFonts w:cs="Times New Roman"/>
          <w:color w:val="000000" w:themeColor="text1"/>
          <w:szCs w:val="24"/>
        </w:rPr>
        <w:t xml:space="preserve">the </w:t>
      </w:r>
      <w:r w:rsidR="0097429A" w:rsidRPr="00063F36">
        <w:rPr>
          <w:rFonts w:cs="Times New Roman"/>
          <w:szCs w:val="24"/>
        </w:rPr>
        <w:t xml:space="preserve">occurrence and progression </w:t>
      </w:r>
      <w:r w:rsidR="0097429A" w:rsidRPr="00063F36">
        <w:rPr>
          <w:rFonts w:cs="Times New Roman"/>
          <w:color w:val="000000" w:themeColor="text1"/>
          <w:szCs w:val="24"/>
        </w:rPr>
        <w:t>of lesions.</w:t>
      </w:r>
      <w:r w:rsidR="0097429A" w:rsidRPr="00063F36">
        <w:rPr>
          <w:rFonts w:cs="Times New Roman"/>
          <w:szCs w:val="24"/>
        </w:rPr>
        <w:t xml:space="preserve"> The oral lesion induction period was ~30±10wks.</w:t>
      </w:r>
      <w:r w:rsidR="0097429A" w:rsidRPr="00063F36">
        <w:rPr>
          <w:rFonts w:cs="Times New Roman"/>
          <w:color w:val="000000" w:themeColor="text1"/>
          <w:szCs w:val="24"/>
        </w:rPr>
        <w:t xml:space="preserve"> </w:t>
      </w:r>
      <w:r w:rsidR="0097429A" w:rsidRPr="00063F36">
        <w:rPr>
          <w:rFonts w:cs="Times New Roman"/>
          <w:szCs w:val="24"/>
        </w:rPr>
        <w:t>VEH-treated rice rats only developed maxillary localized periodontitis. Rats that developed periodontitis and were treated with ZOL had lesions that evolved into MRONJ-like lesions at the end of the induction period. VEH and ZOL</w:t>
      </w:r>
      <w:r w:rsidR="00063F36">
        <w:rPr>
          <w:rFonts w:cs="Times New Roman"/>
          <w:szCs w:val="24"/>
        </w:rPr>
        <w:t>-</w:t>
      </w:r>
      <w:r w:rsidR="0097429A" w:rsidRPr="00063F36">
        <w:rPr>
          <w:rFonts w:cs="Times New Roman"/>
          <w:szCs w:val="24"/>
        </w:rPr>
        <w:t>treated rats with PD or MRONJ-like lesions were further randomized into subgroups. The VEH-treated rice rats were further randomized into two subsets: one subset received 0.9% saline (</w:t>
      </w:r>
      <w:r w:rsidR="0097429A" w:rsidRPr="00063F36">
        <w:rPr>
          <w:rFonts w:cs="Times New Roman"/>
          <w:b/>
          <w:i/>
          <w:szCs w:val="24"/>
        </w:rPr>
        <w:t>VEH/VEH</w:t>
      </w:r>
      <w:r w:rsidR="0097429A" w:rsidRPr="00063F36">
        <w:rPr>
          <w:rFonts w:cs="Times New Roman"/>
          <w:szCs w:val="24"/>
        </w:rPr>
        <w:t>), and the other subset received human PTH (1-34; teriparatide; 40μg/Kg [</w:t>
      </w:r>
      <w:proofErr w:type="spellStart"/>
      <w:r w:rsidR="0097429A" w:rsidRPr="00063F36">
        <w:rPr>
          <w:rFonts w:cs="Times New Roman"/>
          <w:szCs w:val="24"/>
        </w:rPr>
        <w:t>Bachem</w:t>
      </w:r>
      <w:proofErr w:type="spellEnd"/>
      <w:r w:rsidR="0097429A" w:rsidRPr="00063F36">
        <w:rPr>
          <w:rFonts w:cs="Times New Roman"/>
          <w:szCs w:val="24"/>
        </w:rPr>
        <w:t xml:space="preserve">, </w:t>
      </w:r>
      <w:r w:rsidR="0097429A" w:rsidRPr="00063F36">
        <w:rPr>
          <w:rFonts w:cs="Times New Roman"/>
          <w:szCs w:val="24"/>
        </w:rPr>
        <w:lastRenderedPageBreak/>
        <w:t xml:space="preserve">Torrance, CA, USA] subcutaneously (SC) 3 times/wk for 6 </w:t>
      </w:r>
      <w:proofErr w:type="spellStart"/>
      <w:r w:rsidR="0097429A" w:rsidRPr="00063F36">
        <w:rPr>
          <w:rFonts w:cs="Times New Roman"/>
          <w:szCs w:val="24"/>
        </w:rPr>
        <w:t>wks</w:t>
      </w:r>
      <w:proofErr w:type="spellEnd"/>
      <w:r w:rsidR="0097429A" w:rsidRPr="00063F36">
        <w:rPr>
          <w:rFonts w:cs="Times New Roman"/>
          <w:szCs w:val="24"/>
        </w:rPr>
        <w:t xml:space="preserve"> (</w:t>
      </w:r>
      <w:r w:rsidR="0097429A" w:rsidRPr="00063F36">
        <w:rPr>
          <w:rFonts w:cs="Times New Roman"/>
          <w:b/>
          <w:i/>
          <w:szCs w:val="24"/>
        </w:rPr>
        <w:t>VEH/PTH</w:t>
      </w:r>
      <w:r w:rsidR="0097429A" w:rsidRPr="00063F36">
        <w:rPr>
          <w:rFonts w:cs="Times New Roman"/>
          <w:szCs w:val="24"/>
        </w:rPr>
        <w:t>). The ZOL-treated rice rats with MRONJ-like lesions were also further randomized into two subsets:</w:t>
      </w:r>
      <w:bookmarkStart w:id="1" w:name="_Hlk113350004"/>
      <w:r w:rsidR="0097429A" w:rsidRPr="00063F36">
        <w:rPr>
          <w:rFonts w:cs="Times New Roman"/>
          <w:szCs w:val="24"/>
        </w:rPr>
        <w:t xml:space="preserve"> </w:t>
      </w:r>
      <w:bookmarkEnd w:id="1"/>
      <w:r w:rsidR="0097429A" w:rsidRPr="00063F36">
        <w:rPr>
          <w:rFonts w:cs="Times New Roman"/>
          <w:szCs w:val="24"/>
        </w:rPr>
        <w:t xml:space="preserve">One subset received 0.9% saline SC 3 times/wk for 6 </w:t>
      </w:r>
      <w:proofErr w:type="spellStart"/>
      <w:r w:rsidR="0097429A" w:rsidRPr="00063F36">
        <w:rPr>
          <w:rFonts w:cs="Times New Roman"/>
          <w:szCs w:val="24"/>
        </w:rPr>
        <w:t>wks</w:t>
      </w:r>
      <w:proofErr w:type="spellEnd"/>
      <w:r w:rsidR="0097429A" w:rsidRPr="00063F36">
        <w:rPr>
          <w:rFonts w:cs="Times New Roman"/>
          <w:szCs w:val="24"/>
        </w:rPr>
        <w:t xml:space="preserve"> (</w:t>
      </w:r>
      <w:r w:rsidR="0097429A" w:rsidRPr="00063F36">
        <w:rPr>
          <w:rFonts w:cs="Times New Roman"/>
          <w:b/>
          <w:i/>
          <w:szCs w:val="24"/>
        </w:rPr>
        <w:t>ZOL/VEH)</w:t>
      </w:r>
      <w:r w:rsidR="0097429A" w:rsidRPr="00063F36">
        <w:rPr>
          <w:rFonts w:cs="Times New Roman"/>
          <w:szCs w:val="24"/>
        </w:rPr>
        <w:t xml:space="preserve">. The other subset received PTH SC 3 times/wk for 6 </w:t>
      </w:r>
      <w:proofErr w:type="spellStart"/>
      <w:r w:rsidR="0097429A" w:rsidRPr="00063F36">
        <w:rPr>
          <w:rFonts w:cs="Times New Roman"/>
          <w:szCs w:val="24"/>
        </w:rPr>
        <w:t>wks</w:t>
      </w:r>
      <w:proofErr w:type="spellEnd"/>
      <w:r w:rsidR="0097429A" w:rsidRPr="00063F36">
        <w:rPr>
          <w:rFonts w:cs="Times New Roman"/>
          <w:szCs w:val="24"/>
        </w:rPr>
        <w:t xml:space="preserve"> (</w:t>
      </w:r>
      <w:r w:rsidR="0097429A" w:rsidRPr="00063F36">
        <w:rPr>
          <w:rFonts w:cs="Times New Roman"/>
          <w:b/>
          <w:i/>
          <w:szCs w:val="24"/>
        </w:rPr>
        <w:t>ZOL/PTH)</w:t>
      </w:r>
      <w:r w:rsidR="0097429A" w:rsidRPr="00063F36">
        <w:rPr>
          <w:rFonts w:cs="Times New Roman"/>
          <w:szCs w:val="24"/>
        </w:rPr>
        <w:t xml:space="preserve">. After 6 </w:t>
      </w:r>
      <w:proofErr w:type="spellStart"/>
      <w:r w:rsidR="0097429A" w:rsidRPr="00063F36">
        <w:rPr>
          <w:rFonts w:cs="Times New Roman"/>
          <w:szCs w:val="24"/>
        </w:rPr>
        <w:t>wks</w:t>
      </w:r>
      <w:proofErr w:type="spellEnd"/>
      <w:r w:rsidR="0097429A" w:rsidRPr="00063F36">
        <w:rPr>
          <w:rFonts w:cs="Times New Roman"/>
          <w:szCs w:val="24"/>
        </w:rPr>
        <w:t xml:space="preserve"> </w:t>
      </w:r>
      <w:r w:rsidR="00063F36">
        <w:rPr>
          <w:rFonts w:cs="Times New Roman"/>
          <w:szCs w:val="24"/>
        </w:rPr>
        <w:t xml:space="preserve">of </w:t>
      </w:r>
      <w:r w:rsidR="0097429A" w:rsidRPr="00063F36">
        <w:rPr>
          <w:rFonts w:cs="Times New Roman"/>
          <w:szCs w:val="24"/>
        </w:rPr>
        <w:t>treatment with saline or PTH, rats were euthanized, and jaws were collected for gross, histologic, static and dynamic histomorphometry analyses.</w:t>
      </w:r>
    </w:p>
    <w:p w14:paraId="54CFA68F" w14:textId="77777777" w:rsidR="00727DBA" w:rsidRPr="00063F36" w:rsidRDefault="00727DBA" w:rsidP="0097429A">
      <w:pPr>
        <w:tabs>
          <w:tab w:val="left" w:pos="360"/>
        </w:tabs>
        <w:spacing w:after="0"/>
        <w:rPr>
          <w:rFonts w:cs="Times New Roman"/>
        </w:rPr>
      </w:pPr>
    </w:p>
    <w:p w14:paraId="14B79C5A" w14:textId="367B2C9F" w:rsidR="00063F36" w:rsidRPr="00063F36" w:rsidRDefault="00063F36" w:rsidP="00063F36">
      <w:pPr>
        <w:tabs>
          <w:tab w:val="left" w:pos="360"/>
        </w:tabs>
        <w:spacing w:before="0" w:after="0" w:line="480" w:lineRule="auto"/>
        <w:rPr>
          <w:rFonts w:cs="Times New Roman"/>
          <w:b/>
        </w:rPr>
      </w:pPr>
      <w:r w:rsidRPr="00063F36">
        <w:rPr>
          <w:rFonts w:cs="Times New Roman"/>
          <w:b/>
        </w:rPr>
        <w:t xml:space="preserve">Supplemental </w:t>
      </w:r>
      <w:r w:rsidR="00FF6557">
        <w:rPr>
          <w:rFonts w:cs="Times New Roman"/>
          <w:b/>
        </w:rPr>
        <w:t>Data for S</w:t>
      </w:r>
      <w:r w:rsidR="00787463">
        <w:rPr>
          <w:rFonts w:cs="Times New Roman"/>
          <w:b/>
        </w:rPr>
        <w:t xml:space="preserve">upplemental </w:t>
      </w:r>
      <w:r w:rsidRPr="00063F36">
        <w:rPr>
          <w:rFonts w:cs="Times New Roman"/>
          <w:b/>
        </w:rPr>
        <w:t xml:space="preserve">Figure 2 </w:t>
      </w:r>
    </w:p>
    <w:p w14:paraId="7FC81047" w14:textId="77777777" w:rsidR="00611767" w:rsidRPr="00063F36" w:rsidRDefault="00611767" w:rsidP="00063F36">
      <w:pPr>
        <w:tabs>
          <w:tab w:val="left" w:pos="360"/>
        </w:tabs>
        <w:spacing w:before="0" w:after="0" w:line="480" w:lineRule="auto"/>
        <w:rPr>
          <w:rFonts w:cs="Times New Roman"/>
          <w:b/>
          <w:i/>
          <w:szCs w:val="24"/>
        </w:rPr>
      </w:pPr>
      <w:r w:rsidRPr="00063F36">
        <w:rPr>
          <w:rFonts w:cs="Times New Roman"/>
          <w:b/>
          <w:i/>
          <w:szCs w:val="24"/>
        </w:rPr>
        <w:t>PQCT Analysis of Femoral Metaphysis and Mid-diaphysis</w:t>
      </w:r>
    </w:p>
    <w:p w14:paraId="3925641C" w14:textId="62D01090" w:rsidR="00611767" w:rsidRPr="00063F36" w:rsidRDefault="00611767" w:rsidP="00063F36">
      <w:pPr>
        <w:tabs>
          <w:tab w:val="left" w:pos="360"/>
        </w:tabs>
        <w:spacing w:before="0" w:after="0" w:line="480" w:lineRule="auto"/>
        <w:rPr>
          <w:rFonts w:cs="Times New Roman"/>
          <w:szCs w:val="24"/>
        </w:rPr>
      </w:pPr>
      <w:r w:rsidRPr="00063F36">
        <w:rPr>
          <w:rFonts w:cs="Times New Roman"/>
          <w:szCs w:val="24"/>
        </w:rPr>
        <w:t>Total metaphyseal BMC (</w:t>
      </w:r>
      <w:r w:rsidRPr="00063F36">
        <w:rPr>
          <w:rFonts w:cs="Times New Roman"/>
          <w:i/>
          <w:szCs w:val="24"/>
        </w:rPr>
        <w:t>p&lt;0.001,</w:t>
      </w:r>
      <w:r w:rsidRPr="00063F36">
        <w:rPr>
          <w:rFonts w:cs="Times New Roman"/>
          <w:szCs w:val="24"/>
        </w:rPr>
        <w:t xml:space="preserve"> </w:t>
      </w:r>
      <w:r w:rsidRPr="00063F36">
        <w:rPr>
          <w:rFonts w:cs="Times New Roman"/>
          <w:i/>
          <w:szCs w:val="24"/>
        </w:rPr>
        <w:t>p&lt;0.001</w:t>
      </w:r>
      <w:r w:rsidRPr="00063F36">
        <w:rPr>
          <w:rFonts w:cs="Times New Roman"/>
          <w:szCs w:val="24"/>
        </w:rPr>
        <w:t>) and BMD (</w:t>
      </w:r>
      <w:r w:rsidRPr="00063F36">
        <w:rPr>
          <w:rFonts w:cs="Times New Roman"/>
          <w:i/>
          <w:szCs w:val="24"/>
        </w:rPr>
        <w:t>p&lt;0.001</w:t>
      </w:r>
      <w:r w:rsidRPr="00063F36">
        <w:rPr>
          <w:rFonts w:cs="Times New Roman"/>
          <w:szCs w:val="24"/>
        </w:rPr>
        <w:t xml:space="preserve">, </w:t>
      </w:r>
      <w:r w:rsidRPr="00063F36">
        <w:rPr>
          <w:rFonts w:cs="Times New Roman"/>
          <w:i/>
          <w:szCs w:val="24"/>
        </w:rPr>
        <w:t>p&lt;0.001</w:t>
      </w:r>
      <w:r w:rsidRPr="00063F36">
        <w:rPr>
          <w:rFonts w:cs="Times New Roman"/>
          <w:szCs w:val="24"/>
        </w:rPr>
        <w:t>) were greater in ZOL/VEH than in VEH/VEH male and female rice rats, respectively (</w:t>
      </w:r>
      <w:r w:rsidRPr="00063F36">
        <w:rPr>
          <w:rFonts w:cs="Times New Roman"/>
          <w:b/>
          <w:szCs w:val="24"/>
        </w:rPr>
        <w:t>Supplemental Figure 2A</w:t>
      </w:r>
      <w:r w:rsidRPr="00063F36">
        <w:rPr>
          <w:rFonts w:cs="Times New Roman"/>
          <w:szCs w:val="24"/>
        </w:rPr>
        <w:t>). Similarly, total metaphyseal BMC (</w:t>
      </w:r>
      <w:r w:rsidRPr="00063F36">
        <w:rPr>
          <w:rFonts w:cs="Times New Roman"/>
          <w:i/>
          <w:szCs w:val="24"/>
        </w:rPr>
        <w:t>p=0.046</w:t>
      </w:r>
      <w:r w:rsidRPr="00063F36">
        <w:rPr>
          <w:rFonts w:cs="Times New Roman"/>
          <w:szCs w:val="24"/>
        </w:rPr>
        <w:t xml:space="preserve">, </w:t>
      </w:r>
      <w:r w:rsidRPr="00063F36">
        <w:rPr>
          <w:rFonts w:cs="Times New Roman"/>
          <w:i/>
          <w:szCs w:val="24"/>
        </w:rPr>
        <w:t>p=0.003</w:t>
      </w:r>
      <w:r w:rsidRPr="00063F36">
        <w:rPr>
          <w:rFonts w:cs="Times New Roman"/>
          <w:szCs w:val="24"/>
        </w:rPr>
        <w:t>)</w:t>
      </w:r>
      <w:r w:rsidRPr="00063F36">
        <w:rPr>
          <w:rFonts w:cs="Times New Roman"/>
          <w:i/>
          <w:szCs w:val="24"/>
        </w:rPr>
        <w:t xml:space="preserve"> </w:t>
      </w:r>
      <w:r w:rsidRPr="00063F36">
        <w:rPr>
          <w:rFonts w:cs="Times New Roman"/>
          <w:szCs w:val="24"/>
        </w:rPr>
        <w:t xml:space="preserve">and BMD </w:t>
      </w:r>
      <w:r w:rsidRPr="00063F36">
        <w:rPr>
          <w:rFonts w:cs="Times New Roman"/>
          <w:i/>
          <w:szCs w:val="24"/>
        </w:rPr>
        <w:t>(p=0.003, p=0.006</w:t>
      </w:r>
      <w:r w:rsidRPr="00063F36">
        <w:rPr>
          <w:rFonts w:cs="Times New Roman"/>
          <w:szCs w:val="24"/>
        </w:rPr>
        <w:t>) were greater in ZOL/PTH group than in ZOL/VEH male and female rice rats. Furthermore, total metaphyseal BMD was greater in VEH/PTH than in VEH/VEH male</w:t>
      </w:r>
      <w:r w:rsidRPr="00063F36">
        <w:rPr>
          <w:rFonts w:cs="Times New Roman"/>
          <w:i/>
          <w:szCs w:val="24"/>
        </w:rPr>
        <w:t xml:space="preserve"> </w:t>
      </w:r>
      <w:r w:rsidRPr="00063F36">
        <w:rPr>
          <w:rFonts w:cs="Times New Roman"/>
          <w:szCs w:val="24"/>
        </w:rPr>
        <w:t>and female rice rats, respectively (</w:t>
      </w:r>
      <w:r w:rsidRPr="00063F36">
        <w:rPr>
          <w:rFonts w:cs="Times New Roman"/>
          <w:i/>
          <w:szCs w:val="24"/>
        </w:rPr>
        <w:t>p=0.002</w:t>
      </w:r>
      <w:r w:rsidRPr="00063F36">
        <w:rPr>
          <w:rFonts w:cs="Times New Roman"/>
          <w:szCs w:val="24"/>
        </w:rPr>
        <w:t xml:space="preserve">, </w:t>
      </w:r>
      <w:r w:rsidRPr="00063F36">
        <w:rPr>
          <w:rFonts w:cs="Times New Roman"/>
          <w:i/>
          <w:szCs w:val="24"/>
        </w:rPr>
        <w:t>p&lt;0.001</w:t>
      </w:r>
      <w:r w:rsidRPr="00063F36">
        <w:rPr>
          <w:rFonts w:cs="Times New Roman"/>
          <w:szCs w:val="24"/>
        </w:rPr>
        <w:t>) (</w:t>
      </w:r>
      <w:r w:rsidRPr="00063F36">
        <w:rPr>
          <w:rFonts w:cs="Times New Roman"/>
          <w:b/>
          <w:szCs w:val="24"/>
        </w:rPr>
        <w:t>Supplemental Figure 2B</w:t>
      </w:r>
      <w:r w:rsidRPr="00063F36">
        <w:rPr>
          <w:rFonts w:cs="Times New Roman"/>
          <w:szCs w:val="24"/>
        </w:rPr>
        <w:t xml:space="preserve">). In line with these findings, mid-diaphyseal BMC and BMD were greater in ZOL/VEH than </w:t>
      </w:r>
      <w:r w:rsidR="00063F36">
        <w:rPr>
          <w:rFonts w:cs="Times New Roman"/>
          <w:szCs w:val="24"/>
        </w:rPr>
        <w:t xml:space="preserve">in </w:t>
      </w:r>
      <w:r w:rsidRPr="00063F36">
        <w:rPr>
          <w:rFonts w:cs="Times New Roman"/>
          <w:szCs w:val="24"/>
        </w:rPr>
        <w:t>VEH/VEH male and female rice rats (</w:t>
      </w:r>
      <w:r w:rsidRPr="00063F36">
        <w:rPr>
          <w:rFonts w:cs="Times New Roman"/>
          <w:i/>
          <w:szCs w:val="24"/>
        </w:rPr>
        <w:t xml:space="preserve">p&lt;0.001, p&lt;0.001), respectively </w:t>
      </w:r>
      <w:r w:rsidRPr="00063F36">
        <w:rPr>
          <w:rFonts w:cs="Times New Roman"/>
          <w:szCs w:val="24"/>
        </w:rPr>
        <w:t>(</w:t>
      </w:r>
      <w:r w:rsidRPr="00063F36">
        <w:rPr>
          <w:rFonts w:cs="Times New Roman"/>
          <w:b/>
          <w:szCs w:val="24"/>
        </w:rPr>
        <w:t>Supplemental Figure 2C</w:t>
      </w:r>
      <w:r w:rsidRPr="00063F36">
        <w:rPr>
          <w:rFonts w:cs="Times New Roman"/>
          <w:szCs w:val="24"/>
        </w:rPr>
        <w:t>). Further, mid-diaphyseal BMC was greater in VEH/PTH and then VEH/VEH male and female rice rats (</w:t>
      </w:r>
      <w:r w:rsidRPr="00063F36">
        <w:rPr>
          <w:rFonts w:cs="Times New Roman"/>
          <w:i/>
          <w:szCs w:val="24"/>
        </w:rPr>
        <w:t>p=0.010</w:t>
      </w:r>
      <w:r w:rsidRPr="00063F36">
        <w:rPr>
          <w:rFonts w:cs="Times New Roman"/>
          <w:szCs w:val="24"/>
        </w:rPr>
        <w:t xml:space="preserve">, </w:t>
      </w:r>
      <w:r w:rsidRPr="00063F36">
        <w:rPr>
          <w:rFonts w:cs="Times New Roman"/>
          <w:i/>
          <w:szCs w:val="24"/>
        </w:rPr>
        <w:t>p=0.012</w:t>
      </w:r>
      <w:r w:rsidRPr="00063F36">
        <w:rPr>
          <w:rFonts w:cs="Times New Roman"/>
          <w:szCs w:val="24"/>
        </w:rPr>
        <w:t>), respectively. In addition, mid-diaphyseal BMC was greater in ZOL/PTH than VEH/PTH male rice rats (</w:t>
      </w:r>
      <w:r w:rsidRPr="00063F36">
        <w:rPr>
          <w:rFonts w:cs="Times New Roman"/>
          <w:i/>
          <w:szCs w:val="24"/>
        </w:rPr>
        <w:t>p=0.028</w:t>
      </w:r>
      <w:r w:rsidRPr="00063F36">
        <w:rPr>
          <w:rFonts w:cs="Times New Roman"/>
          <w:szCs w:val="24"/>
        </w:rPr>
        <w:t>)</w:t>
      </w:r>
      <w:r w:rsidR="00063F36">
        <w:rPr>
          <w:rFonts w:cs="Times New Roman"/>
          <w:szCs w:val="24"/>
        </w:rPr>
        <w:t>,</w:t>
      </w:r>
      <w:r w:rsidRPr="00063F36">
        <w:rPr>
          <w:rFonts w:cs="Times New Roman"/>
          <w:szCs w:val="24"/>
        </w:rPr>
        <w:t xml:space="preserve"> and mid-diaphyseal BMD was greater in VEH/PTH than VEH/VEH female rice rats (</w:t>
      </w:r>
      <w:r w:rsidRPr="00063F36">
        <w:rPr>
          <w:rFonts w:cs="Times New Roman"/>
          <w:i/>
          <w:szCs w:val="24"/>
        </w:rPr>
        <w:t>p&lt;0.001</w:t>
      </w:r>
      <w:r w:rsidRPr="00063F36">
        <w:rPr>
          <w:rFonts w:cs="Times New Roman"/>
          <w:szCs w:val="24"/>
        </w:rPr>
        <w:t>) (</w:t>
      </w:r>
      <w:r w:rsidRPr="00063F36">
        <w:rPr>
          <w:rFonts w:cs="Times New Roman"/>
          <w:b/>
          <w:szCs w:val="24"/>
        </w:rPr>
        <w:t>Supplemental Figure</w:t>
      </w:r>
      <w:r w:rsidRPr="00063F36">
        <w:rPr>
          <w:rFonts w:cs="Times New Roman"/>
          <w:szCs w:val="24"/>
        </w:rPr>
        <w:t xml:space="preserve"> </w:t>
      </w:r>
      <w:r w:rsidRPr="00063F36">
        <w:rPr>
          <w:rFonts w:cs="Times New Roman"/>
          <w:b/>
          <w:szCs w:val="24"/>
        </w:rPr>
        <w:t>2D</w:t>
      </w:r>
      <w:r w:rsidRPr="00063F36">
        <w:rPr>
          <w:rFonts w:cs="Times New Roman"/>
          <w:szCs w:val="24"/>
        </w:rPr>
        <w:t>). However, no difference was observed in mid-diaphyseal BMD between ZOL/VEH and ZOL/PTH rice rat</w:t>
      </w:r>
      <w:r w:rsidR="00A5661E">
        <w:rPr>
          <w:rFonts w:cs="Times New Roman"/>
          <w:szCs w:val="24"/>
        </w:rPr>
        <w:t>s</w:t>
      </w:r>
      <w:r w:rsidR="0015030C">
        <w:rPr>
          <w:rFonts w:cs="Times New Roman"/>
          <w:szCs w:val="24"/>
        </w:rPr>
        <w:t>.</w:t>
      </w:r>
    </w:p>
    <w:p w14:paraId="7AB3B85A" w14:textId="64ACB867" w:rsidR="0097429A" w:rsidRPr="00063F36" w:rsidRDefault="00B201A9" w:rsidP="0097429A">
      <w:pPr>
        <w:tabs>
          <w:tab w:val="left" w:pos="360"/>
        </w:tabs>
        <w:spacing w:after="0"/>
        <w:rPr>
          <w:rFonts w:cs="Times New Roman"/>
        </w:rPr>
      </w:pPr>
      <w:r w:rsidRPr="00063F36">
        <w:rPr>
          <w:rFonts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1DA836" wp14:editId="39790842">
            <wp:simplePos x="0" y="0"/>
            <wp:positionH relativeFrom="column">
              <wp:posOffset>468630</wp:posOffset>
            </wp:positionH>
            <wp:positionV relativeFrom="paragraph">
              <wp:posOffset>95885</wp:posOffset>
            </wp:positionV>
            <wp:extent cx="5821680" cy="4980940"/>
            <wp:effectExtent l="0" t="0" r="0" b="0"/>
            <wp:wrapTight wrapText="bothSides">
              <wp:wrapPolygon edited="0">
                <wp:start x="283" y="248"/>
                <wp:lineTo x="212" y="991"/>
                <wp:lineTo x="6432" y="1735"/>
                <wp:lineTo x="1484" y="1983"/>
                <wp:lineTo x="1272" y="2974"/>
                <wp:lineTo x="1979" y="3057"/>
                <wp:lineTo x="1343" y="4048"/>
                <wp:lineTo x="1343" y="4378"/>
                <wp:lineTo x="848" y="4626"/>
                <wp:lineTo x="636" y="6361"/>
                <wp:lineTo x="707" y="6526"/>
                <wp:lineTo x="1484" y="7022"/>
                <wp:lineTo x="1414" y="8674"/>
                <wp:lineTo x="8694" y="9665"/>
                <wp:lineTo x="10814" y="9665"/>
                <wp:lineTo x="212" y="10822"/>
                <wp:lineTo x="212" y="11731"/>
                <wp:lineTo x="4877" y="12309"/>
                <wp:lineTo x="1484" y="12309"/>
                <wp:lineTo x="1484" y="13631"/>
                <wp:lineTo x="1060" y="14540"/>
                <wp:lineTo x="919" y="15366"/>
                <wp:lineTo x="848" y="16770"/>
                <wp:lineTo x="1626" y="17596"/>
                <wp:lineTo x="2050" y="17596"/>
                <wp:lineTo x="1484" y="18257"/>
                <wp:lineTo x="1484" y="18587"/>
                <wp:lineTo x="2403" y="18918"/>
                <wp:lineTo x="2403" y="19248"/>
                <wp:lineTo x="8623" y="20240"/>
                <wp:lineTo x="8199" y="20322"/>
                <wp:lineTo x="8199" y="21148"/>
                <wp:lineTo x="11733" y="21148"/>
                <wp:lineTo x="13641" y="20901"/>
                <wp:lineTo x="13571" y="20322"/>
                <wp:lineTo x="12369" y="20240"/>
                <wp:lineTo x="20215" y="19166"/>
                <wp:lineTo x="20427" y="18918"/>
                <wp:lineTo x="20356" y="18340"/>
                <wp:lineTo x="20073" y="17596"/>
                <wp:lineTo x="20144" y="14870"/>
                <wp:lineTo x="19932" y="13548"/>
                <wp:lineTo x="13147" y="12639"/>
                <wp:lineTo x="10814" y="12309"/>
                <wp:lineTo x="19013" y="12309"/>
                <wp:lineTo x="19013" y="11566"/>
                <wp:lineTo x="11945" y="10987"/>
                <wp:lineTo x="10814" y="9665"/>
                <wp:lineTo x="19861" y="8839"/>
                <wp:lineTo x="20073" y="8261"/>
                <wp:lineTo x="19579" y="7022"/>
                <wp:lineTo x="19579" y="5700"/>
                <wp:lineTo x="19932" y="3965"/>
                <wp:lineTo x="18236" y="3635"/>
                <wp:lineTo x="12793" y="3057"/>
                <wp:lineTo x="19013" y="2478"/>
                <wp:lineTo x="18942" y="1900"/>
                <wp:lineTo x="11238" y="1735"/>
                <wp:lineTo x="11945" y="826"/>
                <wp:lineTo x="11874" y="248"/>
                <wp:lineTo x="283" y="24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9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E223C" w14:textId="673B2FFC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5CEF3553" w14:textId="4BC66F04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55F28CDA" w14:textId="551269BA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3E6ED8F1" w14:textId="0529693A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4057804C" w14:textId="77E1BCD9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2A16B77C" w14:textId="4489E431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790404F6" w14:textId="77777777" w:rsidR="0097429A" w:rsidRPr="00063F36" w:rsidRDefault="0097429A" w:rsidP="0097429A">
      <w:pPr>
        <w:tabs>
          <w:tab w:val="left" w:pos="360"/>
        </w:tabs>
        <w:spacing w:after="0"/>
        <w:rPr>
          <w:rFonts w:cs="Times New Roman"/>
        </w:rPr>
      </w:pPr>
    </w:p>
    <w:p w14:paraId="58F1AED1" w14:textId="30536E67" w:rsidR="00DE23E8" w:rsidRPr="00063F36" w:rsidRDefault="00DE23E8" w:rsidP="00654E8F">
      <w:pPr>
        <w:spacing w:before="240"/>
        <w:rPr>
          <w:rFonts w:cs="Times New Roman"/>
        </w:rPr>
      </w:pPr>
    </w:p>
    <w:p w14:paraId="11260E7A" w14:textId="7E682F88" w:rsidR="00B201A9" w:rsidRPr="00063F36" w:rsidRDefault="00B201A9" w:rsidP="00654E8F">
      <w:pPr>
        <w:spacing w:before="240"/>
        <w:rPr>
          <w:rFonts w:cs="Times New Roman"/>
        </w:rPr>
      </w:pPr>
    </w:p>
    <w:p w14:paraId="7DF465C5" w14:textId="23F13007" w:rsidR="00B201A9" w:rsidRPr="00063F36" w:rsidRDefault="00B201A9" w:rsidP="00654E8F">
      <w:pPr>
        <w:spacing w:before="240"/>
        <w:rPr>
          <w:rFonts w:cs="Times New Roman"/>
        </w:rPr>
      </w:pPr>
    </w:p>
    <w:p w14:paraId="76CC40F3" w14:textId="14E4A443" w:rsidR="00B201A9" w:rsidRPr="00063F36" w:rsidRDefault="00B201A9" w:rsidP="00654E8F">
      <w:pPr>
        <w:spacing w:before="240"/>
        <w:rPr>
          <w:rFonts w:cs="Times New Roman"/>
        </w:rPr>
      </w:pPr>
    </w:p>
    <w:p w14:paraId="227E6D17" w14:textId="672BE185" w:rsidR="00B201A9" w:rsidRPr="00063F36" w:rsidRDefault="00B201A9" w:rsidP="00654E8F">
      <w:pPr>
        <w:spacing w:before="240"/>
        <w:rPr>
          <w:rFonts w:cs="Times New Roman"/>
        </w:rPr>
      </w:pPr>
    </w:p>
    <w:p w14:paraId="1977A72D" w14:textId="3994605A" w:rsidR="00B201A9" w:rsidRPr="00063F36" w:rsidRDefault="00B201A9" w:rsidP="00654E8F">
      <w:pPr>
        <w:spacing w:before="240"/>
        <w:rPr>
          <w:rFonts w:cs="Times New Roman"/>
        </w:rPr>
      </w:pPr>
    </w:p>
    <w:p w14:paraId="43B26BA4" w14:textId="3FADAA20" w:rsidR="00B201A9" w:rsidRPr="00063F36" w:rsidRDefault="00B201A9" w:rsidP="00654E8F">
      <w:pPr>
        <w:spacing w:before="240"/>
        <w:rPr>
          <w:rFonts w:cs="Times New Roman"/>
        </w:rPr>
      </w:pPr>
    </w:p>
    <w:p w14:paraId="623269A1" w14:textId="77777777" w:rsidR="00DC6CDE" w:rsidRDefault="00DC6CDE" w:rsidP="00063F36">
      <w:pPr>
        <w:spacing w:line="480" w:lineRule="auto"/>
        <w:rPr>
          <w:rFonts w:cs="Times New Roman"/>
          <w:b/>
          <w:szCs w:val="24"/>
        </w:rPr>
      </w:pPr>
    </w:p>
    <w:p w14:paraId="41C5DEA1" w14:textId="77777777" w:rsidR="006436E5" w:rsidRDefault="006436E5" w:rsidP="00063F36">
      <w:pPr>
        <w:spacing w:line="480" w:lineRule="auto"/>
        <w:rPr>
          <w:rFonts w:cs="Times New Roman"/>
          <w:b/>
          <w:szCs w:val="24"/>
        </w:rPr>
      </w:pPr>
    </w:p>
    <w:p w14:paraId="420F4C08" w14:textId="733E8D76" w:rsidR="000F4DCE" w:rsidRPr="00063F36" w:rsidRDefault="000F4DCE" w:rsidP="00063F36">
      <w:pPr>
        <w:spacing w:line="480" w:lineRule="auto"/>
        <w:rPr>
          <w:rFonts w:cs="Times New Roman"/>
          <w:szCs w:val="24"/>
        </w:rPr>
      </w:pPr>
      <w:r w:rsidRPr="00063F36">
        <w:rPr>
          <w:rFonts w:cs="Times New Roman"/>
          <w:b/>
          <w:szCs w:val="24"/>
        </w:rPr>
        <w:t xml:space="preserve">Supplemental Figure 2. </w:t>
      </w:r>
      <w:r w:rsidRPr="00063F36">
        <w:rPr>
          <w:rFonts w:cs="Times New Roman"/>
          <w:szCs w:val="24"/>
        </w:rPr>
        <w:t xml:space="preserve">Assessment of </w:t>
      </w:r>
      <w:proofErr w:type="spellStart"/>
      <w:r w:rsidRPr="00063F36">
        <w:rPr>
          <w:rFonts w:cs="Times New Roman"/>
          <w:szCs w:val="24"/>
        </w:rPr>
        <w:t>pQCT</w:t>
      </w:r>
      <w:proofErr w:type="spellEnd"/>
      <w:r w:rsidRPr="00063F36">
        <w:rPr>
          <w:rFonts w:cs="Times New Roman"/>
          <w:szCs w:val="24"/>
        </w:rPr>
        <w:t xml:space="preserve"> bone parameters of the femoral metaphysis and mid-diaphysis. </w:t>
      </w:r>
      <w:r w:rsidRPr="00063F36">
        <w:rPr>
          <w:rFonts w:cs="Times New Roman"/>
          <w:b/>
          <w:szCs w:val="24"/>
        </w:rPr>
        <w:t>A</w:t>
      </w:r>
      <w:r w:rsidRPr="00063F36">
        <w:rPr>
          <w:rFonts w:cs="Times New Roman"/>
          <w:szCs w:val="24"/>
        </w:rPr>
        <w:t xml:space="preserve">. Total metaphysis BMC. </w:t>
      </w:r>
      <w:r w:rsidRPr="00063F36">
        <w:rPr>
          <w:rFonts w:cs="Times New Roman"/>
          <w:b/>
          <w:szCs w:val="24"/>
        </w:rPr>
        <w:t>B</w:t>
      </w:r>
      <w:r w:rsidRPr="00063F36">
        <w:rPr>
          <w:rFonts w:cs="Times New Roman"/>
          <w:szCs w:val="24"/>
        </w:rPr>
        <w:t xml:space="preserve">. Total Metaphysis BMD. </w:t>
      </w:r>
      <w:r w:rsidRPr="00063F36">
        <w:rPr>
          <w:rFonts w:cs="Times New Roman"/>
          <w:b/>
          <w:szCs w:val="24"/>
        </w:rPr>
        <w:t>C</w:t>
      </w:r>
      <w:r w:rsidRPr="00063F36">
        <w:rPr>
          <w:rFonts w:cs="Times New Roman"/>
          <w:szCs w:val="24"/>
        </w:rPr>
        <w:t xml:space="preserve">. Mid-diaphyseal BMC. </w:t>
      </w:r>
      <w:r w:rsidRPr="00063F36">
        <w:rPr>
          <w:rFonts w:cs="Times New Roman"/>
          <w:b/>
          <w:szCs w:val="24"/>
        </w:rPr>
        <w:t>D</w:t>
      </w:r>
      <w:r w:rsidRPr="00063F36">
        <w:rPr>
          <w:rFonts w:cs="Times New Roman"/>
          <w:szCs w:val="24"/>
        </w:rPr>
        <w:t>. Mid-diaphyseal BMD. Bars indicate mean ± SD. Black superscripts a, b and c denote significant differences from VEH/VEH, VEH/PTH and ZOL/VEH male rice rats</w:t>
      </w:r>
      <w:r w:rsidR="00063F36">
        <w:rPr>
          <w:rFonts w:cs="Times New Roman"/>
          <w:szCs w:val="24"/>
        </w:rPr>
        <w:t>,</w:t>
      </w:r>
      <w:r w:rsidRPr="00063F36">
        <w:rPr>
          <w:rFonts w:cs="Times New Roman"/>
          <w:szCs w:val="24"/>
        </w:rPr>
        <w:t xml:space="preserve"> respectively (p&lt;0.05). Red superscripts a, b and c denote significant differences from VEH/VEH, VEH/PTH and ZOL/VEH female rice rats</w:t>
      </w:r>
      <w:r w:rsidR="00063F36">
        <w:rPr>
          <w:rFonts w:cs="Times New Roman"/>
          <w:szCs w:val="24"/>
        </w:rPr>
        <w:t>,</w:t>
      </w:r>
      <w:r w:rsidRPr="00063F36">
        <w:rPr>
          <w:rFonts w:cs="Times New Roman"/>
          <w:szCs w:val="24"/>
        </w:rPr>
        <w:t xml:space="preserve"> respectively (p&lt;0.05)</w:t>
      </w:r>
      <w:r w:rsidR="00063F36">
        <w:rPr>
          <w:rFonts w:cs="Times New Roman"/>
          <w:szCs w:val="24"/>
        </w:rPr>
        <w:t>.</w:t>
      </w:r>
    </w:p>
    <w:p w14:paraId="62BA3297" w14:textId="77777777" w:rsidR="000F4DCE" w:rsidRPr="00063F36" w:rsidRDefault="000F4DCE" w:rsidP="000F4DCE">
      <w:pPr>
        <w:rPr>
          <w:rFonts w:cs="Times New Roman"/>
          <w:b/>
          <w:bCs/>
          <w:szCs w:val="24"/>
        </w:rPr>
      </w:pPr>
    </w:p>
    <w:p w14:paraId="153D51EC" w14:textId="04AE030D" w:rsidR="000F4DCE" w:rsidRPr="00063F36" w:rsidRDefault="000F4DCE" w:rsidP="000F4DCE">
      <w:pPr>
        <w:rPr>
          <w:rFonts w:cs="Times New Roman"/>
          <w:b/>
          <w:bCs/>
          <w:szCs w:val="24"/>
        </w:rPr>
      </w:pPr>
    </w:p>
    <w:p w14:paraId="006CDF00" w14:textId="05DB923B" w:rsidR="000F4DCE" w:rsidRPr="00063F36" w:rsidRDefault="000F4DCE" w:rsidP="00B201A9">
      <w:pPr>
        <w:spacing w:before="240"/>
        <w:rPr>
          <w:rFonts w:cs="Times New Roman"/>
        </w:rPr>
      </w:pPr>
    </w:p>
    <w:p w14:paraId="39F2B718" w14:textId="7F6AACB3" w:rsidR="00FF6557" w:rsidRDefault="006436E5" w:rsidP="00063F36">
      <w:pPr>
        <w:spacing w:line="480" w:lineRule="auto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9FE94E" wp14:editId="3A705899">
            <wp:simplePos x="0" y="0"/>
            <wp:positionH relativeFrom="margin">
              <wp:align>left</wp:align>
            </wp:positionH>
            <wp:positionV relativeFrom="paragraph">
              <wp:posOffset>503555</wp:posOffset>
            </wp:positionV>
            <wp:extent cx="6373495" cy="3989070"/>
            <wp:effectExtent l="0" t="0" r="0" b="0"/>
            <wp:wrapTight wrapText="bothSides">
              <wp:wrapPolygon edited="0">
                <wp:start x="323" y="309"/>
                <wp:lineTo x="258" y="1341"/>
                <wp:lineTo x="5811" y="2166"/>
                <wp:lineTo x="2453" y="2166"/>
                <wp:lineTo x="1356" y="2372"/>
                <wp:lineTo x="1356" y="3817"/>
                <wp:lineTo x="1033" y="3920"/>
                <wp:lineTo x="387" y="5054"/>
                <wp:lineTo x="387" y="8149"/>
                <wp:lineTo x="775" y="8768"/>
                <wp:lineTo x="1356" y="8768"/>
                <wp:lineTo x="258" y="10418"/>
                <wp:lineTo x="258" y="11759"/>
                <wp:lineTo x="2647" y="12172"/>
                <wp:lineTo x="1098" y="12378"/>
                <wp:lineTo x="1098" y="13719"/>
                <wp:lineTo x="516" y="15370"/>
                <wp:lineTo x="452" y="16401"/>
                <wp:lineTo x="775" y="17020"/>
                <wp:lineTo x="1162" y="17123"/>
                <wp:lineTo x="1162" y="18670"/>
                <wp:lineTo x="2389" y="20321"/>
                <wp:lineTo x="2453" y="21043"/>
                <wp:lineTo x="16463" y="21043"/>
                <wp:lineTo x="19046" y="20630"/>
                <wp:lineTo x="19110" y="20115"/>
                <wp:lineTo x="17109" y="18670"/>
                <wp:lineTo x="20918" y="18670"/>
                <wp:lineTo x="21241" y="18567"/>
                <wp:lineTo x="21241" y="11450"/>
                <wp:lineTo x="16657" y="10418"/>
                <wp:lineTo x="18271" y="10418"/>
                <wp:lineTo x="21111" y="9387"/>
                <wp:lineTo x="21176" y="2372"/>
                <wp:lineTo x="19820" y="2166"/>
                <wp:lineTo x="16657" y="1341"/>
                <wp:lineTo x="16592" y="309"/>
                <wp:lineTo x="323" y="309"/>
              </wp:wrapPolygon>
            </wp:wrapTight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0C572B0-A039-4036-96E6-DB0F2BE75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0C572B0-A039-4036-96E6-DB0F2BE75B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C1B9E" w14:textId="2C66D0F2" w:rsidR="00DC6CDE" w:rsidRDefault="00DC6CDE" w:rsidP="00063F36">
      <w:pPr>
        <w:spacing w:line="480" w:lineRule="auto"/>
        <w:rPr>
          <w:rFonts w:cs="Times New Roman"/>
          <w:b/>
          <w:szCs w:val="24"/>
        </w:rPr>
      </w:pPr>
    </w:p>
    <w:p w14:paraId="3B434706" w14:textId="77777777" w:rsidR="00A3060A" w:rsidRDefault="00A3060A" w:rsidP="00063F36">
      <w:pPr>
        <w:spacing w:line="480" w:lineRule="auto"/>
        <w:rPr>
          <w:rFonts w:cs="Times New Roman"/>
          <w:b/>
          <w:szCs w:val="24"/>
        </w:rPr>
      </w:pPr>
    </w:p>
    <w:p w14:paraId="239989B5" w14:textId="77777777" w:rsidR="00A3060A" w:rsidRDefault="00A3060A" w:rsidP="00063F36">
      <w:pPr>
        <w:spacing w:line="480" w:lineRule="auto"/>
        <w:rPr>
          <w:rFonts w:cs="Times New Roman"/>
          <w:b/>
          <w:szCs w:val="24"/>
        </w:rPr>
      </w:pPr>
    </w:p>
    <w:p w14:paraId="522BABF5" w14:textId="77777777" w:rsidR="006436E5" w:rsidRDefault="006436E5" w:rsidP="00063F36">
      <w:pPr>
        <w:spacing w:line="480" w:lineRule="auto"/>
        <w:rPr>
          <w:rFonts w:cs="Times New Roman"/>
          <w:b/>
          <w:szCs w:val="24"/>
        </w:rPr>
      </w:pPr>
    </w:p>
    <w:p w14:paraId="0A84B06B" w14:textId="77777777" w:rsidR="00176D5A" w:rsidRDefault="00176D5A" w:rsidP="00063F36">
      <w:pPr>
        <w:spacing w:line="480" w:lineRule="auto"/>
        <w:rPr>
          <w:rFonts w:cs="Times New Roman"/>
          <w:b/>
          <w:szCs w:val="24"/>
        </w:rPr>
      </w:pPr>
    </w:p>
    <w:p w14:paraId="2AE7875D" w14:textId="2AFB6CAB" w:rsidR="00B201A9" w:rsidRPr="00063F36" w:rsidRDefault="00B201A9" w:rsidP="00063F36">
      <w:pPr>
        <w:spacing w:line="480" w:lineRule="auto"/>
        <w:rPr>
          <w:rFonts w:cs="Times New Roman"/>
          <w:b/>
          <w:bCs/>
          <w:szCs w:val="24"/>
        </w:rPr>
      </w:pPr>
      <w:bookmarkStart w:id="2" w:name="_GoBack"/>
      <w:bookmarkEnd w:id="2"/>
      <w:r w:rsidRPr="00063F36">
        <w:rPr>
          <w:rFonts w:cs="Times New Roman"/>
          <w:b/>
          <w:szCs w:val="24"/>
        </w:rPr>
        <w:t xml:space="preserve">Supplemental Figure </w:t>
      </w:r>
      <w:r w:rsidR="00263B6C" w:rsidRPr="00063F36">
        <w:rPr>
          <w:rFonts w:cs="Times New Roman"/>
          <w:b/>
          <w:szCs w:val="24"/>
        </w:rPr>
        <w:t>3</w:t>
      </w:r>
      <w:r w:rsidRPr="00063F36">
        <w:rPr>
          <w:rFonts w:cs="Times New Roman"/>
          <w:b/>
          <w:szCs w:val="24"/>
        </w:rPr>
        <w:t xml:space="preserve">. </w:t>
      </w:r>
      <w:r w:rsidRPr="003146EE">
        <w:rPr>
          <w:rFonts w:cs="Times New Roman"/>
          <w:bCs/>
          <w:szCs w:val="24"/>
        </w:rPr>
        <w:t>Assessment of bone volume and static and dynamic bone histomorphometry parameters at the distal M3 non-lesion area (ROI 2).</w:t>
      </w:r>
      <w:r w:rsidRPr="00063F36">
        <w:rPr>
          <w:rFonts w:cs="Times New Roman"/>
          <w:b/>
          <w:bCs/>
          <w:szCs w:val="24"/>
        </w:rPr>
        <w:t xml:space="preserve"> </w:t>
      </w:r>
      <w:r w:rsidRPr="00063F36">
        <w:rPr>
          <w:rFonts w:cs="Times New Roman"/>
          <w:b/>
          <w:szCs w:val="24"/>
        </w:rPr>
        <w:t>A</w:t>
      </w:r>
      <w:r w:rsidRPr="00063F36">
        <w:rPr>
          <w:rFonts w:cs="Times New Roman"/>
          <w:szCs w:val="24"/>
        </w:rPr>
        <w:t>. Percentage of bone volume (BV/TV). Static indices include</w:t>
      </w:r>
      <w:r w:rsidRPr="00063F36">
        <w:rPr>
          <w:rFonts w:cs="Times New Roman"/>
          <w:b/>
          <w:szCs w:val="24"/>
        </w:rPr>
        <w:t xml:space="preserve"> B</w:t>
      </w:r>
      <w:r w:rsidRPr="00063F36">
        <w:rPr>
          <w:rFonts w:cs="Times New Roman"/>
          <w:szCs w:val="24"/>
        </w:rPr>
        <w:t>. Percentage of osteoblast surface per bone surface (</w:t>
      </w:r>
      <w:proofErr w:type="spellStart"/>
      <w:proofErr w:type="gramStart"/>
      <w:r w:rsidRPr="00063F36">
        <w:rPr>
          <w:rFonts w:cs="Times New Roman"/>
          <w:szCs w:val="24"/>
        </w:rPr>
        <w:t>Ob.S</w:t>
      </w:r>
      <w:proofErr w:type="spellEnd"/>
      <w:proofErr w:type="gramEnd"/>
      <w:r w:rsidRPr="00063F36">
        <w:rPr>
          <w:rFonts w:cs="Times New Roman"/>
          <w:szCs w:val="24"/>
        </w:rPr>
        <w:t xml:space="preserve">/BS), </w:t>
      </w:r>
      <w:r w:rsidRPr="00063F36">
        <w:rPr>
          <w:rFonts w:cs="Times New Roman"/>
          <w:b/>
          <w:szCs w:val="24"/>
        </w:rPr>
        <w:t>C</w:t>
      </w:r>
      <w:r w:rsidRPr="00063F36">
        <w:rPr>
          <w:rFonts w:cs="Times New Roman"/>
          <w:szCs w:val="24"/>
        </w:rPr>
        <w:t>. Number of osteoblasts per bone perimeter (</w:t>
      </w:r>
      <w:proofErr w:type="spellStart"/>
      <w:r w:rsidRPr="00063F36">
        <w:rPr>
          <w:rFonts w:cs="Times New Roman"/>
          <w:szCs w:val="24"/>
        </w:rPr>
        <w:t>N.Ob</w:t>
      </w:r>
      <w:proofErr w:type="spellEnd"/>
      <w:r w:rsidRPr="00063F36">
        <w:rPr>
          <w:rFonts w:cs="Times New Roman"/>
          <w:szCs w:val="24"/>
        </w:rPr>
        <w:t>/</w:t>
      </w:r>
      <w:proofErr w:type="spellStart"/>
      <w:r w:rsidRPr="00063F36">
        <w:rPr>
          <w:rFonts w:cs="Times New Roman"/>
          <w:szCs w:val="24"/>
        </w:rPr>
        <w:t>B.Pm</w:t>
      </w:r>
      <w:proofErr w:type="spellEnd"/>
      <w:r w:rsidRPr="00063F36">
        <w:rPr>
          <w:rFonts w:cs="Times New Roman"/>
          <w:szCs w:val="24"/>
        </w:rPr>
        <w:t>),</w:t>
      </w:r>
      <w:r w:rsidRPr="00063F36">
        <w:rPr>
          <w:rFonts w:cs="Times New Roman"/>
          <w:b/>
          <w:szCs w:val="24"/>
        </w:rPr>
        <w:t xml:space="preserve"> D</w:t>
      </w:r>
      <w:r w:rsidRPr="00063F36">
        <w:rPr>
          <w:rFonts w:cs="Times New Roman"/>
          <w:szCs w:val="24"/>
        </w:rPr>
        <w:t>. Percentage of osteoclast surface per bone surface (</w:t>
      </w:r>
      <w:proofErr w:type="spellStart"/>
      <w:r w:rsidRPr="00063F36">
        <w:rPr>
          <w:rFonts w:cs="Times New Roman"/>
          <w:szCs w:val="24"/>
        </w:rPr>
        <w:t>Oc.S</w:t>
      </w:r>
      <w:proofErr w:type="spellEnd"/>
      <w:r w:rsidRPr="00063F36">
        <w:rPr>
          <w:rFonts w:cs="Times New Roman"/>
          <w:szCs w:val="24"/>
        </w:rPr>
        <w:t xml:space="preserve">/BS) and </w:t>
      </w:r>
      <w:r w:rsidRPr="00063F36">
        <w:rPr>
          <w:rFonts w:cs="Times New Roman"/>
          <w:b/>
          <w:szCs w:val="24"/>
        </w:rPr>
        <w:t>E</w:t>
      </w:r>
      <w:r w:rsidRPr="00063F36">
        <w:rPr>
          <w:rFonts w:cs="Times New Roman"/>
          <w:szCs w:val="24"/>
        </w:rPr>
        <w:t>. Number of osteoclasts per bone perimeter (</w:t>
      </w:r>
      <w:proofErr w:type="spellStart"/>
      <w:r w:rsidRPr="00063F36">
        <w:rPr>
          <w:rFonts w:cs="Times New Roman"/>
          <w:szCs w:val="24"/>
        </w:rPr>
        <w:t>N.Oc</w:t>
      </w:r>
      <w:proofErr w:type="spellEnd"/>
      <w:r w:rsidRPr="00063F36">
        <w:rPr>
          <w:rFonts w:cs="Times New Roman"/>
          <w:szCs w:val="24"/>
        </w:rPr>
        <w:t>/</w:t>
      </w:r>
      <w:proofErr w:type="spellStart"/>
      <w:r w:rsidRPr="00063F36">
        <w:rPr>
          <w:rFonts w:cs="Times New Roman"/>
          <w:szCs w:val="24"/>
        </w:rPr>
        <w:t>B.Pm</w:t>
      </w:r>
      <w:proofErr w:type="spellEnd"/>
      <w:r w:rsidRPr="00063F36">
        <w:rPr>
          <w:rFonts w:cs="Times New Roman"/>
          <w:szCs w:val="24"/>
        </w:rPr>
        <w:t xml:space="preserve">). Dynamic indices include </w:t>
      </w:r>
      <w:r w:rsidRPr="00063F36">
        <w:rPr>
          <w:rFonts w:cs="Times New Roman"/>
          <w:b/>
          <w:szCs w:val="24"/>
        </w:rPr>
        <w:t>F</w:t>
      </w:r>
      <w:r w:rsidRPr="00063F36">
        <w:rPr>
          <w:rFonts w:cs="Times New Roman"/>
          <w:szCs w:val="24"/>
        </w:rPr>
        <w:t xml:space="preserve">. Mineralizing surface (MS/BS), </w:t>
      </w:r>
      <w:r w:rsidRPr="00063F36">
        <w:rPr>
          <w:rFonts w:cs="Times New Roman"/>
          <w:b/>
          <w:szCs w:val="24"/>
        </w:rPr>
        <w:t>G</w:t>
      </w:r>
      <w:r w:rsidRPr="00063F36">
        <w:rPr>
          <w:rFonts w:cs="Times New Roman"/>
          <w:szCs w:val="24"/>
        </w:rPr>
        <w:t xml:space="preserve">. Bone formation rate (BFR/BS) and </w:t>
      </w:r>
      <w:r w:rsidRPr="00063F36">
        <w:rPr>
          <w:rFonts w:cs="Times New Roman"/>
          <w:b/>
          <w:szCs w:val="24"/>
        </w:rPr>
        <w:t>H</w:t>
      </w:r>
      <w:r w:rsidRPr="00063F36">
        <w:rPr>
          <w:rFonts w:cs="Times New Roman"/>
          <w:szCs w:val="24"/>
        </w:rPr>
        <w:t>. Mineral apposition rate (MAR). Bars indicate mean ± SD. Superscripts a, b and c denote significant differences from VEH/VEH, VEH/PTH and ZOL/VEH rice rats</w:t>
      </w:r>
      <w:r w:rsidR="00063F36">
        <w:rPr>
          <w:rFonts w:cs="Times New Roman"/>
          <w:szCs w:val="24"/>
        </w:rPr>
        <w:t>,</w:t>
      </w:r>
      <w:r w:rsidRPr="00063F36">
        <w:rPr>
          <w:rFonts w:cs="Times New Roman"/>
          <w:szCs w:val="24"/>
        </w:rPr>
        <w:t xml:space="preserve"> respectively (p&lt;0.05).</w:t>
      </w:r>
    </w:p>
    <w:sectPr w:rsidR="00B201A9" w:rsidRPr="00063F36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29025" w14:textId="77777777" w:rsidR="00A41375" w:rsidRDefault="00A41375" w:rsidP="00117666">
      <w:pPr>
        <w:spacing w:after="0"/>
      </w:pPr>
      <w:r>
        <w:separator/>
      </w:r>
    </w:p>
  </w:endnote>
  <w:endnote w:type="continuationSeparator" w:id="0">
    <w:p w14:paraId="4FA2C59B" w14:textId="77777777" w:rsidR="00A41375" w:rsidRDefault="00A4137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B8FDF" w14:textId="77777777" w:rsidR="00A41375" w:rsidRDefault="00A41375" w:rsidP="00117666">
      <w:pPr>
        <w:spacing w:after="0"/>
      </w:pPr>
      <w:r>
        <w:separator/>
      </w:r>
    </w:p>
  </w:footnote>
  <w:footnote w:type="continuationSeparator" w:id="0">
    <w:p w14:paraId="71D8C26A" w14:textId="77777777" w:rsidR="00A41375" w:rsidRDefault="00A4137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KwNLU0NDKxMDGwMDVW0lEKTi0uzszPAykwrwUA9Zq50SwAAAA="/>
  </w:docVars>
  <w:rsids>
    <w:rsidRoot w:val="00803D24"/>
    <w:rsid w:val="0001436A"/>
    <w:rsid w:val="00034304"/>
    <w:rsid w:val="00035434"/>
    <w:rsid w:val="00052A14"/>
    <w:rsid w:val="00063F36"/>
    <w:rsid w:val="00077D53"/>
    <w:rsid w:val="00077E44"/>
    <w:rsid w:val="000F4DCE"/>
    <w:rsid w:val="00105FD9"/>
    <w:rsid w:val="00117666"/>
    <w:rsid w:val="0015030C"/>
    <w:rsid w:val="001549D3"/>
    <w:rsid w:val="00160065"/>
    <w:rsid w:val="00176D5A"/>
    <w:rsid w:val="00177D84"/>
    <w:rsid w:val="00230A8B"/>
    <w:rsid w:val="00263B6C"/>
    <w:rsid w:val="00267D18"/>
    <w:rsid w:val="002868E2"/>
    <w:rsid w:val="002869C3"/>
    <w:rsid w:val="002936E4"/>
    <w:rsid w:val="002B4A57"/>
    <w:rsid w:val="002C4404"/>
    <w:rsid w:val="002C74CA"/>
    <w:rsid w:val="003146EE"/>
    <w:rsid w:val="003544FB"/>
    <w:rsid w:val="0038778E"/>
    <w:rsid w:val="003D2F2D"/>
    <w:rsid w:val="00401590"/>
    <w:rsid w:val="00447801"/>
    <w:rsid w:val="00452E9C"/>
    <w:rsid w:val="004735C8"/>
    <w:rsid w:val="00483089"/>
    <w:rsid w:val="00484051"/>
    <w:rsid w:val="004961FF"/>
    <w:rsid w:val="00517A89"/>
    <w:rsid w:val="005250F2"/>
    <w:rsid w:val="00593EEA"/>
    <w:rsid w:val="005A5EEE"/>
    <w:rsid w:val="005D4933"/>
    <w:rsid w:val="005F6BBF"/>
    <w:rsid w:val="00611767"/>
    <w:rsid w:val="006375C7"/>
    <w:rsid w:val="006436E5"/>
    <w:rsid w:val="00654E8F"/>
    <w:rsid w:val="00660D05"/>
    <w:rsid w:val="006820B1"/>
    <w:rsid w:val="006B7D14"/>
    <w:rsid w:val="00701727"/>
    <w:rsid w:val="0070566C"/>
    <w:rsid w:val="00714C50"/>
    <w:rsid w:val="00725A7D"/>
    <w:rsid w:val="00727DBA"/>
    <w:rsid w:val="007501BE"/>
    <w:rsid w:val="00787463"/>
    <w:rsid w:val="00790BB3"/>
    <w:rsid w:val="007A36F1"/>
    <w:rsid w:val="007C206C"/>
    <w:rsid w:val="00803D24"/>
    <w:rsid w:val="00814835"/>
    <w:rsid w:val="00817DD6"/>
    <w:rsid w:val="00885156"/>
    <w:rsid w:val="009151AA"/>
    <w:rsid w:val="0093429D"/>
    <w:rsid w:val="00943573"/>
    <w:rsid w:val="00970F7D"/>
    <w:rsid w:val="0097429A"/>
    <w:rsid w:val="00994A3D"/>
    <w:rsid w:val="009A73F4"/>
    <w:rsid w:val="009C2B12"/>
    <w:rsid w:val="009C70F3"/>
    <w:rsid w:val="00A174D9"/>
    <w:rsid w:val="00A3060A"/>
    <w:rsid w:val="00A41375"/>
    <w:rsid w:val="00A5661E"/>
    <w:rsid w:val="00A569CD"/>
    <w:rsid w:val="00A933CE"/>
    <w:rsid w:val="00AB6715"/>
    <w:rsid w:val="00B1671E"/>
    <w:rsid w:val="00B201A9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C6CDE"/>
    <w:rsid w:val="00DE23E8"/>
    <w:rsid w:val="00E52377"/>
    <w:rsid w:val="00E64E17"/>
    <w:rsid w:val="00E866C9"/>
    <w:rsid w:val="00E86B27"/>
    <w:rsid w:val="00EA3D3C"/>
    <w:rsid w:val="00EC4EAA"/>
    <w:rsid w:val="00F46900"/>
    <w:rsid w:val="00F61D89"/>
    <w:rsid w:val="00FF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aguirrej@ufl.ed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26005759-6815-4540-b8ea-913958d74f23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970c08f3-bdc0-46be-888b-e62464d9f78c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DF5FB3-05F8-43D4-A187-E3412B6D0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6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Aguirre,Jose I</cp:lastModifiedBy>
  <cp:revision>3</cp:revision>
  <cp:lastPrinted>2013-10-03T12:51:00Z</cp:lastPrinted>
  <dcterms:created xsi:type="dcterms:W3CDTF">2023-05-03T22:48:00Z</dcterms:created>
  <dcterms:modified xsi:type="dcterms:W3CDTF">2023-05-04T14:06:00Z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