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B5ED" w14:textId="77777777" w:rsidR="006078BB" w:rsidRPr="006078BB" w:rsidRDefault="006078BB" w:rsidP="006078BB">
      <w:pPr>
        <w:pStyle w:val="Heading1"/>
        <w:spacing w:line="360" w:lineRule="auto"/>
        <w:jc w:val="both"/>
        <w:rPr>
          <w:rFonts w:ascii="Arial" w:hAnsi="Arial" w:cs="Arial"/>
          <w:lang w:val="en-US"/>
        </w:rPr>
      </w:pPr>
      <w:r w:rsidRPr="00015AA7">
        <w:rPr>
          <w:rFonts w:ascii="Arial" w:hAnsi="Arial" w:cs="Arial"/>
          <w:lang w:val="en-US"/>
        </w:rPr>
        <w:t>Supplementary</w:t>
      </w:r>
    </w:p>
    <w:p w14:paraId="4A8A3078" w14:textId="77777777" w:rsidR="006078BB" w:rsidRPr="0026529D" w:rsidRDefault="006078BB" w:rsidP="006078BB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rial" w:hAnsi="Arial" w:cs="Arial"/>
          <w:color w:val="000000"/>
          <w:sz w:val="20"/>
          <w:szCs w:val="20"/>
          <w:lang w:val="en-US" w:eastAsia="zh-CN"/>
        </w:rPr>
      </w:pPr>
      <w:r w:rsidRPr="0026529D">
        <w:rPr>
          <w:rFonts w:ascii="Arial" w:hAnsi="Arial" w:cs="Arial"/>
          <w:color w:val="000000"/>
          <w:sz w:val="20"/>
          <w:szCs w:val="20"/>
          <w:lang w:val="en-US" w:eastAsia="zh-CN"/>
        </w:rPr>
        <w:t>TABLE S1  KMO and Bartlett’s Test.</w:t>
      </w:r>
    </w:p>
    <w:tbl>
      <w:tblPr>
        <w:tblpPr w:leftFromText="180" w:rightFromText="180" w:vertAnchor="text" w:horzAnchor="margin" w:tblpY="10"/>
        <w:tblW w:w="7075" w:type="dxa"/>
        <w:tblLook w:val="04A0" w:firstRow="1" w:lastRow="0" w:firstColumn="1" w:lastColumn="0" w:noHBand="0" w:noVBand="1"/>
      </w:tblPr>
      <w:tblGrid>
        <w:gridCol w:w="882"/>
        <w:gridCol w:w="879"/>
        <w:gridCol w:w="1089"/>
        <w:gridCol w:w="284"/>
        <w:gridCol w:w="2410"/>
        <w:gridCol w:w="1531"/>
      </w:tblGrid>
      <w:tr w:rsidR="006078BB" w:rsidRPr="00015AA7" w14:paraId="64E30FA0" w14:textId="77777777" w:rsidTr="006078BB">
        <w:trPr>
          <w:trHeight w:val="330"/>
        </w:trPr>
        <w:tc>
          <w:tcPr>
            <w:tcW w:w="55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327250AC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  <w:t>Kaiser-Meyer-Olkin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  <w:t>Measure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  <w:t>of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  <w:t>Sampling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  <w:t>Adequacy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668DB198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lang w:val="en-US" w:eastAsia="zh-CN"/>
              </w:rPr>
              <w:t>0.619</w:t>
            </w:r>
          </w:p>
        </w:tc>
      </w:tr>
      <w:tr w:rsidR="006078BB" w:rsidRPr="00015AA7" w14:paraId="28B5BCBD" w14:textId="77777777" w:rsidTr="006078BB">
        <w:trPr>
          <w:trHeight w:val="330"/>
        </w:trPr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4D2E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Bartlett's</w:t>
            </w:r>
            <w:r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Test</w:t>
            </w:r>
            <w:r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of</w:t>
            </w:r>
            <w:r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Sphericity</w:t>
            </w:r>
            <w:r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 xml:space="preserve"> 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CD8AA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F4CF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Approx.</w:t>
            </w:r>
            <w:r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Chi-Square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7734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5035.95</w:t>
            </w:r>
          </w:p>
        </w:tc>
      </w:tr>
      <w:tr w:rsidR="006078BB" w:rsidRPr="00015AA7" w14:paraId="371A19DC" w14:textId="77777777" w:rsidTr="006078BB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7700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01AC1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638F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521E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3BB1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  <w:proofErr w:type="spellStart"/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df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B345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55</w:t>
            </w:r>
          </w:p>
        </w:tc>
      </w:tr>
      <w:tr w:rsidR="006078BB" w:rsidRPr="00015AA7" w14:paraId="021B8D39" w14:textId="77777777" w:rsidTr="006078BB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E4CF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DBDF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BF1D3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8F035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4292D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Sig.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C6A01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lang w:val="en-US" w:eastAsia="zh-CN"/>
              </w:rPr>
              <w:t>0.000</w:t>
            </w:r>
          </w:p>
        </w:tc>
      </w:tr>
    </w:tbl>
    <w:p w14:paraId="7605638C" w14:textId="77777777" w:rsidR="006078BB" w:rsidRPr="00015AA7" w:rsidRDefault="006078BB" w:rsidP="006078BB">
      <w:pPr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Arial" w:hAnsi="Arial" w:cs="Arial"/>
          <w:color w:val="000000"/>
          <w:lang w:val="en-US" w:eastAsia="zh-CN"/>
        </w:rPr>
      </w:pPr>
    </w:p>
    <w:p w14:paraId="47C8F9A2" w14:textId="77777777" w:rsidR="006078BB" w:rsidRDefault="006078BB" w:rsidP="006078BB">
      <w:pPr>
        <w:spacing w:line="360" w:lineRule="auto"/>
        <w:jc w:val="both"/>
        <w:rPr>
          <w:rFonts w:ascii="Arial" w:hAnsi="Arial" w:cs="Arial"/>
          <w:lang w:val="en-US" w:eastAsia="zh-CN"/>
        </w:rPr>
      </w:pPr>
    </w:p>
    <w:p w14:paraId="041D8B81" w14:textId="77777777" w:rsidR="006078BB" w:rsidRDefault="006078BB" w:rsidP="006078BB">
      <w:pPr>
        <w:spacing w:line="360" w:lineRule="auto"/>
        <w:jc w:val="both"/>
        <w:rPr>
          <w:rFonts w:ascii="Arial" w:hAnsi="Arial" w:cs="Arial"/>
          <w:lang w:val="en-US" w:eastAsia="zh-CN"/>
        </w:rPr>
      </w:pPr>
    </w:p>
    <w:p w14:paraId="7C7D8A8F" w14:textId="77777777" w:rsidR="006078BB" w:rsidRDefault="006078BB" w:rsidP="006078BB">
      <w:pPr>
        <w:spacing w:line="360" w:lineRule="auto"/>
        <w:jc w:val="both"/>
        <w:rPr>
          <w:rFonts w:ascii="Arial" w:hAnsi="Arial" w:cs="Arial"/>
          <w:lang w:val="en-US" w:eastAsia="zh-CN"/>
        </w:rPr>
      </w:pPr>
    </w:p>
    <w:tbl>
      <w:tblPr>
        <w:tblpPr w:leftFromText="180" w:rightFromText="180" w:vertAnchor="text" w:horzAnchor="margin" w:tblpY="552"/>
        <w:tblW w:w="5000" w:type="pct"/>
        <w:tblLook w:val="04A0" w:firstRow="1" w:lastRow="0" w:firstColumn="1" w:lastColumn="0" w:noHBand="0" w:noVBand="1"/>
      </w:tblPr>
      <w:tblGrid>
        <w:gridCol w:w="1482"/>
        <w:gridCol w:w="826"/>
        <w:gridCol w:w="1659"/>
        <w:gridCol w:w="1645"/>
        <w:gridCol w:w="826"/>
        <w:gridCol w:w="1659"/>
        <w:gridCol w:w="1649"/>
      </w:tblGrid>
      <w:tr w:rsidR="006078BB" w:rsidRPr="000F373F" w14:paraId="7BDAFB7C" w14:textId="77777777" w:rsidTr="006078BB">
        <w:trPr>
          <w:trHeight w:val="330"/>
        </w:trPr>
        <w:tc>
          <w:tcPr>
            <w:tcW w:w="760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773980B7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Principal</w:t>
            </w:r>
          </w:p>
          <w:p w14:paraId="740BD48E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components</w:t>
            </w:r>
          </w:p>
        </w:tc>
        <w:tc>
          <w:tcPr>
            <w:tcW w:w="211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04E630F8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Initial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Eigenvalues</w:t>
            </w:r>
          </w:p>
        </w:tc>
        <w:tc>
          <w:tcPr>
            <w:tcW w:w="212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0DF1446E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Extraction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Sums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of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Squared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Loadings</w:t>
            </w:r>
          </w:p>
        </w:tc>
      </w:tr>
      <w:tr w:rsidR="006078BB" w:rsidRPr="00015AA7" w14:paraId="2C1B331F" w14:textId="77777777" w:rsidTr="006078BB">
        <w:trPr>
          <w:trHeight w:val="330"/>
        </w:trPr>
        <w:tc>
          <w:tcPr>
            <w:tcW w:w="760" w:type="pct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1AEEC7D9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557596CA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1B269DC0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%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of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Variance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337E847A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Cumulative%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17ACF8DD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Total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61D40722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%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of</w:t>
            </w:r>
            <w:r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 xml:space="preserve"> </w:t>
            </w: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Variance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76923C" w:themeFill="accent3" w:themeFillShade="BF"/>
            <w:noWrap/>
            <w:vAlign w:val="center"/>
            <w:hideMark/>
          </w:tcPr>
          <w:p w14:paraId="1E227CD1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FFFFFF" w:themeColor="background1"/>
                <w:sz w:val="18"/>
                <w:szCs w:val="18"/>
                <w:lang w:val="en-US" w:eastAsia="zh-CN"/>
              </w:rPr>
              <w:t>Cumulative%</w:t>
            </w:r>
          </w:p>
        </w:tc>
      </w:tr>
      <w:tr w:rsidR="006078BB" w:rsidRPr="00015AA7" w14:paraId="5ADA8F60" w14:textId="77777777" w:rsidTr="006078BB">
        <w:trPr>
          <w:trHeight w:val="330"/>
        </w:trPr>
        <w:tc>
          <w:tcPr>
            <w:tcW w:w="7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F3E5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648B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4.576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05DB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41.602</w:t>
            </w:r>
          </w:p>
        </w:tc>
        <w:tc>
          <w:tcPr>
            <w:tcW w:w="84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888D6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41.602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5142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4.576</w:t>
            </w:r>
          </w:p>
        </w:tc>
        <w:tc>
          <w:tcPr>
            <w:tcW w:w="85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30CF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41.602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5B40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41.602</w:t>
            </w:r>
          </w:p>
        </w:tc>
      </w:tr>
      <w:tr w:rsidR="006078BB" w:rsidRPr="00015AA7" w14:paraId="739E8691" w14:textId="77777777" w:rsidTr="006078BB">
        <w:trPr>
          <w:trHeight w:val="33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29B9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5B7F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2.156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074F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19.598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11F4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61.200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9695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2.156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9CE8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19.598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54C3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61.200</w:t>
            </w:r>
          </w:p>
        </w:tc>
      </w:tr>
      <w:tr w:rsidR="006078BB" w:rsidRPr="00015AA7" w14:paraId="6D781979" w14:textId="77777777" w:rsidTr="006078BB">
        <w:trPr>
          <w:trHeight w:val="33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5EB1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6312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1.450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A147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13.180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EDE50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74.381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5B69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1.450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9565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13.180</w:t>
            </w: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441F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74.381</w:t>
            </w:r>
          </w:p>
        </w:tc>
      </w:tr>
      <w:tr w:rsidR="006078BB" w:rsidRPr="00015AA7" w14:paraId="0FAFD8EC" w14:textId="77777777" w:rsidTr="006078BB">
        <w:trPr>
          <w:trHeight w:val="33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2A59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67AE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0.858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65C3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7.802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C4BA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82.183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8FA13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E70F5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60D6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6078BB" w:rsidRPr="00015AA7" w14:paraId="61C44D25" w14:textId="77777777" w:rsidTr="006078BB">
        <w:trPr>
          <w:trHeight w:val="33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8DC7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0666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0.607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619B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5.522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3605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87.705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5F4C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954B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517F1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6078BB" w:rsidRPr="00015AA7" w14:paraId="27641F78" w14:textId="77777777" w:rsidTr="006078BB">
        <w:trPr>
          <w:trHeight w:val="33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0610E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1D0B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0.43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095C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3.911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6EA81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91.616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F6022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C934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E82FE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6078BB" w:rsidRPr="00015AA7" w14:paraId="6A54F9EF" w14:textId="77777777" w:rsidTr="006078BB">
        <w:trPr>
          <w:trHeight w:val="33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8063A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AB6B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0.358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2B99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3.252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4CA5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94.867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3B65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96948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8D5F6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6078BB" w:rsidRPr="00015AA7" w14:paraId="7CD0EF4D" w14:textId="77777777" w:rsidTr="006078BB">
        <w:trPr>
          <w:trHeight w:val="33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2F2C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93A9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0.254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8AB8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2.311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83E4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97.178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B3DE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3705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9FE4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6078BB" w:rsidRPr="00015AA7" w14:paraId="3EFEC6D7" w14:textId="77777777" w:rsidTr="006078BB">
        <w:trPr>
          <w:trHeight w:val="33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5860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06160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0.229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5526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2.084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7243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99.262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5DE9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B14C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A1FA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6078BB" w:rsidRPr="00015AA7" w14:paraId="5E2CDB79" w14:textId="77777777" w:rsidTr="006078BB">
        <w:trPr>
          <w:trHeight w:val="330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09D6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92783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0.077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C573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0.698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A62B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99.959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8DD9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8997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0B78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:rsidR="006078BB" w:rsidRPr="00015AA7" w14:paraId="0193AA24" w14:textId="77777777" w:rsidTr="006078BB">
        <w:trPr>
          <w:trHeight w:val="330"/>
        </w:trPr>
        <w:tc>
          <w:tcPr>
            <w:tcW w:w="76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CABD6" w14:textId="77777777" w:rsidR="006078BB" w:rsidRPr="00015AA7" w:rsidRDefault="006078BB" w:rsidP="006078BB">
            <w:pPr>
              <w:spacing w:after="0" w:line="276" w:lineRule="auto"/>
              <w:jc w:val="both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92CC1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0.004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68CE7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0.041</w:t>
            </w:r>
          </w:p>
        </w:tc>
        <w:tc>
          <w:tcPr>
            <w:tcW w:w="8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85AE0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  <w:r w:rsidRPr="00015AA7"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  <w:t>100.000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31EDE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3D5CE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E31A6" w14:textId="77777777" w:rsidR="006078BB" w:rsidRPr="00015AA7" w:rsidRDefault="006078BB" w:rsidP="006078BB">
            <w:pPr>
              <w:spacing w:after="0" w:line="276" w:lineRule="auto"/>
              <w:jc w:val="center"/>
              <w:rPr>
                <w:rFonts w:ascii="Arial" w:eastAsia="Arial Unicode MS" w:hAnsi="Arial" w:cs="Arial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 w14:paraId="18F2CBDF" w14:textId="77777777" w:rsidR="00CF668E" w:rsidRPr="006078BB" w:rsidRDefault="006078BB" w:rsidP="006078BB">
      <w:pPr>
        <w:spacing w:line="360" w:lineRule="auto"/>
        <w:jc w:val="both"/>
        <w:rPr>
          <w:rFonts w:ascii="Arial" w:hAnsi="Arial" w:cs="Arial"/>
          <w:sz w:val="20"/>
          <w:szCs w:val="20"/>
          <w:lang w:val="en-US" w:eastAsia="zh-CN"/>
        </w:rPr>
      </w:pPr>
      <w:r w:rsidRPr="0026529D">
        <w:rPr>
          <w:rFonts w:ascii="Arial" w:hAnsi="Arial" w:cs="Arial"/>
          <w:sz w:val="20"/>
          <w:szCs w:val="20"/>
          <w:lang w:val="en-US" w:eastAsia="zh-CN"/>
        </w:rPr>
        <w:t>TABLE S2  Total variance explained.</w:t>
      </w:r>
    </w:p>
    <w:sectPr w:rsidR="00CF668E" w:rsidRPr="006078BB" w:rsidSect="00E50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EA4DF" w14:textId="77777777" w:rsidR="00000000" w:rsidRDefault="00E50FFC">
      <w:pPr>
        <w:spacing w:after="0" w:line="240" w:lineRule="auto"/>
      </w:pPr>
      <w:r>
        <w:separator/>
      </w:r>
    </w:p>
  </w:endnote>
  <w:endnote w:type="continuationSeparator" w:id="0">
    <w:p w14:paraId="50EF1206" w14:textId="77777777" w:rsidR="00000000" w:rsidRDefault="00E5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icrosoft YaHei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18C6" w14:textId="77777777" w:rsidR="000F373F" w:rsidRDefault="00E50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049857"/>
      <w:docPartObj>
        <w:docPartGallery w:val="Page Numbers (Bottom of Page)"/>
        <w:docPartUnique/>
      </w:docPartObj>
    </w:sdtPr>
    <w:sdtEndPr/>
    <w:sdtContent>
      <w:p w14:paraId="3A984F8E" w14:textId="77777777" w:rsidR="000F373F" w:rsidRDefault="006078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0030D973" w14:textId="77777777" w:rsidR="000F373F" w:rsidRDefault="00E50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9DB94" w14:textId="77777777" w:rsidR="000F373F" w:rsidRDefault="00E50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E49C" w14:textId="77777777" w:rsidR="00000000" w:rsidRDefault="00E50FFC">
      <w:pPr>
        <w:spacing w:after="0" w:line="240" w:lineRule="auto"/>
      </w:pPr>
      <w:r>
        <w:separator/>
      </w:r>
    </w:p>
  </w:footnote>
  <w:footnote w:type="continuationSeparator" w:id="0">
    <w:p w14:paraId="540044D1" w14:textId="77777777" w:rsidR="00000000" w:rsidRDefault="00E5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C87E" w14:textId="77777777" w:rsidR="000F373F" w:rsidRDefault="00E50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16E1" w14:textId="77777777" w:rsidR="000F373F" w:rsidRDefault="00E50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8623" w14:textId="77777777" w:rsidR="000F373F" w:rsidRDefault="00E50F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BB"/>
    <w:rsid w:val="003662B4"/>
    <w:rsid w:val="003D1787"/>
    <w:rsid w:val="00503AD7"/>
    <w:rsid w:val="00546729"/>
    <w:rsid w:val="005D7125"/>
    <w:rsid w:val="006078BB"/>
    <w:rsid w:val="0072237D"/>
    <w:rsid w:val="007D4D2D"/>
    <w:rsid w:val="008D2C8C"/>
    <w:rsid w:val="00972417"/>
    <w:rsid w:val="00E5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3A777"/>
  <w15:chartTrackingRefBased/>
  <w15:docId w15:val="{12E31F84-B796-48F7-A5F6-0737114B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8BB"/>
    <w:pPr>
      <w:spacing w:after="160" w:line="259" w:lineRule="auto"/>
    </w:pPr>
    <w:rPr>
      <w:rFonts w:ascii="Calibri" w:eastAsia="DengXian" w:hAnsi="Calibri" w:cs="Times New Roman"/>
      <w:kern w:val="0"/>
      <w:sz w:val="22"/>
      <w:lang w:val="nb-N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8BB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8BB"/>
    <w:rPr>
      <w:rFonts w:ascii="Calibri Light" w:eastAsia="Times New Roman" w:hAnsi="Calibri Light" w:cs="Times New Roman"/>
      <w:color w:val="2F5496"/>
      <w:kern w:val="0"/>
      <w:sz w:val="32"/>
      <w:szCs w:val="32"/>
      <w:lang w:val="nb-NO" w:eastAsia="en-US"/>
    </w:rPr>
  </w:style>
  <w:style w:type="paragraph" w:styleId="Header">
    <w:name w:val="header"/>
    <w:basedOn w:val="Normal"/>
    <w:link w:val="HeaderChar"/>
    <w:uiPriority w:val="99"/>
    <w:unhideWhenUsed/>
    <w:rsid w:val="00607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8BB"/>
    <w:rPr>
      <w:rFonts w:ascii="Calibri" w:eastAsia="DengXian" w:hAnsi="Calibri" w:cs="Times New Roman"/>
      <w:kern w:val="0"/>
      <w:sz w:val="18"/>
      <w:szCs w:val="18"/>
      <w:lang w:val="nb-NO" w:eastAsia="en-US"/>
    </w:rPr>
  </w:style>
  <w:style w:type="paragraph" w:styleId="Footer">
    <w:name w:val="footer"/>
    <w:basedOn w:val="Normal"/>
    <w:link w:val="FooterChar"/>
    <w:uiPriority w:val="99"/>
    <w:unhideWhenUsed/>
    <w:rsid w:val="006078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8BB"/>
    <w:rPr>
      <w:rFonts w:ascii="Calibri" w:eastAsia="DengXian" w:hAnsi="Calibri" w:cs="Times New Roman"/>
      <w:kern w:val="0"/>
      <w:sz w:val="18"/>
      <w:szCs w:val="18"/>
      <w:lang w:val="nb-NO" w:eastAsia="en-US"/>
    </w:rPr>
  </w:style>
  <w:style w:type="character" w:styleId="LineNumber">
    <w:name w:val="line number"/>
    <w:basedOn w:val="DefaultParagraphFont"/>
    <w:uiPriority w:val="99"/>
    <w:semiHidden/>
    <w:unhideWhenUsed/>
    <w:rsid w:val="0060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XieLina</dc:creator>
  <cp:keywords/>
  <dc:description/>
  <cp:lastModifiedBy>Laura Goodfellow</cp:lastModifiedBy>
  <cp:revision>2</cp:revision>
  <dcterms:created xsi:type="dcterms:W3CDTF">2023-05-04T08:32:00Z</dcterms:created>
  <dcterms:modified xsi:type="dcterms:W3CDTF">2023-05-04T08:32:00Z</dcterms:modified>
</cp:coreProperties>
</file>