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08C11" w14:textId="77777777" w:rsidR="00051C87" w:rsidRDefault="00051C87" w:rsidP="00051C87">
      <w:pPr>
        <w:pStyle w:val="BodyA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0" w:name="_Hlk93861555"/>
      <w:bookmarkStart w:id="1" w:name="_Hlk93909837"/>
      <w:bookmarkStart w:id="2" w:name="_Hlk96370270"/>
      <w:r>
        <w:rPr>
          <w:rFonts w:ascii="Times New Roman" w:hAnsi="Times New Roman"/>
          <w:b/>
          <w:bCs/>
          <w:color w:val="auto"/>
          <w:sz w:val="28"/>
          <w:szCs w:val="28"/>
        </w:rPr>
        <w:t>Integrated metabolome and transcriptome analyses provide insight into the effect of red and blue LEDs on the quality of sweet potato leaves</w:t>
      </w:r>
      <w:bookmarkEnd w:id="0"/>
    </w:p>
    <w:p w14:paraId="703B7386" w14:textId="77777777" w:rsidR="00DC2539" w:rsidRPr="00F027AF" w:rsidRDefault="00BB5151">
      <w:pPr>
        <w:pStyle w:val="NormalWeb"/>
        <w:spacing w:beforeAutospacing="0" w:after="0" w:afterAutospacing="0"/>
        <w:jc w:val="both"/>
      </w:pPr>
      <w:r w:rsidRPr="00F027AF">
        <w:rPr>
          <w:noProof/>
        </w:rPr>
        <w:drawing>
          <wp:inline distT="0" distB="0" distL="0" distR="0" wp14:anchorId="3DEFE947" wp14:editId="37D51658">
            <wp:extent cx="5715000" cy="2114550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CB66" w14:textId="380C721C" w:rsidR="00DC2539" w:rsidRPr="00F027AF" w:rsidRDefault="00BB5151">
      <w:pPr>
        <w:pStyle w:val="NormalWeb"/>
        <w:spacing w:beforeAutospacing="0" w:after="240" w:afterAutospacing="0"/>
        <w:jc w:val="both"/>
      </w:pPr>
      <w:r w:rsidRPr="00F027AF">
        <w:rPr>
          <w:b/>
        </w:rPr>
        <w:t>Figure S1</w:t>
      </w:r>
      <w:r w:rsidRPr="00F027AF">
        <w:t xml:space="preserve">: </w:t>
      </w:r>
      <w:bookmarkStart w:id="3" w:name="_Hlk96947691"/>
      <w:r w:rsidR="008164D7">
        <w:t>S</w:t>
      </w:r>
      <w:r w:rsidRPr="00F027AF">
        <w:t xml:space="preserve">weet potato </w:t>
      </w:r>
      <w:r w:rsidRPr="00F027AF">
        <w:rPr>
          <w:shd w:val="clear" w:color="auto" w:fill="FFFFFF"/>
        </w:rPr>
        <w:t>(</w:t>
      </w:r>
      <w:r w:rsidRPr="00F027AF">
        <w:rPr>
          <w:i/>
          <w:iCs/>
          <w:shd w:val="clear" w:color="auto" w:fill="FFFFFF"/>
        </w:rPr>
        <w:t xml:space="preserve">I. batatas </w:t>
      </w:r>
      <w:r w:rsidRPr="00F027AF">
        <w:rPr>
          <w:shd w:val="clear" w:color="auto" w:fill="FFFFFF"/>
        </w:rPr>
        <w:t xml:space="preserve">(L.) Lam) </w:t>
      </w:r>
      <w:r w:rsidRPr="00F027AF">
        <w:t>vines grown under red and blue LED lights. (</w:t>
      </w:r>
      <w:r w:rsidRPr="00F027AF">
        <w:rPr>
          <w:b/>
        </w:rPr>
        <w:t>A</w:t>
      </w:r>
      <w:r w:rsidRPr="00F027AF">
        <w:t xml:space="preserve">). vines </w:t>
      </w:r>
      <w:r w:rsidRPr="00F027AF">
        <w:t>exposed to red (100 %) and blue (100 %) LED lights. (</w:t>
      </w:r>
      <w:r w:rsidRPr="00F027AF">
        <w:rPr>
          <w:b/>
        </w:rPr>
        <w:t>B</w:t>
      </w:r>
      <w:r w:rsidRPr="00F027AF">
        <w:t>). vines showing the extent of leaf senescence (L2-red 100 %) and (L2-blue 100 %). (</w:t>
      </w:r>
      <w:r w:rsidRPr="00F027AF">
        <w:rPr>
          <w:b/>
          <w:bCs/>
        </w:rPr>
        <w:t>C</w:t>
      </w:r>
      <w:r w:rsidRPr="00F027AF">
        <w:t>). The intumescence is more apparent in the leaves grown under red LED light, and the leaves grown under blue look gr</w:t>
      </w:r>
      <w:r w:rsidRPr="00F027AF">
        <w:t>eener and intact</w:t>
      </w:r>
      <w:bookmarkEnd w:id="1"/>
      <w:bookmarkEnd w:id="2"/>
      <w:bookmarkEnd w:id="3"/>
      <w:r w:rsidRPr="00F027AF">
        <w:t>.</w:t>
      </w:r>
    </w:p>
    <w:p w14:paraId="2C46DB4D" w14:textId="77777777" w:rsidR="00DC2539" w:rsidRPr="00F027AF" w:rsidRDefault="00BB5151">
      <w:pPr>
        <w:pStyle w:val="NormalWeb"/>
        <w:spacing w:beforeAutospacing="0" w:after="240" w:afterAutospacing="0"/>
        <w:jc w:val="center"/>
      </w:pPr>
      <w:r w:rsidRPr="00F027AF">
        <w:rPr>
          <w:noProof/>
        </w:rPr>
        <w:drawing>
          <wp:inline distT="0" distB="0" distL="0" distR="0" wp14:anchorId="04C707BD" wp14:editId="62808200">
            <wp:extent cx="4924425" cy="4229100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EB3F" w14:textId="2BBE0169" w:rsidR="00DC2539" w:rsidRPr="00F027AF" w:rsidRDefault="00BB5151">
      <w:pPr>
        <w:pStyle w:val="NormalWeb"/>
        <w:spacing w:beforeAutospacing="0" w:after="240" w:afterAutospacing="0"/>
        <w:jc w:val="both"/>
      </w:pPr>
      <w:r w:rsidRPr="00F027AF">
        <w:rPr>
          <w:b/>
        </w:rPr>
        <w:t>Figure</w:t>
      </w:r>
      <w:r w:rsidRPr="00F027AF">
        <w:rPr>
          <w:b/>
          <w:bCs/>
        </w:rPr>
        <w:t xml:space="preserve"> S2.</w:t>
      </w:r>
      <w:r w:rsidRPr="00F027AF">
        <w:t xml:space="preserve"> Volcano plot showing a total of 615 detected DEGs, 510 down-regulated (expressed higher in blue LED treated sweet potato than red LED) and 105 up-regulated (expressed higher in red LED treated sweet potato than blue LED) in s</w:t>
      </w:r>
      <w:r w:rsidRPr="00F027AF">
        <w:t xml:space="preserve">weet potato </w:t>
      </w:r>
      <w:r w:rsidRPr="00F027AF">
        <w:rPr>
          <w:shd w:val="clear" w:color="auto" w:fill="FFFFFF"/>
        </w:rPr>
        <w:t>(</w:t>
      </w:r>
      <w:r w:rsidRPr="00F027AF">
        <w:rPr>
          <w:i/>
          <w:iCs/>
          <w:shd w:val="clear" w:color="auto" w:fill="FFFFFF"/>
        </w:rPr>
        <w:t xml:space="preserve">I. batatas </w:t>
      </w:r>
      <w:r w:rsidRPr="00F027AF">
        <w:rPr>
          <w:shd w:val="clear" w:color="auto" w:fill="FFFFFF"/>
        </w:rPr>
        <w:t xml:space="preserve">(L.) Lam) </w:t>
      </w:r>
      <w:r w:rsidRPr="00F027AF">
        <w:t>leaves grown with red and blue LEDs.</w:t>
      </w:r>
    </w:p>
    <w:p w14:paraId="08E8944D" w14:textId="77777777" w:rsidR="00DC2539" w:rsidRPr="00F027AF" w:rsidRDefault="00BB5151">
      <w:pPr>
        <w:pStyle w:val="NormalWeb"/>
        <w:spacing w:beforeAutospacing="0" w:after="0" w:afterAutospacing="0"/>
        <w:jc w:val="center"/>
      </w:pPr>
      <w:r w:rsidRPr="00F027AF">
        <w:rPr>
          <w:noProof/>
        </w:rPr>
        <w:lastRenderedPageBreak/>
        <w:drawing>
          <wp:inline distT="0" distB="0" distL="0" distR="0" wp14:anchorId="77081782" wp14:editId="0C7ACA72">
            <wp:extent cx="5429250" cy="442912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FB3A" w14:textId="3348E8A5" w:rsidR="00DC2539" w:rsidRPr="00F027AF" w:rsidRDefault="00BB5151">
      <w:pPr>
        <w:pStyle w:val="NormalWeb"/>
        <w:spacing w:beforeAutospacing="0" w:after="240" w:afterAutospacing="0"/>
        <w:jc w:val="both"/>
      </w:pPr>
      <w:r w:rsidRPr="00F027AF">
        <w:rPr>
          <w:b/>
        </w:rPr>
        <w:t>Figure S3</w:t>
      </w:r>
      <w:r w:rsidRPr="00F027AF">
        <w:t xml:space="preserve">: Top twenty </w:t>
      </w:r>
      <w:r w:rsidRPr="00F027AF">
        <w:rPr>
          <w:rStyle w:val="Hyperlink0"/>
        </w:rPr>
        <w:t xml:space="preserve">Kyoto Encyclopedia of Genes and Genomes (KEGG) enriched pathway of </w:t>
      </w:r>
      <w:r w:rsidRPr="00F027AF">
        <w:t xml:space="preserve">sweet potato </w:t>
      </w:r>
      <w:r w:rsidRPr="00F027AF">
        <w:rPr>
          <w:shd w:val="clear" w:color="auto" w:fill="FFFFFF"/>
        </w:rPr>
        <w:t>(</w:t>
      </w:r>
      <w:r w:rsidRPr="00F027AF">
        <w:rPr>
          <w:i/>
          <w:iCs/>
          <w:shd w:val="clear" w:color="auto" w:fill="FFFFFF"/>
        </w:rPr>
        <w:t xml:space="preserve">I. batatas </w:t>
      </w:r>
      <w:r w:rsidRPr="00F027AF">
        <w:rPr>
          <w:shd w:val="clear" w:color="auto" w:fill="FFFFFF"/>
        </w:rPr>
        <w:t xml:space="preserve">(L.) Lam) </w:t>
      </w:r>
      <w:r w:rsidRPr="00F027AF">
        <w:t>vines grown under red and blue LED. The underlined pathways</w:t>
      </w:r>
      <w:r w:rsidRPr="00F027AF">
        <w:t xml:space="preserve"> on the left side of scatter plot were significantly differentiated between blue and red LED with a threshold of </w:t>
      </w:r>
      <w:r w:rsidRPr="00F027AF">
        <w:rPr>
          <w:i/>
          <w:iCs/>
        </w:rPr>
        <w:t>P ≤ 0.05</w:t>
      </w:r>
      <w:r w:rsidRPr="00F027AF">
        <w:t xml:space="preserve">. </w:t>
      </w:r>
    </w:p>
    <w:p w14:paraId="2AEBD52F" w14:textId="77777777" w:rsidR="00DC2539" w:rsidRPr="00F027AF" w:rsidRDefault="00DC2539">
      <w:pPr>
        <w:pStyle w:val="NormalWeb"/>
        <w:spacing w:beforeAutospacing="0" w:after="240" w:afterAutospacing="0"/>
        <w:jc w:val="both"/>
      </w:pPr>
    </w:p>
    <w:p w14:paraId="345E423E" w14:textId="77777777" w:rsidR="00DC2539" w:rsidRPr="00F027AF" w:rsidRDefault="00DC2539">
      <w:pPr>
        <w:pStyle w:val="NormalWeb"/>
        <w:spacing w:beforeAutospacing="0" w:after="240" w:afterAutospacing="0"/>
        <w:jc w:val="both"/>
      </w:pPr>
    </w:p>
    <w:p w14:paraId="1F201A05" w14:textId="77777777" w:rsidR="00DC2539" w:rsidRPr="00F027AF" w:rsidRDefault="00DC2539">
      <w:pPr>
        <w:pStyle w:val="NormalWeb"/>
        <w:spacing w:beforeAutospacing="0" w:after="240" w:afterAutospacing="0"/>
        <w:jc w:val="both"/>
      </w:pPr>
    </w:p>
    <w:p w14:paraId="2D92EEF6" w14:textId="77777777" w:rsidR="00DC2539" w:rsidRPr="00F027AF" w:rsidRDefault="00DC2539">
      <w:pPr>
        <w:pStyle w:val="NormalWeb"/>
        <w:spacing w:beforeAutospacing="0" w:after="240" w:afterAutospacing="0"/>
        <w:jc w:val="both"/>
      </w:pPr>
    </w:p>
    <w:p w14:paraId="78E60F3B" w14:textId="77777777" w:rsidR="00DC2539" w:rsidRPr="00F027AF" w:rsidRDefault="00DC2539">
      <w:pPr>
        <w:pStyle w:val="NormalWeb"/>
        <w:spacing w:beforeAutospacing="0" w:after="240" w:afterAutospacing="0"/>
        <w:jc w:val="both"/>
      </w:pPr>
    </w:p>
    <w:p w14:paraId="2CE34FA8" w14:textId="77777777" w:rsidR="00DC2539" w:rsidRPr="00F027AF" w:rsidRDefault="00DC2539">
      <w:pPr>
        <w:pStyle w:val="NormalWeb"/>
        <w:spacing w:beforeAutospacing="0" w:after="240" w:afterAutospacing="0"/>
        <w:jc w:val="both"/>
      </w:pPr>
    </w:p>
    <w:p w14:paraId="2773B860" w14:textId="77777777" w:rsidR="00DC2539" w:rsidRPr="00F027AF" w:rsidRDefault="00DC2539">
      <w:pPr>
        <w:pStyle w:val="NormalWeb"/>
        <w:spacing w:beforeAutospacing="0" w:after="240" w:afterAutospacing="0"/>
        <w:jc w:val="both"/>
      </w:pPr>
    </w:p>
    <w:p w14:paraId="1D74F446" w14:textId="77777777" w:rsidR="00DC2539" w:rsidRPr="00F027AF" w:rsidRDefault="00DC2539">
      <w:pPr>
        <w:pStyle w:val="NormalWeb"/>
        <w:spacing w:beforeAutospacing="0" w:after="240" w:afterAutospacing="0"/>
        <w:jc w:val="both"/>
      </w:pPr>
    </w:p>
    <w:p w14:paraId="2ACBDA27" w14:textId="77777777" w:rsidR="00DC2539" w:rsidRPr="00F027AF" w:rsidRDefault="00DC2539">
      <w:pPr>
        <w:pStyle w:val="NormalWeb"/>
        <w:spacing w:beforeAutospacing="0" w:after="240" w:afterAutospacing="0"/>
        <w:jc w:val="both"/>
      </w:pPr>
    </w:p>
    <w:p w14:paraId="697CD0E6" w14:textId="77777777" w:rsidR="00DC2539" w:rsidRPr="00F027AF" w:rsidRDefault="00DC253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6F360" w14:textId="77777777" w:rsidR="00DC2539" w:rsidRPr="00F027AF" w:rsidRDefault="00DC253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39254" w14:textId="77777777" w:rsidR="00DC2539" w:rsidRPr="00F027AF" w:rsidRDefault="00DC253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15C16" w14:textId="77777777" w:rsidR="00DC2539" w:rsidRPr="00F027AF" w:rsidRDefault="00DC2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DC2539" w:rsidRPr="00F027AF">
          <w:footerReference w:type="default" r:id="rId9"/>
          <w:pgSz w:w="11906" w:h="16838"/>
          <w:pgMar w:top="1440" w:right="1440" w:bottom="1440" w:left="1440" w:header="0" w:footer="720" w:gutter="0"/>
          <w:cols w:space="720"/>
          <w:formProt w:val="0"/>
          <w:docGrid w:linePitch="360" w:charSpace="4096"/>
        </w:sectPr>
      </w:pPr>
    </w:p>
    <w:p w14:paraId="16167AFB" w14:textId="488C810D" w:rsidR="00DC2539" w:rsidRPr="00F027AF" w:rsidRDefault="00492B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13FA84A" wp14:editId="75350FEB">
            <wp:extent cx="6010275" cy="7713980"/>
            <wp:effectExtent l="0" t="0" r="952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418" cy="776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B17E" w14:textId="0F11D112" w:rsidR="00DC2539" w:rsidRPr="00F027AF" w:rsidRDefault="00BB5151">
      <w:pPr>
        <w:spacing w:after="0" w:line="240" w:lineRule="auto"/>
        <w:rPr>
          <w:rStyle w:val="Hyperlink0"/>
          <w:rFonts w:ascii="Times New Roman" w:hAnsi="Times New Roman" w:cs="Times New Roman"/>
        </w:rPr>
      </w:pPr>
      <w:r w:rsidRPr="00F027AF">
        <w:rPr>
          <w:rFonts w:ascii="Times New Roman" w:hAnsi="Times New Roman" w:cs="Times New Roman"/>
          <w:b/>
          <w:sz w:val="24"/>
          <w:szCs w:val="24"/>
        </w:rPr>
        <w:t>Figure</w:t>
      </w:r>
      <w:r w:rsidRPr="00F027AF">
        <w:rPr>
          <w:rFonts w:ascii="Times New Roman" w:hAnsi="Times New Roman" w:cs="Times New Roman"/>
          <w:b/>
          <w:bCs/>
          <w:sz w:val="24"/>
          <w:szCs w:val="24"/>
        </w:rPr>
        <w:t xml:space="preserve"> S4</w:t>
      </w:r>
      <w:r w:rsidRPr="00F027A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Anthocyanin biosynthetic pathway in comparison with blue and red </w:t>
      </w:r>
      <w:r w:rsidRPr="00F027AF">
        <w:rPr>
          <w:rStyle w:val="Hyperlink0"/>
          <w:rFonts w:ascii="Times New Roman" w:hAnsi="Times New Roman" w:cs="Times New Roman"/>
        </w:rPr>
        <w:t>blue LEDs used in growing sweet potato (</w:t>
      </w:r>
      <w:r w:rsidRPr="00F027AF">
        <w:rPr>
          <w:rStyle w:val="Hyperlink0"/>
          <w:rFonts w:ascii="Times New Roman" w:hAnsi="Times New Roman" w:cs="Times New Roman"/>
          <w:i/>
          <w:iCs/>
        </w:rPr>
        <w:t xml:space="preserve">I. batatas 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(L.) Lam)</w:t>
      </w:r>
      <w:r w:rsidRPr="00F027AF">
        <w:rPr>
          <w:rStyle w:val="Hyperlink0"/>
          <w:rFonts w:ascii="Times New Roman" w:hAnsi="Times New Roman" w:cs="Times New Roman"/>
        </w:rPr>
        <w:t xml:space="preserve"> Three structural genes </w:t>
      </w:r>
      <w:bookmarkStart w:id="4" w:name="_Hlk105063008"/>
      <w:r w:rsidRPr="00F027AF">
        <w:rPr>
          <w:rFonts w:ascii="Times New Roman" w:hAnsi="Times New Roman" w:cs="Times New Roman"/>
          <w:sz w:val="24"/>
          <w:szCs w:val="24"/>
        </w:rPr>
        <w:t>(</w:t>
      </w:r>
      <w:r w:rsidRPr="00F027AF">
        <w:rPr>
          <w:rFonts w:ascii="Times New Roman" w:eastAsia="Times New Roman" w:hAnsi="Times New Roman" w:cs="Times New Roman"/>
          <w:i/>
          <w:iCs/>
          <w:sz w:val="24"/>
          <w:szCs w:val="24"/>
        </w:rPr>
        <w:t>Ipomoea_batatas_newGene_14427</w:t>
      </w:r>
      <w:r w:rsidRPr="00F027A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027AF">
        <w:rPr>
          <w:rFonts w:ascii="Times New Roman" w:eastAsia="Times New Roman" w:hAnsi="Times New Roman" w:cs="Times New Roman"/>
          <w:i/>
          <w:iCs/>
          <w:sz w:val="24"/>
          <w:szCs w:val="24"/>
        </w:rPr>
        <w:t>Ipomoea_batatas_newGene_29385</w:t>
      </w:r>
      <w:r w:rsidRPr="00F027AF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F027AF">
        <w:rPr>
          <w:rFonts w:ascii="Times New Roman" w:eastAsia="Times New Roman" w:hAnsi="Times New Roman" w:cs="Times New Roman"/>
          <w:i/>
          <w:iCs/>
          <w:sz w:val="24"/>
          <w:szCs w:val="24"/>
        </w:rPr>
        <w:t>Ipomoea_batatas_newGene_7186</w:t>
      </w:r>
      <w:r w:rsidRPr="00F027AF">
        <w:rPr>
          <w:rFonts w:ascii="Times New Roman" w:hAnsi="Times New Roman" w:cs="Times New Roman"/>
          <w:sz w:val="24"/>
          <w:szCs w:val="24"/>
        </w:rPr>
        <w:t xml:space="preserve">) </w:t>
      </w:r>
      <w:bookmarkStart w:id="5" w:name="_Hlk105063038"/>
      <w:bookmarkEnd w:id="4"/>
      <w:r w:rsidRPr="00F027AF">
        <w:rPr>
          <w:rFonts w:ascii="Times New Roman" w:hAnsi="Times New Roman" w:cs="Times New Roman"/>
          <w:sz w:val="24"/>
          <w:szCs w:val="24"/>
        </w:rPr>
        <w:t xml:space="preserve">encode for 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anthocyanidin 3-O-glucosyltransferase [EC:</w:t>
      </w:r>
      <w:hyperlink r:id="rId11">
        <w:r w:rsidRPr="00F027AF">
          <w:rPr>
            <w:rStyle w:val="Hyperlink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24.1.115</w:t>
        </w:r>
      </w:hyperlink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], designated BZI</w:t>
      </w:r>
      <w:bookmarkEnd w:id="5"/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See Figure 4A for their expression profile (log2 transformed of </w:t>
      </w:r>
      <w:r w:rsidRPr="00F027AF">
        <w:rPr>
          <w:rFonts w:ascii="Times New Roman" w:hAnsi="Times New Roman" w:cs="Times New Roman"/>
          <w:sz w:val="24"/>
          <w:szCs w:val="24"/>
        </w:rPr>
        <w:t>fragments kilobase of exo</w:t>
      </w:r>
      <w:r w:rsidRPr="00F027AF">
        <w:rPr>
          <w:rFonts w:ascii="Times New Roman" w:hAnsi="Times New Roman" w:cs="Times New Roman"/>
          <w:sz w:val="24"/>
          <w:szCs w:val="24"/>
        </w:rPr>
        <w:t>n per million fragments mapped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Pr="00F027AF">
        <w:rPr>
          <w:rStyle w:val="Hyperlink0"/>
          <w:rFonts w:ascii="Times New Roman" w:hAnsi="Times New Roman" w:cs="Times New Roman"/>
        </w:rPr>
        <w:t xml:space="preserve"> </w:t>
      </w:r>
    </w:p>
    <w:p w14:paraId="6C3E2575" w14:textId="77777777" w:rsidR="00DC2539" w:rsidRPr="00F027AF" w:rsidRDefault="00DC2539">
      <w:pPr>
        <w:spacing w:after="0" w:line="240" w:lineRule="auto"/>
        <w:rPr>
          <w:rStyle w:val="Hyperlink0"/>
          <w:rFonts w:ascii="Times New Roman" w:hAnsi="Times New Roman" w:cs="Times New Roman"/>
        </w:rPr>
        <w:sectPr w:rsidR="00DC2539" w:rsidRPr="00F027AF" w:rsidSect="00492B65">
          <w:pgSz w:w="11906" w:h="16838"/>
          <w:pgMar w:top="1440" w:right="1440" w:bottom="1440" w:left="1440" w:header="0" w:footer="720" w:gutter="0"/>
          <w:cols w:space="720"/>
          <w:formProt w:val="0"/>
          <w:docGrid w:linePitch="360" w:charSpace="4096"/>
        </w:sectPr>
      </w:pPr>
    </w:p>
    <w:p w14:paraId="74ED791F" w14:textId="77777777" w:rsidR="00DC2539" w:rsidRPr="00F027AF" w:rsidRDefault="00DC2539">
      <w:pPr>
        <w:spacing w:after="0" w:line="240" w:lineRule="auto"/>
        <w:rPr>
          <w:rStyle w:val="Hyperlink0"/>
          <w:rFonts w:ascii="Times New Roman" w:hAnsi="Times New Roman" w:cs="Times New Roman"/>
        </w:rPr>
      </w:pPr>
    </w:p>
    <w:p w14:paraId="554C8C9A" w14:textId="1AA89B5A" w:rsidR="00DC2539" w:rsidRPr="00F027AF" w:rsidRDefault="00492B65">
      <w:pPr>
        <w:spacing w:after="0" w:line="240" w:lineRule="auto"/>
        <w:rPr>
          <w:rStyle w:val="Hyperlink0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5C8E4E" wp14:editId="3C7F74D2">
            <wp:extent cx="8248650" cy="4276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E5AA" w14:textId="31A2E176" w:rsidR="00E154A3" w:rsidRDefault="00BB515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E154A3" w:rsidSect="00492B65">
          <w:pgSz w:w="16838" w:h="11906" w:orient="landscape"/>
          <w:pgMar w:top="1440" w:right="1440" w:bottom="1440" w:left="1440" w:header="0" w:footer="720" w:gutter="0"/>
          <w:cols w:space="720"/>
          <w:formProt w:val="0"/>
          <w:docGrid w:linePitch="360" w:charSpace="4096"/>
        </w:sectPr>
      </w:pPr>
      <w:r w:rsidRPr="00F027AF">
        <w:rPr>
          <w:rFonts w:ascii="Times New Roman" w:hAnsi="Times New Roman" w:cs="Times New Roman"/>
          <w:b/>
          <w:sz w:val="24"/>
          <w:szCs w:val="24"/>
        </w:rPr>
        <w:t>Figure</w:t>
      </w:r>
      <w:r w:rsidRPr="00F027AF">
        <w:rPr>
          <w:rFonts w:ascii="Times New Roman" w:hAnsi="Times New Roman" w:cs="Times New Roman"/>
          <w:b/>
          <w:bCs/>
          <w:sz w:val="24"/>
          <w:szCs w:val="24"/>
        </w:rPr>
        <w:t xml:space="preserve"> S5</w:t>
      </w:r>
      <w:r w:rsidRPr="00F027A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Carotenoid biosynthetic pathway in comparison with blue and red </w:t>
      </w:r>
      <w:r w:rsidRPr="00F027AF">
        <w:rPr>
          <w:rStyle w:val="Hyperlink0"/>
          <w:rFonts w:ascii="Times New Roman" w:hAnsi="Times New Roman" w:cs="Times New Roman"/>
        </w:rPr>
        <w:t>LEDs used in growing sweet potato (</w:t>
      </w:r>
      <w:r w:rsidRPr="00F027AF">
        <w:rPr>
          <w:rStyle w:val="Hyperlink0"/>
          <w:rFonts w:ascii="Times New Roman" w:hAnsi="Times New Roman" w:cs="Times New Roman"/>
          <w:i/>
          <w:iCs/>
        </w:rPr>
        <w:t xml:space="preserve">I. batata 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(L.) Lam)</w:t>
      </w:r>
      <w:r w:rsidRPr="00F027AF">
        <w:rPr>
          <w:rStyle w:val="Hyperlink0"/>
          <w:rFonts w:ascii="Times New Roman" w:hAnsi="Times New Roman" w:cs="Times New Roman"/>
        </w:rPr>
        <w:t>. S</w:t>
      </w:r>
      <w:r w:rsidRPr="00F027AF">
        <w:rPr>
          <w:rFonts w:ascii="Times New Roman" w:hAnsi="Times New Roman" w:cs="Times New Roman"/>
          <w:sz w:val="24"/>
          <w:szCs w:val="24"/>
        </w:rPr>
        <w:t>even structural genes, including two genes (</w:t>
      </w:r>
      <w:r w:rsidRPr="00F027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Ipomoea_batatas_newGene_14029 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</w:t>
      </w:r>
      <w:r w:rsidRPr="00F027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Tai6.24200</w:t>
      </w:r>
      <w:r w:rsidRPr="00F027AF">
        <w:rPr>
          <w:rFonts w:ascii="Times New Roman" w:hAnsi="Times New Roman" w:cs="Times New Roman"/>
          <w:sz w:val="24"/>
          <w:szCs w:val="24"/>
        </w:rPr>
        <w:t xml:space="preserve">) encode 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carotenoid isomerase (crtH,crtISO) [EC:5.2.1.13], one gene (</w:t>
      </w:r>
      <w:r w:rsidRPr="00F027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Ipomoea_batatas_newGene_26163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) encode beta-carotene 9-cis-all-trans isomerase [EC:5.2.1.14], one gene (</w:t>
      </w:r>
      <w:r w:rsidRPr="00F027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Tai6.33677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) encode for zeaxanthin [EC:1.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14.1521], one gene (</w:t>
      </w:r>
      <w:r w:rsidRPr="00F027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Tai6.4118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) antheraxanthin[EC:1.23.5.1] and two genes (</w:t>
      </w:r>
      <w:r w:rsidRPr="00F027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Ipomoea_batatas_newGene_7887 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</w:t>
      </w:r>
      <w:r w:rsidRPr="00F027A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Tai6.39633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encode for abscisate [EC:1.14.14137]. See Figure 4A for their expression profile (log2 transformed of </w:t>
      </w:r>
      <w:r w:rsidRPr="00F027AF">
        <w:rPr>
          <w:rFonts w:ascii="Times New Roman" w:hAnsi="Times New Roman" w:cs="Times New Roman"/>
          <w:sz w:val="24"/>
          <w:szCs w:val="24"/>
        </w:rPr>
        <w:t>fragments kilobase of exon per mill</w:t>
      </w:r>
      <w:r w:rsidRPr="00F027AF">
        <w:rPr>
          <w:rFonts w:ascii="Times New Roman" w:hAnsi="Times New Roman" w:cs="Times New Roman"/>
          <w:sz w:val="24"/>
          <w:szCs w:val="24"/>
        </w:rPr>
        <w:t>ion fragments mapped</w:t>
      </w:r>
      <w:r w:rsidRPr="00F027A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302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4BAD0F9" w14:textId="398E4BD3" w:rsidR="00DC2539" w:rsidRPr="00F027AF" w:rsidRDefault="00DC2539" w:rsidP="0073024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DC2539" w:rsidRPr="00F027AF" w:rsidSect="00E154A3">
      <w:pgSz w:w="11906" w:h="16838"/>
      <w:pgMar w:top="1440" w:right="1440" w:bottom="1440" w:left="1440" w:header="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98ADC" w14:textId="77777777" w:rsidR="00E53A15" w:rsidRDefault="00E53A15">
      <w:pPr>
        <w:spacing w:line="240" w:lineRule="auto"/>
      </w:pPr>
      <w:r>
        <w:separator/>
      </w:r>
    </w:p>
  </w:endnote>
  <w:endnote w:type="continuationSeparator" w:id="0">
    <w:p w14:paraId="698A72AC" w14:textId="77777777" w:rsidR="00E53A15" w:rsidRDefault="00E53A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PingFang SC"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1118968"/>
      <w:docPartObj>
        <w:docPartGallery w:val="AutoText"/>
      </w:docPartObj>
    </w:sdtPr>
    <w:sdtEndPr/>
    <w:sdtContent>
      <w:p w14:paraId="171AA553" w14:textId="77777777" w:rsidR="00DC2539" w:rsidRDefault="00BB5151">
        <w:pPr>
          <w:pStyle w:val="Footer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4452748" w14:textId="77777777" w:rsidR="00DC2539" w:rsidRDefault="00DC25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15EFC" w14:textId="77777777" w:rsidR="00E53A15" w:rsidRDefault="00E53A15">
      <w:pPr>
        <w:spacing w:after="0"/>
      </w:pPr>
      <w:r>
        <w:separator/>
      </w:r>
    </w:p>
  </w:footnote>
  <w:footnote w:type="continuationSeparator" w:id="0">
    <w:p w14:paraId="6DAB27AC" w14:textId="77777777" w:rsidR="00E53A15" w:rsidRDefault="00E53A1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9D2"/>
    <w:rsid w:val="00051C87"/>
    <w:rsid w:val="00095857"/>
    <w:rsid w:val="000F16B9"/>
    <w:rsid w:val="001961CD"/>
    <w:rsid w:val="001C4DCE"/>
    <w:rsid w:val="002405A5"/>
    <w:rsid w:val="00272573"/>
    <w:rsid w:val="0031363D"/>
    <w:rsid w:val="00350581"/>
    <w:rsid w:val="00397972"/>
    <w:rsid w:val="00492B65"/>
    <w:rsid w:val="0073024C"/>
    <w:rsid w:val="008164D7"/>
    <w:rsid w:val="008673A2"/>
    <w:rsid w:val="00875B98"/>
    <w:rsid w:val="00883B7C"/>
    <w:rsid w:val="00895C46"/>
    <w:rsid w:val="008A676A"/>
    <w:rsid w:val="00BB5151"/>
    <w:rsid w:val="00C356FE"/>
    <w:rsid w:val="00DC2539"/>
    <w:rsid w:val="00E154A3"/>
    <w:rsid w:val="00E259D2"/>
    <w:rsid w:val="00E53A15"/>
    <w:rsid w:val="00F027AF"/>
    <w:rsid w:val="1F2F55AF"/>
    <w:rsid w:val="2027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ED210"/>
  <w15:docId w15:val="{D5A7EDCA-2B30-4B6C-B801-13FF92E80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spacing w:after="160" w:line="259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40" w:line="276" w:lineRule="auto"/>
    </w:pPr>
  </w:style>
  <w:style w:type="paragraph" w:styleId="Caption">
    <w:name w:val="caption"/>
    <w:basedOn w:val="Normal"/>
    <w:next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semiHidden/>
    <w:unhideWhenUsed/>
    <w:rPr>
      <w:u w:val="single"/>
    </w:rPr>
  </w:style>
  <w:style w:type="paragraph" w:styleId="List">
    <w:name w:val="List"/>
    <w:basedOn w:val="BodyText"/>
    <w:rPr>
      <w:rFonts w:cs="Arial Unicode MS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Hyperlink0">
    <w:name w:val="Hyperlink.0"/>
    <w:basedOn w:val="DefaultParagraphFont"/>
    <w:qFormat/>
    <w:rPr>
      <w:sz w:val="24"/>
      <w:szCs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Normal"/>
    <w:qFormat/>
  </w:style>
  <w:style w:type="paragraph" w:customStyle="1" w:styleId="Revision1">
    <w:name w:val="Revision1"/>
    <w:uiPriority w:val="99"/>
    <w:semiHidden/>
    <w:qFormat/>
    <w:pPr>
      <w:suppressAutoHyphens/>
    </w:pPr>
    <w:rPr>
      <w:sz w:val="22"/>
      <w:szCs w:val="22"/>
    </w:rPr>
  </w:style>
  <w:style w:type="paragraph" w:styleId="NoSpacing">
    <w:name w:val="No Spacing"/>
    <w:uiPriority w:val="1"/>
    <w:qFormat/>
    <w:pPr>
      <w:suppressAutoHyphens/>
      <w:ind w:firstLine="288"/>
      <w:jc w:val="both"/>
    </w:pPr>
    <w:rPr>
      <w:sz w:val="22"/>
      <w:szCs w:val="22"/>
    </w:rPr>
  </w:style>
  <w:style w:type="paragraph" w:customStyle="1" w:styleId="BodyA">
    <w:name w:val="Body A"/>
    <w:rsid w:val="00051C87"/>
    <w:pPr>
      <w:widowControl w:val="0"/>
      <w:spacing w:after="160" w:line="259" w:lineRule="auto"/>
      <w:jc w:val="both"/>
    </w:pPr>
    <w:rPr>
      <w:rFonts w:ascii="DengXian" w:eastAsia="DengXian" w:hAnsi="DengXian" w:cs="DengXian"/>
      <w:color w:val="000000"/>
      <w:sz w:val="22"/>
      <w:szCs w:val="22"/>
      <w:u w:color="000000"/>
    </w:rPr>
  </w:style>
  <w:style w:type="paragraph" w:customStyle="1" w:styleId="MyFigures">
    <w:name w:val="My Figures"/>
    <w:basedOn w:val="Caption"/>
    <w:next w:val="Caption"/>
    <w:qFormat/>
    <w:rsid w:val="00E154A3"/>
    <w:pPr>
      <w:widowControl/>
      <w:suppressLineNumbers w:val="0"/>
      <w:spacing w:before="0" w:after="0" w:line="240" w:lineRule="auto"/>
    </w:pPr>
    <w:rPr>
      <w:rFonts w:ascii="Times New Roman" w:eastAsia="SimSun" w:hAnsi="Times New Roman" w:cs="Times New Roman"/>
      <w:i w:val="0"/>
      <w:iCs w:val="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yperlink" Target="https://www.genome.jp/entry/2.4.1.115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ti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SHEHU ABUBAKAR TADDA</dc:creator>
  <cp:lastModifiedBy>Abby Rassette</cp:lastModifiedBy>
  <cp:revision>2</cp:revision>
  <dcterms:created xsi:type="dcterms:W3CDTF">2023-05-03T05:59:00Z</dcterms:created>
  <dcterms:modified xsi:type="dcterms:W3CDTF">2023-05-03T05:59:00Z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7D906F106D88448E9B9F27A9B8B0A502</vt:lpwstr>
  </property>
</Properties>
</file>