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B1B0" w14:textId="4ADE2B09" w:rsidR="003A7A92" w:rsidRPr="00BF0E9B" w:rsidRDefault="003A7A92" w:rsidP="00BF0E9B">
      <w:pPr>
        <w:spacing w:before="0" w:after="200" w:line="276" w:lineRule="auto"/>
        <w:rPr>
          <w:rFonts w:cs="Times New Roman"/>
        </w:rPr>
      </w:pPr>
      <w:r w:rsidRPr="0014319D">
        <w:rPr>
          <w:rFonts w:cs="Times New Roman"/>
          <w:b/>
          <w:bCs/>
        </w:rPr>
        <w:t>Appendix: Frameworks adapted in the L</w:t>
      </w:r>
      <w:r w:rsidRPr="0014319D">
        <w:rPr>
          <w:rFonts w:cs="Times New Roman"/>
          <w:b/>
          <w:bCs/>
          <w:vertAlign w:val="superscript"/>
        </w:rPr>
        <w:t>3</w:t>
      </w:r>
      <w:r w:rsidRPr="0014319D">
        <w:rPr>
          <w:rFonts w:cs="Times New Roman"/>
          <w:b/>
          <w:bCs/>
        </w:rPr>
        <w:t xml:space="preserve"> Assessment Framework</w:t>
      </w:r>
    </w:p>
    <w:p w14:paraId="13329C6F" w14:textId="77777777" w:rsidR="003A7A92" w:rsidRPr="0014319D" w:rsidRDefault="003A7A92" w:rsidP="003A7A92">
      <w:pPr>
        <w:rPr>
          <w:rFonts w:cs="Times New Roman"/>
        </w:rPr>
      </w:pPr>
      <w:r w:rsidRPr="0014319D">
        <w:rPr>
          <w:rFonts w:cs="Times New Roman"/>
        </w:rPr>
        <w:t xml:space="preserve">A broad search of potentially relevant frameworks was conducted online by searching health, speech and hearing, and education frameworks. Fifteen additional relevant frameworks (or concepts) were found, ranging from health to speech and hearing sciences to education, and providing both an international and Australian perspective. These frameworks provided multiple additional perspectives that were then </w:t>
      </w:r>
      <w:proofErr w:type="gramStart"/>
      <w:r w:rsidRPr="0014319D">
        <w:rPr>
          <w:rFonts w:cs="Times New Roman"/>
        </w:rPr>
        <w:t>unified together</w:t>
      </w:r>
      <w:proofErr w:type="gramEnd"/>
      <w:r w:rsidRPr="0014319D">
        <w:rPr>
          <w:rFonts w:cs="Times New Roman"/>
        </w:rPr>
        <w:t xml:space="preserve"> with the above identified frameworks into the proposed L</w:t>
      </w:r>
      <w:r w:rsidRPr="0014319D">
        <w:rPr>
          <w:rFonts w:cs="Times New Roman"/>
          <w:vertAlign w:val="superscript"/>
        </w:rPr>
        <w:t>3</w:t>
      </w:r>
      <w:r w:rsidRPr="0014319D">
        <w:rPr>
          <w:rFonts w:cs="Times New Roman"/>
        </w:rPr>
        <w:t xml:space="preserve"> Assessment Framework. The relevant aspects of the identified frameworks are summarized in the following sections, separated into health, speech and hearing, and education. </w:t>
      </w:r>
    </w:p>
    <w:p w14:paraId="17A80C98" w14:textId="77777777" w:rsidR="003A7A92" w:rsidRPr="0014319D" w:rsidRDefault="003A7A92" w:rsidP="003A7A92">
      <w:pPr>
        <w:rPr>
          <w:rFonts w:cs="Times New Roman"/>
          <w:b/>
          <w:bCs/>
          <w:iCs/>
          <w:u w:val="single"/>
        </w:rPr>
      </w:pPr>
      <w:r w:rsidRPr="0014319D">
        <w:rPr>
          <w:rFonts w:cs="Times New Roman"/>
          <w:b/>
          <w:bCs/>
          <w:iCs/>
          <w:u w:val="single"/>
        </w:rPr>
        <w:t>A. Health frameworks</w:t>
      </w:r>
    </w:p>
    <w:p w14:paraId="24F7D486" w14:textId="77777777" w:rsidR="003A7A92" w:rsidRPr="0014319D" w:rsidRDefault="003A7A92" w:rsidP="003A7A92">
      <w:pPr>
        <w:rPr>
          <w:rFonts w:cs="Times New Roman"/>
          <w:iCs/>
          <w:u w:val="single"/>
        </w:rPr>
      </w:pPr>
      <w:r w:rsidRPr="0014319D">
        <w:rPr>
          <w:rFonts w:cs="Times New Roman"/>
          <w:iCs/>
        </w:rPr>
        <w:t>Three health frameworks were considered in the development of our L</w:t>
      </w:r>
      <w:r w:rsidRPr="0014319D">
        <w:rPr>
          <w:rFonts w:cs="Times New Roman"/>
          <w:iCs/>
          <w:vertAlign w:val="superscript"/>
        </w:rPr>
        <w:t>3</w:t>
      </w:r>
      <w:r w:rsidRPr="0014319D">
        <w:rPr>
          <w:rFonts w:cs="Times New Roman"/>
          <w:iCs/>
        </w:rPr>
        <w:t xml:space="preserve"> Assessment Framework. We present the</w:t>
      </w:r>
      <w:r w:rsidRPr="0014319D">
        <w:rPr>
          <w:rFonts w:cs="Times New Roman"/>
        </w:rPr>
        <w:t xml:space="preserve"> </w:t>
      </w:r>
      <w:r w:rsidRPr="0014319D">
        <w:rPr>
          <w:rFonts w:cs="Times New Roman"/>
          <w:iCs/>
        </w:rPr>
        <w:t xml:space="preserve">WHO ICF and WHO ICF-CY first as they form the main basis for our framework. </w:t>
      </w:r>
    </w:p>
    <w:p w14:paraId="52A0E016" w14:textId="2D8FE9BB" w:rsidR="003A7A92" w:rsidRPr="0014319D" w:rsidRDefault="003A7A92" w:rsidP="00E7536C">
      <w:pPr>
        <w:tabs>
          <w:tab w:val="right" w:pos="9360"/>
        </w:tabs>
        <w:rPr>
          <w:rFonts w:cs="Times New Roman"/>
          <w:b/>
          <w:bCs/>
          <w:i/>
          <w:iCs/>
        </w:rPr>
      </w:pPr>
      <w:r w:rsidRPr="0014319D">
        <w:rPr>
          <w:rFonts w:cs="Times New Roman"/>
          <w:b/>
          <w:bCs/>
          <w:i/>
          <w:iCs/>
        </w:rPr>
        <w:t xml:space="preserve">1. </w:t>
      </w:r>
      <w:bookmarkStart w:id="0" w:name="_Hlk99025490"/>
      <w:r w:rsidRPr="0014319D">
        <w:rPr>
          <w:rFonts w:cs="Times New Roman"/>
          <w:b/>
          <w:bCs/>
          <w:i/>
          <w:iCs/>
        </w:rPr>
        <w:t>WHO ICF and 2. WHO ICF-CY</w:t>
      </w:r>
      <w:bookmarkEnd w:id="0"/>
      <w:r w:rsidR="00E7536C">
        <w:rPr>
          <w:rFonts w:cs="Times New Roman"/>
          <w:b/>
          <w:bCs/>
          <w:i/>
          <w:iCs/>
        </w:rPr>
        <w:tab/>
      </w:r>
    </w:p>
    <w:p w14:paraId="00C189CE" w14:textId="77777777" w:rsidR="003A7A92" w:rsidRPr="0014319D" w:rsidRDefault="003A7A92" w:rsidP="003A7A92">
      <w:pPr>
        <w:rPr>
          <w:rFonts w:cs="Times New Roman"/>
        </w:rPr>
      </w:pPr>
      <w:r w:rsidRPr="0014319D">
        <w:rPr>
          <w:rFonts w:cs="Times New Roman"/>
        </w:rPr>
        <w:t xml:space="preserve">The aim of these health frameworks is to classify functioning, disability, and health. </w:t>
      </w:r>
      <w:proofErr w:type="gramStart"/>
      <w:r w:rsidRPr="0014319D">
        <w:rPr>
          <w:rFonts w:cs="Times New Roman"/>
        </w:rPr>
        <w:t>Hence</w:t>
      </w:r>
      <w:proofErr w:type="gramEnd"/>
      <w:r w:rsidRPr="0014319D">
        <w:rPr>
          <w:rFonts w:cs="Times New Roman"/>
        </w:rPr>
        <w:t xml:space="preserve"> they provide valuable insights into how to best shape</w:t>
      </w:r>
      <w:r w:rsidRPr="0014319D">
        <w:rPr>
          <w:rFonts w:cs="Times New Roman"/>
          <w:iCs/>
        </w:rPr>
        <w:t xml:space="preserve"> our L</w:t>
      </w:r>
      <w:r w:rsidRPr="0014319D">
        <w:rPr>
          <w:rFonts w:cs="Times New Roman"/>
          <w:iCs/>
          <w:vertAlign w:val="superscript"/>
        </w:rPr>
        <w:t>3</w:t>
      </w:r>
      <w:r w:rsidRPr="0014319D">
        <w:rPr>
          <w:rFonts w:cs="Times New Roman"/>
          <w:iCs/>
        </w:rPr>
        <w:t xml:space="preserve"> Assessment Framework</w:t>
      </w:r>
      <w:r w:rsidRPr="0014319D">
        <w:rPr>
          <w:rFonts w:cs="Times New Roman"/>
        </w:rPr>
        <w:t xml:space="preserve"> on understanding and assessing listening problems. The International Classification of Functioning, Disability and Health (ICF) is a framework established by the </w:t>
      </w:r>
      <w:r w:rsidRPr="0014319D">
        <w:rPr>
          <w:rFonts w:cs="Times New Roman"/>
        </w:rPr>
        <w:fldChar w:fldCharType="begin" w:fldLock="1"/>
      </w:r>
      <w:r w:rsidRPr="0014319D">
        <w:rPr>
          <w:rFonts w:cs="Times New Roman"/>
        </w:rPr>
        <w:instrText>ADDIN CSL_CITATION {"citationItems":[{"id":"ITEM-1","itemData":{"ISSN":"08963207","abstract":"Towards a Common Language for Functioning , Disability and Health ICFThe International Classification of Functioning, Disability and Health, known more commonly as ICF, provides a standard language and framework for the description of health and health-related states. Like the first version published by the World Health Organization for trial purposes in 1980, ICF is a multipurpose classification intended for a wide range of uses in different sectors. It is a classification of health and health-related domains -- domains that help us to describe changes in body function and structure, what a person with a health condition can do in a standard environment (their level of capacity), as well as what they actually do in their usual environment (their level of performance). These domains are classified from body, individual and societal perspectives by means of two lists: a list of body functions and structure, and a list of domains of activity and participation. In ICF, the term functioning refers to all body functions, activities and participation, while disability is similarly an umbrella term for impairments, activity limitations and participation restrictions. ICF also lists environmental factors that interact with all these components. ICF","author":[{"dropping-particle":"","family":"World Health Organization","given":"","non-dropping-particle":"","parse-names":false,"suffix":""}],"container-title":"International Classification","id":"ITEM-1","issued":{"date-parts":[["2002"]]},"title":"Towards a common language for functioning, disability and health: ICF","type":"article-journal"},"uris":["http://www.mendeley.com/documents/?uuid=2d2c9175-bbab-4244-8da7-83711c29e921","http://www.mendeley.com/documents/?uuid=f7108a87-4768-4c69-b2fe-bb6b23c32f5f"]}],"mendeley":{"formattedCitation":"(World Health Organization, 2002)","manualFormatting":"World Health Organization (WHO; 2002)","plainTextFormattedCitation":"(World Health Organization, 2002)","previouslyFormattedCitation":"(World Health Organization, 2002)"},"properties":{"noteIndex":0},"schema":"https://github.com/citation-style-language/schema/raw/master/csl-citation.json"}</w:instrText>
      </w:r>
      <w:r w:rsidRPr="0014319D">
        <w:rPr>
          <w:rFonts w:cs="Times New Roman"/>
        </w:rPr>
        <w:fldChar w:fldCharType="separate"/>
      </w:r>
      <w:r w:rsidRPr="0014319D">
        <w:rPr>
          <w:rFonts w:cs="Times New Roman"/>
          <w:noProof/>
        </w:rPr>
        <w:t>World Health Organization (WHO; 2002)</w:t>
      </w:r>
      <w:r w:rsidRPr="0014319D">
        <w:rPr>
          <w:rFonts w:cs="Times New Roman"/>
        </w:rPr>
        <w:fldChar w:fldCharType="end"/>
      </w:r>
      <w:r w:rsidRPr="0014319D">
        <w:rPr>
          <w:rFonts w:cs="Times New Roman"/>
        </w:rPr>
        <w:t xml:space="preserve"> which describes health and health-related states. In 2007, an additional framework was constructed applying specifically to children and youth (WHO ICF-CY) </w:t>
      </w:r>
      <w:r w:rsidRPr="0014319D">
        <w:rPr>
          <w:rFonts w:cs="Times New Roman"/>
        </w:rPr>
        <w:fldChar w:fldCharType="begin" w:fldLock="1"/>
      </w:r>
      <w:r w:rsidRPr="0014319D">
        <w:rPr>
          <w:rFonts w:cs="Times New Roman"/>
        </w:rPr>
        <w:instrText>ADDIN CSL_CITATION {"citationItems":[{"id":"ITEM-1","itemData":{"ISBN":"9781626239777","author":[{"dropping-particle":"","family":"World Health Organization","given":"","non-dropping-particle":"","parse-names":false,"suffix":""}],"id":"ITEM-1","issued":{"date-parts":[["2007"]]},"title":"International Classification of Functioning, Disability and Health for Children and Youth","type":"report"},"uris":["http://www.mendeley.com/documents/?uuid=30eae71e-f495-4da6-ad3e-88d1e5f138d8"]}],"mendeley":{"formattedCitation":"(World Health Organization, 2007)","plainTextFormattedCitation":"(World Health Organization, 2007)","previouslyFormattedCitation":"(World Health Organization, 2007)"},"properties":{"noteIndex":0},"schema":"https://github.com/citation-style-language/schema/raw/master/csl-citation.json"}</w:instrText>
      </w:r>
      <w:r w:rsidRPr="0014319D">
        <w:rPr>
          <w:rFonts w:cs="Times New Roman"/>
        </w:rPr>
        <w:fldChar w:fldCharType="separate"/>
      </w:r>
      <w:r w:rsidRPr="0014319D">
        <w:rPr>
          <w:rFonts w:cs="Times New Roman"/>
          <w:noProof/>
        </w:rPr>
        <w:t>(World Health Organization, 2007)</w:t>
      </w:r>
      <w:r w:rsidRPr="0014319D">
        <w:rPr>
          <w:rFonts w:cs="Times New Roman"/>
        </w:rPr>
        <w:fldChar w:fldCharType="end"/>
      </w:r>
      <w:r w:rsidRPr="0014319D">
        <w:rPr>
          <w:rFonts w:cs="Times New Roman"/>
        </w:rPr>
        <w:t xml:space="preserve"> which is of relevance to our demographic. The WHO ICF has been used in hearing research with older adults with acquired hearing loss </w:t>
      </w:r>
      <w:r w:rsidRPr="0014319D">
        <w:rPr>
          <w:rFonts w:cs="Times New Roman"/>
        </w:rPr>
        <w:fldChar w:fldCharType="begin" w:fldLock="1"/>
      </w:r>
      <w:r w:rsidRPr="0014319D">
        <w:rPr>
          <w:rFonts w:cs="Times New Roman"/>
        </w:rPr>
        <w:instrText>ADDIN CSL_CITATION {"citationItems":[{"id":"ITEM-1","itemData":{"DOI":"10.1055/s-2007-986525","ISSN":"07340478","PMID":"17935013","abstract":"The aim of this article is to describe the disability experienced by older people with hearing impairment using the framework provided by the World Health Organization's International Classification of Functioning, Disability and Health (ICF). The nature and prevalence of hearing impairment in the older population are outlined, along with the Activity Limitations and Participation Restrictions associated with such impairments, and the contextual factors that influence the disability. Appropriate assessments of hearing Impairments, Activity Limitations, and Participation Restrictions applicable in a rehabilitation context are also described. Hearing impairment leads to breakdowns in communication, a fact that suggests that the impairment is likely to influence frequent communication partners. It is argued here that the impact of the impairment on others is a so-called Third-Party Disability. Finally, an example of how the ICF can be applied in the rehabilitation of an older person with hearing disability is presented.","author":[{"dropping-particle":"","family":"Hickson","given":"Louise","non-dropping-particle":"","parse-names":false,"suffix":""},{"dropping-particle":"","family":"Scarinci","given":"Nerina","non-dropping-particle":"","parse-names":false,"suffix":""}],"container-title":"Seminars in Speech and Language","id":"ITEM-1","issue":"4","issued":{"date-parts":[["2007"]]},"page":"283-290","title":"Older adults with acquired hearing impairment: Applying the ICF in rehabilitation","type":"article-journal","volume":"28"},"uris":["http://www.mendeley.com/documents/?uuid=7879205c-3391-4c91-93ae-40d269d764eb"]}],"mendeley":{"formattedCitation":"(Hickson &amp; Scarinci, 2007)","plainTextFormattedCitation":"(Hickson &amp; Scarinci, 2007)","previouslyFormattedCitation":"(Hickson &amp; Scarinci, 2007)"},"properties":{"noteIndex":0},"schema":"https://github.com/citation-style-language/schema/raw/master/csl-citation.json"}</w:instrText>
      </w:r>
      <w:r w:rsidRPr="0014319D">
        <w:rPr>
          <w:rFonts w:cs="Times New Roman"/>
        </w:rPr>
        <w:fldChar w:fldCharType="separate"/>
      </w:r>
      <w:r w:rsidRPr="0014319D">
        <w:rPr>
          <w:rFonts w:cs="Times New Roman"/>
          <w:noProof/>
        </w:rPr>
        <w:t>(Hickson &amp; Scarinci, 2007)</w:t>
      </w:r>
      <w:r w:rsidRPr="0014319D">
        <w:rPr>
          <w:rFonts w:cs="Times New Roman"/>
        </w:rPr>
        <w:fldChar w:fldCharType="end"/>
      </w:r>
      <w:r w:rsidRPr="0014319D">
        <w:rPr>
          <w:rFonts w:cs="Times New Roman"/>
          <w:noProof/>
        </w:rPr>
        <w:t xml:space="preserve"> and, as found in the scoping review, the WHO ICF-CY has been used at a surface level to assess classroom communication in children with hearing loss</w:t>
      </w:r>
      <w:r w:rsidRPr="0014319D">
        <w:rPr>
          <w:rFonts w:cs="Times New Roman"/>
        </w:rPr>
        <w:t xml:space="preserve">. We now extend its use to assess children’s listening to learn at a deeper level. </w:t>
      </w:r>
    </w:p>
    <w:p w14:paraId="1BD06733" w14:textId="77777777" w:rsidR="003A7A92" w:rsidRPr="0014319D" w:rsidRDefault="003A7A92" w:rsidP="003A7A92">
      <w:pPr>
        <w:rPr>
          <w:rFonts w:eastAsiaTheme="minorEastAsia" w:cs="Times New Roman"/>
        </w:rPr>
      </w:pPr>
      <w:r w:rsidRPr="0014319D">
        <w:rPr>
          <w:rFonts w:cs="Times New Roman"/>
        </w:rPr>
        <w:t xml:space="preserve">The WHO ICF-CY comprises two parts: functioning and disability, and contextual factors. These parts are split into four components. Functioning and disability is split into </w:t>
      </w:r>
      <w:proofErr w:type="spellStart"/>
      <w:r w:rsidRPr="0014319D">
        <w:rPr>
          <w:rFonts w:cs="Times New Roman"/>
        </w:rPr>
        <w:t>i</w:t>
      </w:r>
      <w:proofErr w:type="spellEnd"/>
      <w:r w:rsidRPr="0014319D">
        <w:rPr>
          <w:rFonts w:cs="Times New Roman"/>
        </w:rPr>
        <w:t>) body functions and body structures, and ii) activities and participation. Contextual factors are split into iii) environmental factors and iv) personal factors. Each of these components have qualifiers to classify the presence and severity of a problem (except for personal factors which are not classified in the framework but acknowledged to play a part). The qualifiers for body functions and structures are change in body function and change in body structure. The qualifiers for activities and participation are capacity and performance. The qualifier for environmental factors is facilitator or barrier.</w:t>
      </w:r>
    </w:p>
    <w:p w14:paraId="2513CE52" w14:textId="77777777" w:rsidR="003A7A92" w:rsidRPr="0014319D" w:rsidRDefault="003A7A92" w:rsidP="003A7A92">
      <w:pPr>
        <w:rPr>
          <w:rFonts w:cs="Times New Roman"/>
        </w:rPr>
      </w:pPr>
      <w:r w:rsidRPr="0014319D">
        <w:rPr>
          <w:rFonts w:cs="Times New Roman"/>
        </w:rPr>
        <w:t xml:space="preserve">The WHO ICF also utilizes the concept of a </w:t>
      </w:r>
      <w:proofErr w:type="spellStart"/>
      <w:r w:rsidRPr="0014319D">
        <w:rPr>
          <w:rFonts w:cs="Times New Roman"/>
          <w:i/>
          <w:iCs/>
        </w:rPr>
        <w:t>standardised</w:t>
      </w:r>
      <w:proofErr w:type="spellEnd"/>
      <w:r w:rsidRPr="0014319D">
        <w:rPr>
          <w:rFonts w:cs="Times New Roman"/>
          <w:i/>
          <w:iCs/>
        </w:rPr>
        <w:t xml:space="preserve"> environment</w:t>
      </w:r>
      <w:r w:rsidRPr="0014319D">
        <w:rPr>
          <w:rFonts w:cs="Times New Roman"/>
        </w:rPr>
        <w:t xml:space="preserve"> as well as a </w:t>
      </w:r>
      <w:r w:rsidRPr="0014319D">
        <w:rPr>
          <w:rFonts w:cs="Times New Roman"/>
          <w:i/>
          <w:iCs/>
        </w:rPr>
        <w:t>capacity qualifier</w:t>
      </w:r>
      <w:r w:rsidRPr="0014319D">
        <w:rPr>
          <w:rFonts w:cs="Times New Roman"/>
        </w:rPr>
        <w:t xml:space="preserve">. The </w:t>
      </w:r>
      <w:proofErr w:type="spellStart"/>
      <w:r w:rsidRPr="0014319D">
        <w:rPr>
          <w:rFonts w:cs="Times New Roman"/>
        </w:rPr>
        <w:t>standardised</w:t>
      </w:r>
      <w:proofErr w:type="spellEnd"/>
      <w:r w:rsidRPr="0014319D">
        <w:rPr>
          <w:rFonts w:cs="Times New Roman"/>
        </w:rPr>
        <w:t xml:space="preserve"> environment is a neutral environment that assesses the full performance of a person to execute a given task or action. The capacity qualifier describes the person’s ability to execute this task or action in the neutral environment without personal assistance or assistive devices. The gap between the person’s capacity and their performance on the same action or task in an experimental environment (a different environment under assessment) then provides a measure of the effectiveness of the assessed environment. If </w:t>
      </w:r>
      <w:r w:rsidRPr="0014319D">
        <w:rPr>
          <w:rFonts w:cs="Times New Roman"/>
        </w:rPr>
        <w:lastRenderedPageBreak/>
        <w:t xml:space="preserve">performance is greater than capacity, then the environment is a facilitator (i.e., the person has performed better than in the </w:t>
      </w:r>
      <w:proofErr w:type="spellStart"/>
      <w:r w:rsidRPr="0014319D">
        <w:rPr>
          <w:rFonts w:cs="Times New Roman"/>
        </w:rPr>
        <w:t>standardised</w:t>
      </w:r>
      <w:proofErr w:type="spellEnd"/>
      <w:r w:rsidRPr="0014319D">
        <w:rPr>
          <w:rFonts w:cs="Times New Roman"/>
        </w:rPr>
        <w:t xml:space="preserve"> environment). If capacity is greater than performance, then the environment is a barrier to performance (i.e., the person has performed worse than in the </w:t>
      </w:r>
      <w:proofErr w:type="spellStart"/>
      <w:r w:rsidRPr="0014319D">
        <w:rPr>
          <w:rFonts w:cs="Times New Roman"/>
        </w:rPr>
        <w:t>standardised</w:t>
      </w:r>
      <w:proofErr w:type="spellEnd"/>
      <w:r w:rsidRPr="0014319D">
        <w:rPr>
          <w:rFonts w:cs="Times New Roman"/>
        </w:rPr>
        <w:t xml:space="preserve"> environment). These concepts are important </w:t>
      </w:r>
      <w:r w:rsidRPr="0014319D">
        <w:rPr>
          <w:rFonts w:cs="Times New Roman"/>
          <w:iCs/>
        </w:rPr>
        <w:t>for L</w:t>
      </w:r>
      <w:r w:rsidRPr="0014319D">
        <w:rPr>
          <w:rFonts w:cs="Times New Roman"/>
          <w:iCs/>
          <w:vertAlign w:val="superscript"/>
        </w:rPr>
        <w:t>3</w:t>
      </w:r>
      <w:r w:rsidRPr="0014319D">
        <w:rPr>
          <w:rFonts w:cs="Times New Roman"/>
          <w:iCs/>
        </w:rPr>
        <w:t xml:space="preserve"> Assessment Framework when thinking about assessing an intervention.</w:t>
      </w:r>
    </w:p>
    <w:p w14:paraId="03DEE703" w14:textId="77777777" w:rsidR="003A7A92" w:rsidRPr="0014319D" w:rsidRDefault="003A7A92" w:rsidP="003A7A92">
      <w:pPr>
        <w:rPr>
          <w:rFonts w:cs="Times New Roman"/>
          <w:b/>
          <w:bCs/>
          <w:i/>
          <w:iCs/>
        </w:rPr>
      </w:pPr>
      <w:r w:rsidRPr="0014319D">
        <w:rPr>
          <w:rFonts w:cs="Times New Roman"/>
          <w:b/>
          <w:bCs/>
          <w:i/>
          <w:iCs/>
        </w:rPr>
        <w:t>3. Dodge et al.’s definition of wellbeing</w:t>
      </w:r>
    </w:p>
    <w:p w14:paraId="1951174D" w14:textId="77777777" w:rsidR="003A7A92" w:rsidRPr="0014319D" w:rsidRDefault="003A7A92" w:rsidP="003A7A92">
      <w:pPr>
        <w:rPr>
          <w:rFonts w:cs="Times New Roman"/>
        </w:rPr>
      </w:pPr>
      <w:r w:rsidRPr="0014319D">
        <w:rPr>
          <w:rFonts w:cs="Times New Roman"/>
        </w:rPr>
        <w:t>Children’s wellbeing is an important part of the Impact component of</w:t>
      </w:r>
      <w:r w:rsidRPr="0014319D">
        <w:rPr>
          <w:rFonts w:cs="Times New Roman"/>
          <w:iCs/>
        </w:rPr>
        <w:t xml:space="preserve"> our L</w:t>
      </w:r>
      <w:r w:rsidRPr="0014319D">
        <w:rPr>
          <w:rFonts w:cs="Times New Roman"/>
          <w:iCs/>
          <w:vertAlign w:val="superscript"/>
        </w:rPr>
        <w:t>3</w:t>
      </w:r>
      <w:r w:rsidRPr="0014319D">
        <w:rPr>
          <w:rFonts w:cs="Times New Roman"/>
          <w:iCs/>
        </w:rPr>
        <w:t xml:space="preserve"> Assessment Framework.</w:t>
      </w:r>
      <w:r w:rsidRPr="0014319D">
        <w:rPr>
          <w:rFonts w:cs="Times New Roman"/>
        </w:rPr>
        <w:t xml:space="preserve"> </w:t>
      </w:r>
      <w:r w:rsidRPr="0014319D">
        <w:rPr>
          <w:rFonts w:cs="Times New Roman"/>
        </w:rPr>
        <w:fldChar w:fldCharType="begin" w:fldLock="1"/>
      </w:r>
      <w:r w:rsidRPr="0014319D">
        <w:rPr>
          <w:rFonts w:cs="Times New Roman"/>
        </w:rPr>
        <w:instrText>ADDIN CSL_CITATION {"citationItems":[{"id":"ITEM-1","itemData":{"DOI":"10.5502/ijw.v2i3.4","abstract":"Wellbeing is a growing area of research, yet the question of how it should be defined remains unanswered. This multi-disciplinary review explores past attempts to define wellbeing and provides an overview of the main theoretical perspectives, from the work of Aristotle to the present day. The article argues that many attempts at expressing its nature have focused purely on dimensions of wellbeing, rather than on definition. Among these theoretical perspectives, we highlight the pertinence of dynamic equilibrium theory of wellbeing (Headey &amp; Wearing, 1989), the effect of life challenges on homeostasis (Cummins, 2010) and the lifespan model of development (Hendry &amp; Kloep, 2002). Consequently, we conclude that it would be appropriate for a new definition of wellbeing to centre on a state of equilibrium or balance that can be affected by life events or challenges. The article closes by proposing this new definition, which we believe to be simple, universal in application, optimistic and a basis for measurement. This definition conveys the multi-faceted nature of wellbeing and can help individuals and policy makers move forward in their understanding of this popular term.","author":[{"dropping-particle":"","family":"Dodge","given":"Rachel","non-dropping-particle":"","parse-names":false,"suffix":""},{"dropping-particle":"","family":"Daly","given":"Annette","non-dropping-particle":"","parse-names":false,"suffix":""},{"dropping-particle":"","family":"Huyton","given":"Jan","non-dropping-particle":"","parse-names":false,"suffix":""},{"dropping-particle":"","family":"Sanders","given":"Lalage","non-dropping-particle":"","parse-names":false,"suffix":""}],"container-title":"International Journal of Wellbeing","id":"ITEM-1","issue":"3","issued":{"date-parts":[["2012"]]},"page":"222-235","title":"The challenge of defining wellbeing","type":"article-journal","volume":"2"},"uris":["http://www.mendeley.com/documents/?uuid=0ded8df8-c5d9-4058-af70-b3e32753eacd"]}],"mendeley":{"formattedCitation":"(Dodge et al., 2012)","manualFormatting":"Dodge, Daly, Huyton, and Sanders (2012)","plainTextFormattedCitation":"(Dodge et al., 2012)","previouslyFormattedCitation":"(Dodge et al., 2012)"},"properties":{"noteIndex":0},"schema":"https://github.com/citation-style-language/schema/raw/master/csl-citation.json"}</w:instrText>
      </w:r>
      <w:r w:rsidRPr="0014319D">
        <w:rPr>
          <w:rFonts w:cs="Times New Roman"/>
        </w:rPr>
        <w:fldChar w:fldCharType="separate"/>
      </w:r>
      <w:r w:rsidRPr="0014319D">
        <w:rPr>
          <w:rFonts w:cs="Times New Roman"/>
          <w:noProof/>
        </w:rPr>
        <w:t>Dodge, Daly, Huyton, and Sanders (2012)</w:t>
      </w:r>
      <w:r w:rsidRPr="0014319D">
        <w:rPr>
          <w:rFonts w:cs="Times New Roman"/>
        </w:rPr>
        <w:fldChar w:fldCharType="end"/>
      </w:r>
      <w:r w:rsidRPr="0014319D">
        <w:rPr>
          <w:rFonts w:cs="Times New Roman"/>
        </w:rPr>
        <w:t xml:space="preserve"> propose a definition of wellbeing as the following “stable wellbeing is when individuals have the psychological, social and physical resources they need to meet a particular psychological, social and/or physical challenge. When individuals have more challenges than resources, the see-saw dips, along with their wellbeing, and vice-versa.” (pg. 230). As can be seen from this definition, wellbeing is balanced by the person’s resources compared to the challenges they face. Both the resources and challenges consist of psychological, social, and physical components.</w:t>
      </w:r>
    </w:p>
    <w:p w14:paraId="56F79F74" w14:textId="77777777" w:rsidR="003A7A92" w:rsidRPr="0014319D" w:rsidRDefault="003A7A92" w:rsidP="003A7A92">
      <w:pPr>
        <w:rPr>
          <w:rFonts w:cs="Times New Roman"/>
          <w:b/>
          <w:bCs/>
          <w:iCs/>
          <w:u w:val="single"/>
        </w:rPr>
      </w:pPr>
      <w:r w:rsidRPr="0014319D">
        <w:rPr>
          <w:rFonts w:cs="Times New Roman"/>
          <w:b/>
          <w:bCs/>
          <w:iCs/>
          <w:u w:val="single"/>
        </w:rPr>
        <w:t>B. Speech and Hearing frameworks</w:t>
      </w:r>
    </w:p>
    <w:p w14:paraId="74AD095B" w14:textId="77777777" w:rsidR="003A7A92" w:rsidRPr="0014319D" w:rsidRDefault="003A7A92" w:rsidP="003A7A92">
      <w:pPr>
        <w:rPr>
          <w:rFonts w:cs="Times New Roman"/>
          <w:iCs/>
        </w:rPr>
      </w:pPr>
      <w:r w:rsidRPr="0014319D">
        <w:rPr>
          <w:rFonts w:cs="Times New Roman"/>
          <w:iCs/>
        </w:rPr>
        <w:t>Two frameworks on speech and hearing were consulted in preparing our L</w:t>
      </w:r>
      <w:r w:rsidRPr="0014319D">
        <w:rPr>
          <w:rFonts w:cs="Times New Roman"/>
          <w:iCs/>
          <w:vertAlign w:val="superscript"/>
        </w:rPr>
        <w:t>3</w:t>
      </w:r>
      <w:r w:rsidRPr="0014319D">
        <w:rPr>
          <w:rFonts w:cs="Times New Roman"/>
          <w:iCs/>
        </w:rPr>
        <w:t xml:space="preserve"> Assessment Framework to provide insight into what affects listening activities and how listening processes can be assessed.</w:t>
      </w:r>
    </w:p>
    <w:p w14:paraId="2D4CD2E8" w14:textId="77777777" w:rsidR="003A7A92" w:rsidRPr="0014319D" w:rsidRDefault="003A7A92" w:rsidP="003A7A92">
      <w:pPr>
        <w:rPr>
          <w:rFonts w:cs="Times New Roman"/>
          <w:b/>
          <w:bCs/>
          <w:i/>
          <w:iCs/>
        </w:rPr>
      </w:pPr>
      <w:r w:rsidRPr="0014319D">
        <w:rPr>
          <w:rFonts w:cs="Times New Roman"/>
          <w:b/>
          <w:bCs/>
          <w:i/>
          <w:iCs/>
        </w:rPr>
        <w:t xml:space="preserve">1. </w:t>
      </w:r>
      <w:r w:rsidRPr="0014319D">
        <w:rPr>
          <w:rFonts w:cs="Times New Roman"/>
          <w:b/>
          <w:bCs/>
          <w:i/>
          <w:iCs/>
        </w:rPr>
        <w:fldChar w:fldCharType="begin" w:fldLock="1"/>
      </w:r>
      <w:r w:rsidRPr="0014319D">
        <w:rPr>
          <w:rFonts w:cs="Times New Roman"/>
          <w:b/>
          <w:bCs/>
          <w:i/>
          <w:iCs/>
        </w:rPr>
        <w:instrText>ADDIN CSL_CITATION {"citationItems":[{"id":"ITEM-1","itemData":{"DOI":"10.1080/01690965.2012.705006","ISSN":"01690965","abstract":"This article presents a review of the effects of adverse conditions (ACs) on the perceptual, linguistic, cognitive, and neurophysiological mechanisms underlying speech recognition. The review starts with a classification of ACs based on their origin: Degradation at the source (production of a noncanonical signal), degradation during signal transmission (interfering signal or medium-induced impoverishment of the target signal), receiver limitations (peripheral, linguistic, cognitive). This is followed by a parallel, yet orthogonal classification of ACs based on the locus of their effect: Perceptual processes, mental representations, attention, and memory functions. We then review the added value that ACs provide for theories of speech recognition, with a focus on fundamental themes in psycholinguistics: Content and format of lexical representations, time-course of lexical access, word segmentation, feed-back in speech perception and recognition, lexical-semantic integration, interface between the speech system and general cognition, neuroanatomical organisation of speech processing. We conclude by advocating an approach to speech recognition that includes rather than neutralises complex listening environments and individual differences. © 2012 Copyright Psychology Press Ltd.","author":[{"dropping-particle":"","family":"Mattys","given":"Sven L.","non-dropping-particle":"","parse-names":false,"suffix":""},{"dropping-particle":"","family":"Davis","given":"Matthew H.","non-dropping-particle":"","parse-names":false,"suffix":""},{"dropping-particle":"","family":"Bradlow","given":"Ann R.","non-dropping-particle":"","parse-names":false,"suffix":""},{"dropping-particle":"","family":"Scott","given":"Sophie K.","non-dropping-particle":"","parse-names":false,"suffix":""}],"container-title":"Language and Cognitive Processes","id":"ITEM-1","issue":"7-8","issued":{"date-parts":[["2012"]]},"page":"953-978","title":"Speech recognition in adverse conditions: A review","type":"article-journal","volume":"27"},"uris":["http://www.mendeley.com/documents/?uuid=bc3b05a9-6204-4682-99bd-4dd85c092240"]}],"mendeley":{"formattedCitation":"(Mattys et al., 2012)","manualFormatting":"Mattys et al. (2012)","plainTextFormattedCitation":"(Mattys et al., 2012)","previouslyFormattedCitation":"(Mattys et al., 2012)"},"properties":{"noteIndex":0},"schema":"https://github.com/citation-style-language/schema/raw/master/csl-citation.json"}</w:instrText>
      </w:r>
      <w:r w:rsidRPr="0014319D">
        <w:rPr>
          <w:rFonts w:cs="Times New Roman"/>
          <w:b/>
          <w:bCs/>
          <w:i/>
          <w:iCs/>
        </w:rPr>
        <w:fldChar w:fldCharType="separate"/>
      </w:r>
      <w:r w:rsidRPr="0014319D">
        <w:rPr>
          <w:rFonts w:cs="Times New Roman"/>
          <w:b/>
          <w:bCs/>
          <w:i/>
          <w:iCs/>
          <w:noProof/>
        </w:rPr>
        <w:t>Mattys et al. (2012)</w:t>
      </w:r>
      <w:r w:rsidRPr="0014319D">
        <w:rPr>
          <w:rFonts w:cs="Times New Roman"/>
          <w:b/>
          <w:bCs/>
          <w:i/>
          <w:iCs/>
        </w:rPr>
        <w:fldChar w:fldCharType="end"/>
      </w:r>
      <w:r w:rsidRPr="0014319D">
        <w:rPr>
          <w:rFonts w:cs="Times New Roman"/>
          <w:b/>
          <w:bCs/>
          <w:i/>
          <w:iCs/>
        </w:rPr>
        <w:t xml:space="preserve"> – Speech recognition framework</w:t>
      </w:r>
    </w:p>
    <w:p w14:paraId="7743E904" w14:textId="77777777" w:rsidR="003A7A92" w:rsidRPr="0014319D" w:rsidRDefault="003A7A92" w:rsidP="003A7A92">
      <w:pPr>
        <w:rPr>
          <w:rFonts w:cs="Times New Roman"/>
        </w:rPr>
      </w:pPr>
      <w:r w:rsidRPr="0014319D">
        <w:rPr>
          <w:rFonts w:cs="Times New Roman"/>
        </w:rPr>
        <w:t xml:space="preserve">This research paper provides a classification of adverse listening conditions according to their </w:t>
      </w:r>
      <w:r w:rsidRPr="0014319D">
        <w:rPr>
          <w:rFonts w:cs="Times New Roman"/>
          <w:i/>
          <w:iCs/>
        </w:rPr>
        <w:t>origin</w:t>
      </w:r>
      <w:r w:rsidRPr="0014319D">
        <w:rPr>
          <w:rFonts w:cs="Times New Roman"/>
        </w:rPr>
        <w:t xml:space="preserve"> and </w:t>
      </w:r>
      <w:r w:rsidRPr="0014319D">
        <w:rPr>
          <w:rFonts w:cs="Times New Roman"/>
          <w:i/>
          <w:iCs/>
        </w:rPr>
        <w:t>effect</w:t>
      </w:r>
      <w:r w:rsidRPr="0014319D">
        <w:rPr>
          <w:rFonts w:cs="Times New Roman"/>
        </w:rPr>
        <w:t>. As much of classroom learning is conducted through listening and speaking, this paper is important to consider in our L</w:t>
      </w:r>
      <w:r w:rsidRPr="0014319D">
        <w:rPr>
          <w:rFonts w:cs="Times New Roman"/>
          <w:vertAlign w:val="superscript"/>
        </w:rPr>
        <w:t>3</w:t>
      </w:r>
      <w:r w:rsidRPr="0014319D">
        <w:rPr>
          <w:rFonts w:cs="Times New Roman"/>
        </w:rPr>
        <w:t xml:space="preserve"> Assessment Framework as it sheds light on how speech communication can deteriorate in the classroom and the effect this could have on listening.</w:t>
      </w:r>
    </w:p>
    <w:p w14:paraId="034F3D63" w14:textId="77777777" w:rsidR="003A7A92" w:rsidRPr="0014319D" w:rsidRDefault="003A7A92" w:rsidP="003A7A92">
      <w:pPr>
        <w:rPr>
          <w:rFonts w:cs="Times New Roman"/>
        </w:rPr>
      </w:pPr>
      <w:r w:rsidRPr="0014319D">
        <w:rPr>
          <w:rFonts w:cs="Times New Roman"/>
        </w:rPr>
        <w:t xml:space="preserve">With respect to the </w:t>
      </w:r>
      <w:r w:rsidRPr="0014319D">
        <w:rPr>
          <w:rFonts w:cs="Times New Roman"/>
          <w:i/>
          <w:iCs/>
        </w:rPr>
        <w:t>origin</w:t>
      </w:r>
      <w:r w:rsidRPr="0014319D">
        <w:rPr>
          <w:rFonts w:cs="Times New Roman"/>
        </w:rPr>
        <w:t xml:space="preserve"> of adverse listening conditions,</w:t>
      </w:r>
      <w:r w:rsidRPr="0014319D">
        <w:rPr>
          <w:rFonts w:cs="Times New Roman"/>
          <w:i/>
          <w:iCs/>
        </w:rPr>
        <w:t xml:space="preserve"> </w:t>
      </w:r>
      <w:r w:rsidRPr="0014319D">
        <w:rPr>
          <w:rFonts w:cs="Times New Roman"/>
        </w:rPr>
        <w:t>degradation of the speech signal can occur at the source (the speaker), during transmission (through the environment from the source to the receiver), or at the receiver (the listener) due to perceptual or cognitive limitations. Source signal degradation</w:t>
      </w:r>
      <w:r w:rsidRPr="0014319D">
        <w:rPr>
          <w:rFonts w:eastAsiaTheme="minorEastAsia" w:cs="Times New Roman"/>
        </w:rPr>
        <w:t xml:space="preserve"> can occur via several means. </w:t>
      </w:r>
      <w:r w:rsidRPr="0014319D">
        <w:rPr>
          <w:rFonts w:cs="Times New Roman"/>
        </w:rPr>
        <w:t xml:space="preserve">For example, conversational speech can include syllable deletion, segment elision, and segment reduction, as well as disfluencies such as repairs, restarts, and fillers. Additional degradation can result from accented speech or speech </w:t>
      </w:r>
      <w:proofErr w:type="gramStart"/>
      <w:r w:rsidRPr="0014319D">
        <w:rPr>
          <w:rFonts w:cs="Times New Roman"/>
        </w:rPr>
        <w:t>disorders,</w:t>
      </w:r>
      <w:proofErr w:type="gramEnd"/>
      <w:r w:rsidRPr="0014319D">
        <w:rPr>
          <w:rFonts w:cs="Times New Roman"/>
        </w:rPr>
        <w:t xml:space="preserve"> however, it could be argued that this is a receiver limitation in their ability to interpret the source as all speech is accented. Environmental or transmission degradation can also occur in several ways. Background noise can interfere with speech transmission, and reverberation can distort the speech signal; and both are exacerbated when communicating over distance. Additionally, channel distortions such as talking on the telephone or online can distort the speech signal. Receiver limitations can be caused by a peripheral deficiency (e.g., sensorineural hearing loss); an incomplete language model (e.g., children and non-native listeners); impaired access or use of the language model (e.g., neurological deficits); or due to cognitive load and limited processing resources.</w:t>
      </w:r>
    </w:p>
    <w:p w14:paraId="11F2A70E" w14:textId="596416AF" w:rsidR="003A7A92" w:rsidRPr="0014319D" w:rsidRDefault="003A7A92" w:rsidP="003A7A92">
      <w:pPr>
        <w:rPr>
          <w:rFonts w:cs="Times New Roman"/>
        </w:rPr>
      </w:pPr>
      <w:r w:rsidRPr="6EB347A3">
        <w:rPr>
          <w:rFonts w:cs="Times New Roman"/>
        </w:rPr>
        <w:lastRenderedPageBreak/>
        <w:t xml:space="preserve">With respect to the </w:t>
      </w:r>
      <w:r w:rsidRPr="6EB347A3">
        <w:rPr>
          <w:rFonts w:cs="Times New Roman"/>
          <w:i/>
          <w:iCs/>
        </w:rPr>
        <w:t>effect</w:t>
      </w:r>
      <w:r w:rsidRPr="6EB347A3">
        <w:rPr>
          <w:rFonts w:cs="Times New Roman"/>
        </w:rPr>
        <w:t xml:space="preserve"> of adverse listening conditions on the listener, failure of recognition can occur when the listener misses information due to not </w:t>
      </w:r>
      <w:proofErr w:type="spellStart"/>
      <w:r w:rsidRPr="6EB347A3">
        <w:rPr>
          <w:rFonts w:cs="Times New Roman"/>
        </w:rPr>
        <w:t>recognising</w:t>
      </w:r>
      <w:proofErr w:type="spellEnd"/>
      <w:r w:rsidRPr="6EB347A3">
        <w:rPr>
          <w:rFonts w:cs="Times New Roman"/>
        </w:rPr>
        <w:t xml:space="preserve"> the words the speaker is saying. Perceptual interference occurs when competing signals such as background noise </w:t>
      </w:r>
      <w:r w:rsidR="639F9D34" w:rsidRPr="6EB347A3">
        <w:rPr>
          <w:rFonts w:cs="Times New Roman"/>
        </w:rPr>
        <w:t>affect</w:t>
      </w:r>
      <w:r w:rsidRPr="6EB347A3">
        <w:rPr>
          <w:rFonts w:cs="Times New Roman"/>
        </w:rPr>
        <w:t xml:space="preserve"> the listener’s interpretation of, or attention to, the target speech signal. When there is a distractor present there is an attentional cost of trying to selectively attend to the target speech while ignoring the distractor. Multi-tasking also reduces attentional capacity due to divided attention.  Additionally, listening in adverse listening conditions places higher demands on memory resulting in reduced memory capacity. However, there can also be a positive effect of listening in adverse conditions, that is, perceptual learning. The sensory system can improve in its response to adverse listening conditions via learning through experience. </w:t>
      </w:r>
    </w:p>
    <w:p w14:paraId="24FF7E62" w14:textId="77777777" w:rsidR="003A7A92" w:rsidRPr="0014319D" w:rsidRDefault="003A7A92" w:rsidP="003A7A92">
      <w:pPr>
        <w:rPr>
          <w:rFonts w:cs="Times New Roman"/>
          <w:b/>
          <w:i/>
          <w:iCs/>
        </w:rPr>
      </w:pPr>
      <w:r w:rsidRPr="0014319D">
        <w:rPr>
          <w:rFonts w:cs="Times New Roman"/>
          <w:b/>
          <w:i/>
          <w:iCs/>
        </w:rPr>
        <w:t xml:space="preserve">2. </w:t>
      </w:r>
      <w:r w:rsidRPr="0014319D">
        <w:rPr>
          <w:rFonts w:cs="Times New Roman"/>
          <w:b/>
          <w:i/>
          <w:iCs/>
        </w:rPr>
        <w:fldChar w:fldCharType="begin" w:fldLock="1"/>
      </w:r>
      <w:r w:rsidRPr="0014319D">
        <w:rPr>
          <w:rFonts w:cs="Times New Roman"/>
          <w:b/>
          <w:i/>
          <w:iCs/>
        </w:rPr>
        <w:instrText>ADDIN CSL_CITATION {"citationItems":[{"id":"ITEM-1","itemData":{"DOI":"10.1097/AUD.0000000000000304","ISBN":"0000000000000","ISSN":"15384667","PMID":"27355774","abstract":"Listening effort has been recognized as an important dimension of everyday listening, especially with regard to the comprehension of spoken language. At constant levels of comprehension performance, the level of effort exerted and perceived during listening can differ considerably across listeners and situations. In this article, listening effort is used as an umbrella term for two different types of effort that can arise during listening. One of these types is processing effort, which is used to denote the utilization of \"extra\" mental processing resources in listening conditions that are adverse for an individual. A conceptual description is introduced how processing effort could be defined in terms of situational influences, the listener's auditory and cognitive resources, and the listener's personal state. Also, the proposed relationship between processing effort and subjectively perceived listening effort is discussed. Notably, previous research has shown that the availability of mental resources, as well as the ability to use them efficiently, changes over the course of adult aging. These common age-related changes in cognitive abilities and their neurocognitive organization are discussed in the context of the presented concept, especially regarding situations in which listening effort may be increased for older people.","author":[{"dropping-particle":"","family":"Lemke","given":"Ulrike","non-dropping-particle":"","parse-names":false,"suffix":""},{"dropping-particle":"","family":"Besser","given":"Jana","non-dropping-particle":"","parse-names":false,"suffix":""}],"container-title":"Ear and Hearing","id":"ITEM-1","issued":{"date-parts":[["2016"]]},"page":"77S-84S","title":"Cognitive load and listening effort: Concepts and age-related considerations","type":"article-journal","volume":"37"},"uris":["http://www.mendeley.com/documents/?uuid=d5c72174-4aec-4fba-a0e1-9bc493472aa5"]}],"mendeley":{"formattedCitation":"(Lemke &amp; Besser, 2016)","manualFormatting":"Lemke and Besser (2016)","plainTextFormattedCitation":"(Lemke &amp; Besser, 2016)","previouslyFormattedCitation":"(Lemke &amp; Besser, 2016)"},"properties":{"noteIndex":0},"schema":"https://github.com/citation-style-language/schema/raw/master/csl-citation.json"}</w:instrText>
      </w:r>
      <w:r w:rsidRPr="0014319D">
        <w:rPr>
          <w:rFonts w:cs="Times New Roman"/>
          <w:b/>
          <w:i/>
          <w:iCs/>
        </w:rPr>
        <w:fldChar w:fldCharType="separate"/>
      </w:r>
      <w:r w:rsidRPr="0014319D">
        <w:rPr>
          <w:rFonts w:cs="Times New Roman"/>
          <w:b/>
          <w:i/>
          <w:iCs/>
          <w:noProof/>
        </w:rPr>
        <w:t>Lemke and Besser (2016)</w:t>
      </w:r>
      <w:r w:rsidRPr="0014319D">
        <w:rPr>
          <w:rFonts w:cs="Times New Roman"/>
          <w:b/>
          <w:i/>
          <w:iCs/>
        </w:rPr>
        <w:fldChar w:fldCharType="end"/>
      </w:r>
      <w:r w:rsidRPr="0014319D">
        <w:rPr>
          <w:rFonts w:cs="Times New Roman"/>
          <w:b/>
          <w:i/>
          <w:iCs/>
        </w:rPr>
        <w:t xml:space="preserve"> – Cognitive load and listening effort conceptual description</w:t>
      </w:r>
    </w:p>
    <w:p w14:paraId="78A04C37" w14:textId="574FAE81" w:rsidR="003A7A92" w:rsidRPr="0014319D" w:rsidRDefault="003A7A92" w:rsidP="003A7A92">
      <w:pPr>
        <w:rPr>
          <w:rFonts w:cs="Times New Roman"/>
        </w:rPr>
      </w:pPr>
      <w:r w:rsidRPr="6EB347A3">
        <w:rPr>
          <w:rFonts w:cs="Times New Roman"/>
        </w:rPr>
        <w:t>Lemke and Besser (2016) provide a conceptual description of how situational influences (listener-external factors), the listener’s auditory and cognitive resources (listener-internal factors), and the listener’s personal state affect the listening effort. This is important to consider in our L</w:t>
      </w:r>
      <w:r w:rsidRPr="6EB347A3">
        <w:rPr>
          <w:rFonts w:cs="Times New Roman"/>
          <w:vertAlign w:val="superscript"/>
        </w:rPr>
        <w:t>3</w:t>
      </w:r>
      <w:r w:rsidRPr="6EB347A3">
        <w:rPr>
          <w:rFonts w:cs="Times New Roman"/>
        </w:rPr>
        <w:t xml:space="preserve"> Assessment Framework as it </w:t>
      </w:r>
      <w:r w:rsidR="69C82081" w:rsidRPr="6EB347A3">
        <w:rPr>
          <w:rFonts w:cs="Times New Roman"/>
        </w:rPr>
        <w:t>helps us</w:t>
      </w:r>
      <w:r w:rsidRPr="6EB347A3">
        <w:rPr>
          <w:rFonts w:cs="Times New Roman"/>
        </w:rPr>
        <w:t xml:space="preserve"> understand the listening effort involved when the child is listening or communicating inside the classroom. The</w:t>
      </w:r>
      <w:r w:rsidRPr="6EB347A3">
        <w:rPr>
          <w:rFonts w:cs="Times New Roman"/>
          <w:i/>
          <w:iCs/>
        </w:rPr>
        <w:t xml:space="preserve"> listener-external factors</w:t>
      </w:r>
      <w:r w:rsidRPr="6EB347A3">
        <w:rPr>
          <w:rFonts w:cs="Times New Roman"/>
        </w:rPr>
        <w:t xml:space="preserve"> include the following physical characteristics: sound levels, number of target sources, number of interfering sources, frequency spectrum and temporal structure of the target and interfering sound sources, the acoustic properties of the room (e.g., reverberation), the spatial configuration of the sound sources, the presence of visual or haptic cues, the presence of sensory distractions, and the language and/or accents of both the target and interfering speech.</w:t>
      </w:r>
      <w:r w:rsidRPr="6EB347A3">
        <w:rPr>
          <w:rFonts w:cs="Times New Roman"/>
          <w:color w:val="000000" w:themeColor="text1"/>
        </w:rPr>
        <w:t xml:space="preserve"> Each of these factors can influence how much processing effort is needed for speech recognition. </w:t>
      </w:r>
      <w:r w:rsidRPr="6EB347A3">
        <w:rPr>
          <w:rFonts w:cs="Times New Roman"/>
          <w:i/>
          <w:iCs/>
        </w:rPr>
        <w:t xml:space="preserve"> </w:t>
      </w:r>
      <w:r w:rsidRPr="6EB347A3">
        <w:rPr>
          <w:rFonts w:cs="Times New Roman"/>
        </w:rPr>
        <w:t xml:space="preserve">The </w:t>
      </w:r>
      <w:r w:rsidRPr="6EB347A3">
        <w:rPr>
          <w:rFonts w:cs="Times New Roman"/>
          <w:i/>
          <w:iCs/>
        </w:rPr>
        <w:t>listener-internal factors</w:t>
      </w:r>
      <w:r w:rsidRPr="6EB347A3">
        <w:rPr>
          <w:rFonts w:cs="Times New Roman"/>
        </w:rPr>
        <w:t xml:space="preserve"> that affect listening effort are auditory processing and cognitive processing. Auditory processing includes audiometric thresholds, abilities to process supra-threshold spectral and temporal cues, and binaural processing of interaural time and level differences. Cognitive processing includes language ability, semantic, episodic, and working memory, attention, and speed of information processing. </w:t>
      </w:r>
      <w:r w:rsidRPr="6EB347A3">
        <w:rPr>
          <w:rFonts w:cs="Times New Roman"/>
          <w:i/>
          <w:iCs/>
        </w:rPr>
        <w:t xml:space="preserve"> </w:t>
      </w:r>
      <w:r w:rsidRPr="6EB347A3">
        <w:rPr>
          <w:rFonts w:cs="Times New Roman"/>
        </w:rPr>
        <w:t xml:space="preserve">The </w:t>
      </w:r>
      <w:r w:rsidRPr="6EB347A3">
        <w:rPr>
          <w:rFonts w:cs="Times New Roman"/>
          <w:i/>
          <w:iCs/>
        </w:rPr>
        <w:t>personal state</w:t>
      </w:r>
      <w:r w:rsidRPr="6EB347A3">
        <w:rPr>
          <w:rFonts w:cs="Times New Roman"/>
        </w:rPr>
        <w:t xml:space="preserve"> of the listener that affects listening effort include their physiological state (e.g., tiredness), motivation (e.g., engagement), emotional state (e.g., stress or grief), and social-psychological factors (e.g., self-advocacy).</w:t>
      </w:r>
    </w:p>
    <w:p w14:paraId="3898D949" w14:textId="77777777" w:rsidR="003A7A92" w:rsidRPr="0014319D" w:rsidRDefault="003A7A92" w:rsidP="003A7A92">
      <w:pPr>
        <w:rPr>
          <w:rFonts w:cs="Times New Roman"/>
          <w:b/>
          <w:bCs/>
          <w:iCs/>
          <w:u w:val="single"/>
        </w:rPr>
      </w:pPr>
      <w:r w:rsidRPr="0014319D">
        <w:rPr>
          <w:rFonts w:cs="Times New Roman"/>
          <w:b/>
          <w:bCs/>
          <w:iCs/>
          <w:u w:val="single"/>
        </w:rPr>
        <w:t>C. Education frameworks</w:t>
      </w:r>
    </w:p>
    <w:p w14:paraId="5AD4905F" w14:textId="77777777" w:rsidR="003A7A92" w:rsidRPr="0014319D" w:rsidRDefault="003A7A92" w:rsidP="003A7A92">
      <w:pPr>
        <w:rPr>
          <w:rFonts w:cs="Times New Roman"/>
        </w:rPr>
      </w:pPr>
      <w:r w:rsidRPr="0014319D">
        <w:rPr>
          <w:rFonts w:cs="Times New Roman"/>
        </w:rPr>
        <w:t>Ten education frameworks were consulted in the process of developing the L</w:t>
      </w:r>
      <w:r w:rsidRPr="0014319D">
        <w:rPr>
          <w:rFonts w:cs="Times New Roman"/>
          <w:vertAlign w:val="superscript"/>
        </w:rPr>
        <w:t>3</w:t>
      </w:r>
      <w:r w:rsidRPr="0014319D">
        <w:rPr>
          <w:rFonts w:cs="Times New Roman"/>
        </w:rPr>
        <w:t xml:space="preserve"> Assessment Framework. Considering education frameworks were important in understanding the activities that take place in the classroom, and the impact of listening and learning on children’s academic achievement, communication and social interaction, and wellbeing.</w:t>
      </w:r>
    </w:p>
    <w:p w14:paraId="27B377F6" w14:textId="77777777" w:rsidR="003A7A92" w:rsidRPr="0014319D" w:rsidRDefault="003A7A92" w:rsidP="003A7A92">
      <w:pPr>
        <w:rPr>
          <w:rFonts w:cs="Times New Roman"/>
          <w:b/>
          <w:bCs/>
          <w:i/>
          <w:iCs/>
        </w:rPr>
      </w:pPr>
      <w:r w:rsidRPr="0014319D">
        <w:rPr>
          <w:rFonts w:cs="Times New Roman"/>
          <w:b/>
          <w:bCs/>
          <w:i/>
          <w:iCs/>
        </w:rPr>
        <w:t>1. Bloom’s Taxonomy and Taxonomy for Teaching, Learning, and Assessment</w:t>
      </w:r>
    </w:p>
    <w:p w14:paraId="2B0DDDFA" w14:textId="77777777" w:rsidR="003A7A92" w:rsidRPr="0014319D" w:rsidRDefault="003A7A92" w:rsidP="003A7A92">
      <w:pPr>
        <w:rPr>
          <w:rFonts w:cs="Times New Roman"/>
        </w:rPr>
      </w:pPr>
      <w:r w:rsidRPr="0014319D">
        <w:rPr>
          <w:rFonts w:cs="Times New Roman"/>
        </w:rPr>
        <w:fldChar w:fldCharType="begin" w:fldLock="1"/>
      </w:r>
      <w:r w:rsidRPr="0014319D">
        <w:rPr>
          <w:rFonts w:cs="Times New Roman"/>
        </w:rPr>
        <w:instrText>ADDIN CSL_CITATION {"citationItems":[{"id":"ITEM-1","itemData":{"author":[{"dropping-particle":"","family":"Bloom","given":"Benjamin","non-dropping-particle":"","parse-names":false,"suffix":""}],"id":"ITEM-1","issued":{"date-parts":[["1954"]]},"publisher":"Longmans, Green and Co Ltd","title":"Taxonomy of Educational Objectives: The Classification of Educational Goals","type":"book"},"uris":["http://www.mendeley.com/documents/?uuid=73d289c4-04fc-4c1b-99bf-f793ae16bb91"]}],"mendeley":{"formattedCitation":"(Bloom, 1954)","manualFormatting":"Bloom's (1954)","plainTextFormattedCitation":"(Bloom, 1954)","previouslyFormattedCitation":"(Bloom, 1954)"},"properties":{"noteIndex":0},"schema":"https://github.com/citation-style-language/schema/raw/master/csl-citation.json"}</w:instrText>
      </w:r>
      <w:r w:rsidRPr="0014319D">
        <w:rPr>
          <w:rFonts w:cs="Times New Roman"/>
        </w:rPr>
        <w:fldChar w:fldCharType="separate"/>
      </w:r>
      <w:r w:rsidRPr="0014319D">
        <w:rPr>
          <w:rFonts w:cs="Times New Roman"/>
          <w:noProof/>
        </w:rPr>
        <w:t>Bloom's (1954)</w:t>
      </w:r>
      <w:r w:rsidRPr="0014319D">
        <w:rPr>
          <w:rFonts w:cs="Times New Roman"/>
        </w:rPr>
        <w:fldChar w:fldCharType="end"/>
      </w:r>
      <w:r w:rsidRPr="0014319D">
        <w:rPr>
          <w:rFonts w:cs="Times New Roman"/>
        </w:rPr>
        <w:t xml:space="preserve"> taxonomy of educational objectives and the revised taxonomy for teaching, learning, and assessment is a multi-tiered model for classifying educational goals. It is important to consider in our L</w:t>
      </w:r>
      <w:r w:rsidRPr="0014319D">
        <w:rPr>
          <w:rFonts w:cs="Times New Roman"/>
          <w:vertAlign w:val="superscript"/>
        </w:rPr>
        <w:t>3</w:t>
      </w:r>
      <w:r w:rsidRPr="0014319D">
        <w:rPr>
          <w:rFonts w:cs="Times New Roman"/>
        </w:rPr>
        <w:t xml:space="preserve"> Assessment Framework as it helps us understand the learning process that drives listening and communication inside the classroom. The taxonomy has six main categories which in order of hierarchy from lowest to highest are: knowledge, comprehension, application, analysis, synthesis, and evaluation (pg. 201-207). In 2001, Bloom’s taxonomy was revised by </w:t>
      </w:r>
      <w:r w:rsidRPr="0014319D">
        <w:rPr>
          <w:rFonts w:cs="Times New Roman"/>
        </w:rPr>
        <w:lastRenderedPageBreak/>
        <w:fldChar w:fldCharType="begin" w:fldLock="1"/>
      </w:r>
      <w:r w:rsidRPr="0014319D">
        <w:rPr>
          <w:rFonts w:cs="Times New Roman"/>
        </w:rPr>
        <w:instrText>ADDIN CSL_CITATION {"citationItems":[{"id":"ITEM-1","itemData":{"editor":[{"dropping-particle":"","family":"Anderson","given":"Lorin W","non-dropping-particle":"","parse-names":false,"suffix":""},{"dropping-particle":"","family":"Krathwohl","given":"David R","non-dropping-particle":"","parse-names":false,"suffix":""}],"id":"ITEM-1","issued":{"date-parts":[["2001"]]},"publisher":"P&amp;C Education","title":"A Taxonomy for Learning, Teaching, and Assessing: A Revision of Bloom's Taxonomy of Educational Objectives","type":"book"},"uris":["http://www.mendeley.com/documents/?uuid=0dcbe2f0-4c77-4656-84f3-11470a35afcf"]}],"mendeley":{"formattedCitation":"(Anderson &amp; Krathwohl, 2001)","manualFormatting":"Anderson and Krathwohl (2001)","plainTextFormattedCitation":"(Anderson &amp; Krathwohl, 2001)","previouslyFormattedCitation":"(Anderson &amp; Krathwohl, 2001)"},"properties":{"noteIndex":0},"schema":"https://github.com/citation-style-language/schema/raw/master/csl-citation.json"}</w:instrText>
      </w:r>
      <w:r w:rsidRPr="0014319D">
        <w:rPr>
          <w:rFonts w:cs="Times New Roman"/>
        </w:rPr>
        <w:fldChar w:fldCharType="separate"/>
      </w:r>
      <w:r w:rsidRPr="0014319D">
        <w:rPr>
          <w:rFonts w:cs="Times New Roman"/>
          <w:noProof/>
        </w:rPr>
        <w:t>Anderson and Krathwohl (2001)</w:t>
      </w:r>
      <w:r w:rsidRPr="0014319D">
        <w:rPr>
          <w:rFonts w:cs="Times New Roman"/>
        </w:rPr>
        <w:fldChar w:fldCharType="end"/>
      </w:r>
      <w:r w:rsidRPr="0014319D">
        <w:rPr>
          <w:rFonts w:cs="Times New Roman"/>
        </w:rPr>
        <w:t xml:space="preserve"> into a Taxonomy for Teaching, Learning, and Assessment. The nouns for the hierarchical levels were changed to verbs to create a more dynamic and active </w:t>
      </w:r>
      <w:proofErr w:type="spellStart"/>
      <w:r w:rsidRPr="0014319D">
        <w:rPr>
          <w:rFonts w:cs="Times New Roman"/>
        </w:rPr>
        <w:t>conceptualisation</w:t>
      </w:r>
      <w:proofErr w:type="spellEnd"/>
      <w:r w:rsidRPr="0014319D">
        <w:rPr>
          <w:rFonts w:cs="Times New Roman"/>
        </w:rPr>
        <w:t xml:space="preserve">. The new classifiers and their descriptions </w:t>
      </w:r>
      <w:proofErr w:type="gramStart"/>
      <w:r w:rsidRPr="0014319D">
        <w:rPr>
          <w:rFonts w:cs="Times New Roman"/>
        </w:rPr>
        <w:t>are:</w:t>
      </w:r>
      <w:proofErr w:type="gramEnd"/>
      <w:r w:rsidRPr="0014319D">
        <w:rPr>
          <w:rFonts w:cs="Times New Roman"/>
        </w:rPr>
        <w:t xml:space="preserve"> remember (recognizing and recalling), understand (interpreting, exemplifying, classifying, summarizing, inferring, comparing, and explaining), apply (executing and implementing), </w:t>
      </w:r>
      <w:proofErr w:type="spellStart"/>
      <w:r w:rsidRPr="0014319D">
        <w:rPr>
          <w:rFonts w:cs="Times New Roman"/>
        </w:rPr>
        <w:t>analyse</w:t>
      </w:r>
      <w:proofErr w:type="spellEnd"/>
      <w:r w:rsidRPr="0014319D">
        <w:rPr>
          <w:rFonts w:cs="Times New Roman"/>
        </w:rPr>
        <w:t xml:space="preserve"> (differentiating, organizing, and attributing), evaluate (checking and critiquing), and create (generating, planning, and producing) (pg. 67-68). These skills are important when considering the impact of listening and learning on academic achievement.</w:t>
      </w:r>
    </w:p>
    <w:p w14:paraId="4E098FD8" w14:textId="77777777" w:rsidR="003A7A92" w:rsidRPr="0014319D" w:rsidRDefault="003A7A92" w:rsidP="003A7A92">
      <w:pPr>
        <w:rPr>
          <w:rFonts w:cs="Times New Roman"/>
          <w:b/>
          <w:bCs/>
          <w:i/>
          <w:iCs/>
        </w:rPr>
      </w:pPr>
      <w:r w:rsidRPr="0014319D">
        <w:rPr>
          <w:rFonts w:cs="Times New Roman"/>
          <w:b/>
          <w:bCs/>
          <w:i/>
          <w:iCs/>
        </w:rPr>
        <w:t>2. Davis’ Listening Types Framework</w:t>
      </w:r>
    </w:p>
    <w:p w14:paraId="5FE02B02" w14:textId="77777777" w:rsidR="003A7A92" w:rsidRPr="0014319D" w:rsidRDefault="003A7A92" w:rsidP="003A7A92">
      <w:pPr>
        <w:rPr>
          <w:rFonts w:eastAsiaTheme="minorEastAsia" w:cs="Times New Roman"/>
        </w:rPr>
      </w:pPr>
      <w:r w:rsidRPr="0014319D">
        <w:rPr>
          <w:rFonts w:eastAsiaTheme="minorEastAsia" w:cs="Times New Roman"/>
          <w:b/>
          <w:bCs/>
        </w:rPr>
        <w:fldChar w:fldCharType="begin" w:fldLock="1"/>
      </w:r>
      <w:r w:rsidRPr="0014319D">
        <w:rPr>
          <w:rFonts w:eastAsiaTheme="minorEastAsia" w:cs="Times New Roman"/>
          <w:b/>
          <w:bCs/>
        </w:rPr>
        <w:instrText>ADDIN CSL_CITATION {"citationItems":[{"id":"ITEM-1","itemData":{"ISBN":"9781119130536","author":[{"dropping-particle":"","family":"Davis","given":"Brent","non-dropping-particle":"","parse-names":false,"suffix":""}],"container-title":"Angewandte Chemie International Edition, 6(11), 951–952.","id":"ITEM-1","issued":{"date-parts":[["1996"]]},"publisher":"Taylor &amp; Francis","publisher-place":"New York","title":"Teaching mathematics: Toward a sound alternative. (Vol 7)","type":"book"},"uris":["http://www.mendeley.com/documents/?uuid=ca862f3b-6b9a-42de-b2f7-3d39e869df39"]}],"mendeley":{"formattedCitation":"(Davis, 1996)","manualFormatting":"Davis (1996)","plainTextFormattedCitation":"(Davis, 1996)","previouslyFormattedCitation":"(Davis, 1996)"},"properties":{"noteIndex":0},"schema":"https://github.com/citation-style-language/schema/raw/master/csl-citation.json"}</w:instrText>
      </w:r>
      <w:r w:rsidRPr="0014319D">
        <w:rPr>
          <w:rFonts w:eastAsiaTheme="minorEastAsia" w:cs="Times New Roman"/>
          <w:b/>
          <w:bCs/>
        </w:rPr>
        <w:fldChar w:fldCharType="separate"/>
      </w:r>
      <w:r w:rsidRPr="0014319D">
        <w:rPr>
          <w:rFonts w:eastAsiaTheme="minorEastAsia" w:cs="Times New Roman"/>
          <w:bCs/>
          <w:noProof/>
        </w:rPr>
        <w:t>Davis (1996)</w:t>
      </w:r>
      <w:r w:rsidRPr="0014319D">
        <w:rPr>
          <w:rFonts w:eastAsiaTheme="minorEastAsia" w:cs="Times New Roman"/>
          <w:b/>
          <w:bCs/>
        </w:rPr>
        <w:fldChar w:fldCharType="end"/>
      </w:r>
      <w:r w:rsidRPr="0014319D">
        <w:rPr>
          <w:rFonts w:eastAsiaTheme="minorEastAsia" w:cs="Times New Roman"/>
        </w:rPr>
        <w:t xml:space="preserve"> provides a framework for listening that consists of three modes of listening: evaluative listening, interpretive listening, and hermeneutic listening. Davis</w:t>
      </w:r>
      <w:r w:rsidRPr="0014319D">
        <w:rPr>
          <w:rFonts w:eastAsiaTheme="minorEastAsia" w:cs="Times New Roman"/>
          <w:b/>
          <w:bCs/>
        </w:rPr>
        <w:t xml:space="preserve"> </w:t>
      </w:r>
      <w:r w:rsidRPr="0014319D">
        <w:rPr>
          <w:rFonts w:eastAsiaTheme="minorEastAsia" w:cs="Times New Roman"/>
        </w:rPr>
        <w:t>uses these modes to describe the ways mathematics teachers can listen to their students, but it can be applied more broadly to listening in different contexts which is why it is important to consider for our L</w:t>
      </w:r>
      <w:r w:rsidRPr="0014319D">
        <w:rPr>
          <w:rFonts w:eastAsiaTheme="minorEastAsia" w:cs="Times New Roman"/>
          <w:vertAlign w:val="superscript"/>
        </w:rPr>
        <w:t>3</w:t>
      </w:r>
      <w:r w:rsidRPr="0014319D">
        <w:rPr>
          <w:rFonts w:eastAsiaTheme="minorEastAsia" w:cs="Times New Roman"/>
        </w:rPr>
        <w:t xml:space="preserve"> Assessment Framework. Evaluative listening is where the listener is listening for </w:t>
      </w:r>
      <w:proofErr w:type="gramStart"/>
      <w:r w:rsidRPr="0014319D">
        <w:rPr>
          <w:rFonts w:eastAsiaTheme="minorEastAsia" w:cs="Times New Roman"/>
        </w:rPr>
        <w:t>something in particular, for</w:t>
      </w:r>
      <w:proofErr w:type="gramEnd"/>
      <w:r w:rsidRPr="0014319D">
        <w:rPr>
          <w:rFonts w:eastAsiaTheme="minorEastAsia" w:cs="Times New Roman"/>
        </w:rPr>
        <w:t xml:space="preserve"> example a correct answer to a question. It is surface-level listening. Interpretive listening is listening that seeks information and responds to it. It involves deliberate, active interpretation. Hermeneutic listening involves exploring, making sense of, and building on the ideas discussed in multiple perspectives.</w:t>
      </w:r>
    </w:p>
    <w:p w14:paraId="35DEC7E4" w14:textId="77777777" w:rsidR="003A7A92" w:rsidRPr="0014319D" w:rsidRDefault="003A7A92" w:rsidP="003A7A92">
      <w:pPr>
        <w:rPr>
          <w:rFonts w:eastAsiaTheme="minorEastAsia" w:cs="Times New Roman"/>
          <w:b/>
          <w:bCs/>
          <w:i/>
          <w:iCs/>
        </w:rPr>
      </w:pPr>
      <w:r w:rsidRPr="0014319D">
        <w:rPr>
          <w:rFonts w:eastAsiaTheme="minorEastAsia" w:cs="Times New Roman"/>
          <w:b/>
          <w:bCs/>
          <w:i/>
          <w:iCs/>
        </w:rPr>
        <w:t>3. Framework for Leadership in Elementary Schools</w:t>
      </w:r>
    </w:p>
    <w:p w14:paraId="3EA73957" w14:textId="77777777" w:rsidR="003A7A92" w:rsidRPr="0014319D" w:rsidRDefault="003A7A92" w:rsidP="003A7A92">
      <w:pPr>
        <w:rPr>
          <w:rStyle w:val="eop"/>
          <w:rFonts w:cs="Times New Roman"/>
        </w:rPr>
      </w:pPr>
      <w:r w:rsidRPr="0014319D">
        <w:rPr>
          <w:rFonts w:cs="Times New Roman"/>
        </w:rPr>
        <w:fldChar w:fldCharType="begin" w:fldLock="1"/>
      </w:r>
      <w:r w:rsidRPr="0014319D">
        <w:rPr>
          <w:rFonts w:cs="Times New Roman"/>
        </w:rPr>
        <w:instrText>ADDIN CSL_CITATION {"citationItems":[{"id":"ITEM-1","itemData":{"DOI":"10.1080/00228958.2014.931147","ISSN":"0022-8958","abstract":"Leadership is everyone's responsibility-even first graders. The most important contribution that any educator can make in an era of unrelenting change is identifying and developing aspiring leaders. Elementary school teachers can embed leadership development opportunities into the classroom to foster leadership dispositions and skills grounded in the spirit to include, the passion to serve, the courage to question, and the discipline to listen. Four leadership dispositions illustrate a framework for identifying and developing aspiring elementary school leaders.","author":[{"dropping-particle":"","family":"Bowman","given":"Richard F.","non-dropping-particle":"","parse-names":false,"suffix":""}],"container-title":"Kappa Delta Pi Record","id":"ITEM-1","issue":"3","issued":{"date-parts":[["2014"]]},"page":"119-123","title":"Learning leadership skills in elementary school","type":"article-journal","volume":"50"},"uris":["http://www.mendeley.com/documents/?uuid=2a0ed3e0-6c68-4981-8b0f-81b06b171178"]}],"mendeley":{"formattedCitation":"(Bowman, 2014)","manualFormatting":"Bowman's (2014)","plainTextFormattedCitation":"(Bowman, 2014)","previouslyFormattedCitation":"(Bowman, 2014)"},"properties":{"noteIndex":0},"schema":"https://github.com/citation-style-language/schema/raw/master/csl-citation.json"}</w:instrText>
      </w:r>
      <w:r w:rsidRPr="0014319D">
        <w:rPr>
          <w:rFonts w:cs="Times New Roman"/>
        </w:rPr>
        <w:fldChar w:fldCharType="separate"/>
      </w:r>
      <w:r w:rsidRPr="0014319D">
        <w:rPr>
          <w:rFonts w:cs="Times New Roman"/>
          <w:noProof/>
        </w:rPr>
        <w:t>Bowman's (2014)</w:t>
      </w:r>
      <w:r w:rsidRPr="0014319D">
        <w:rPr>
          <w:rFonts w:cs="Times New Roman"/>
        </w:rPr>
        <w:fldChar w:fldCharType="end"/>
      </w:r>
      <w:r w:rsidRPr="0014319D">
        <w:rPr>
          <w:rFonts w:cs="Times New Roman"/>
        </w:rPr>
        <w:t xml:space="preserve"> Framework for Leadership in Elementary Schools includes four distinctive leadership dispositions: </w:t>
      </w:r>
      <w:r w:rsidRPr="0014319D">
        <w:rPr>
          <w:rStyle w:val="normaltextrun"/>
          <w:rFonts w:cs="Times New Roman"/>
        </w:rPr>
        <w:t>the spirit to include,</w:t>
      </w:r>
      <w:r w:rsidRPr="0014319D">
        <w:rPr>
          <w:rStyle w:val="eop"/>
          <w:rFonts w:cs="Times New Roman"/>
        </w:rPr>
        <w:t> </w:t>
      </w:r>
      <w:r w:rsidRPr="0014319D">
        <w:rPr>
          <w:rStyle w:val="normaltextrun"/>
          <w:rFonts w:cs="Times New Roman"/>
        </w:rPr>
        <w:t>the passion to serve,</w:t>
      </w:r>
      <w:r w:rsidRPr="0014319D">
        <w:rPr>
          <w:rStyle w:val="eop"/>
          <w:rFonts w:cs="Times New Roman"/>
        </w:rPr>
        <w:t> </w:t>
      </w:r>
      <w:r w:rsidRPr="0014319D">
        <w:rPr>
          <w:rStyle w:val="normaltextrun"/>
          <w:rFonts w:cs="Times New Roman"/>
        </w:rPr>
        <w:t>the discipline to listen, and</w:t>
      </w:r>
      <w:r w:rsidRPr="0014319D">
        <w:rPr>
          <w:rStyle w:val="eop"/>
          <w:rFonts w:cs="Times New Roman"/>
        </w:rPr>
        <w:t> </w:t>
      </w:r>
      <w:r w:rsidRPr="0014319D">
        <w:rPr>
          <w:rStyle w:val="normaltextrun"/>
          <w:rFonts w:cs="Times New Roman"/>
        </w:rPr>
        <w:t xml:space="preserve">the courage to question. These dispositions are </w:t>
      </w:r>
      <w:r w:rsidRPr="0014319D">
        <w:rPr>
          <w:rFonts w:eastAsiaTheme="minorEastAsia" w:cs="Times New Roman"/>
        </w:rPr>
        <w:t>important to consider for our L</w:t>
      </w:r>
      <w:r w:rsidRPr="0014319D">
        <w:rPr>
          <w:rFonts w:eastAsiaTheme="minorEastAsia" w:cs="Times New Roman"/>
          <w:vertAlign w:val="superscript"/>
        </w:rPr>
        <w:t>3</w:t>
      </w:r>
      <w:r w:rsidRPr="0014319D">
        <w:rPr>
          <w:rFonts w:eastAsiaTheme="minorEastAsia" w:cs="Times New Roman"/>
        </w:rPr>
        <w:t xml:space="preserve"> Assessment Framework, especially when thinking about child-directed classroom communicative and social interactions where a child must work with a group of children on a problem.</w:t>
      </w:r>
      <w:r w:rsidRPr="0014319D">
        <w:rPr>
          <w:rStyle w:val="normaltextrun"/>
          <w:rFonts w:cs="Times New Roman"/>
        </w:rPr>
        <w:t xml:space="preserve"> The spirit to include is focused on the child including those who have been excluded by listening to the perspectives of others and transforming relationships. The passion to serve is about the child serving others with a moral purpose and thinking of themselves less often. The discipline to listen is focused on the child being less interesting themselves and more interested and curious in others to create shared meaning and shared partnerships.</w:t>
      </w:r>
      <w:r w:rsidRPr="0014319D">
        <w:rPr>
          <w:rStyle w:val="eop"/>
          <w:rFonts w:cs="Times New Roman"/>
        </w:rPr>
        <w:t> The courage to question encourages the child to think about what they are refusing to look at, what they are refusing to face, how they have changed, and what they want for themselves and those that they love.</w:t>
      </w:r>
    </w:p>
    <w:p w14:paraId="304F8B55" w14:textId="77777777" w:rsidR="003A7A92" w:rsidRPr="0014319D" w:rsidRDefault="003A7A92" w:rsidP="003A7A92">
      <w:pPr>
        <w:rPr>
          <w:rFonts w:eastAsiaTheme="minorEastAsia" w:cs="Times New Roman"/>
          <w:b/>
          <w:bCs/>
          <w:i/>
          <w:iCs/>
          <w:highlight w:val="yellow"/>
        </w:rPr>
      </w:pPr>
      <w:r w:rsidRPr="0014319D">
        <w:rPr>
          <w:rStyle w:val="eop"/>
          <w:rFonts w:cs="Times New Roman"/>
          <w:b/>
          <w:bCs/>
          <w:i/>
          <w:iCs/>
        </w:rPr>
        <w:t xml:space="preserve">4. </w:t>
      </w:r>
      <w:r w:rsidRPr="0014319D">
        <w:rPr>
          <w:rFonts w:cs="Times New Roman"/>
          <w:b/>
          <w:bCs/>
          <w:i/>
          <w:iCs/>
        </w:rPr>
        <w:t>Vygotsky’s Sociocultural Theory</w:t>
      </w:r>
    </w:p>
    <w:p w14:paraId="76A115B7" w14:textId="77777777" w:rsidR="003A7A92" w:rsidRPr="0014319D" w:rsidRDefault="003A7A92" w:rsidP="003A7A92">
      <w:pPr>
        <w:rPr>
          <w:rFonts w:eastAsiaTheme="minorEastAsia" w:cs="Times New Roman"/>
        </w:rPr>
      </w:pPr>
      <w:r w:rsidRPr="0014319D">
        <w:rPr>
          <w:rStyle w:val="normaltextrun"/>
          <w:rFonts w:cs="Times New Roman"/>
        </w:rPr>
        <w:t xml:space="preserve">Vygotsky’s Sociocultural Theory </w:t>
      </w:r>
      <w:proofErr w:type="spellStart"/>
      <w:r w:rsidRPr="0014319D">
        <w:rPr>
          <w:rStyle w:val="normaltextrun"/>
          <w:rFonts w:cs="Times New Roman"/>
        </w:rPr>
        <w:t>emphasises</w:t>
      </w:r>
      <w:proofErr w:type="spellEnd"/>
      <w:r w:rsidRPr="0014319D">
        <w:rPr>
          <w:rStyle w:val="normaltextrun"/>
          <w:rFonts w:cs="Times New Roman"/>
        </w:rPr>
        <w:t xml:space="preserve"> the collaborative nature of learning </w:t>
      </w:r>
      <w:r w:rsidRPr="0014319D">
        <w:rPr>
          <w:rStyle w:val="normaltextrun"/>
          <w:rFonts w:cs="Times New Roman"/>
        </w:rPr>
        <w:fldChar w:fldCharType="begin" w:fldLock="1"/>
      </w:r>
      <w:r w:rsidRPr="0014319D">
        <w:rPr>
          <w:rStyle w:val="normaltextrun"/>
          <w:rFonts w:cs="Times New Roman"/>
        </w:rPr>
        <w:instrText>ADDIN CSL_CITATION {"citationItems":[{"id":"ITEM-1","itemData":{"author":[{"dropping-particle":"","family":"Mahn","given":"Holbrook","non-dropping-particle":"","parse-names":false,"suffix":""}],"container-title":"Remedial and Special Education","id":"ITEM-1","issue":"6","issued":{"date-parts":[["1999"]]},"page":"341-350","title":"Vygotsky’s methodological contribution to sociocultural theor","type":"article-journal","volume":"20"},"uris":["http://www.mendeley.com/documents/?uuid=b3c51b10-23f7-4119-975b-d12356bc8a17"]}],"mendeley":{"formattedCitation":"(Mahn, 1999)","plainTextFormattedCitation":"(Mahn, 1999)","previouslyFormattedCitation":"(Mahn, 1999)"},"properties":{"noteIndex":0},"schema":"https://github.com/citation-style-language/schema/raw/master/csl-citation.json"}</w:instrText>
      </w:r>
      <w:r w:rsidRPr="0014319D">
        <w:rPr>
          <w:rStyle w:val="normaltextrun"/>
          <w:rFonts w:cs="Times New Roman"/>
        </w:rPr>
        <w:fldChar w:fldCharType="separate"/>
      </w:r>
      <w:r w:rsidRPr="0014319D">
        <w:rPr>
          <w:rStyle w:val="normaltextrun"/>
          <w:rFonts w:cs="Times New Roman"/>
          <w:noProof/>
        </w:rPr>
        <w:t>(Mahn, 1999)</w:t>
      </w:r>
      <w:r w:rsidRPr="0014319D">
        <w:rPr>
          <w:rStyle w:val="normaltextrun"/>
          <w:rFonts w:cs="Times New Roman"/>
        </w:rPr>
        <w:fldChar w:fldCharType="end"/>
      </w:r>
      <w:r w:rsidRPr="0014319D">
        <w:rPr>
          <w:rStyle w:val="normaltextrun"/>
          <w:rFonts w:cs="Times New Roman"/>
        </w:rPr>
        <w:t xml:space="preserve">. Children construct knowledge through social interactions. Guidance or collaboration from an adult or peer can help improve the learning potential of the child compared to if there were going to solve a problem independently </w:t>
      </w:r>
      <w:r w:rsidRPr="0014319D">
        <w:rPr>
          <w:rStyle w:val="normaltextrun"/>
          <w:rFonts w:cs="Times New Roman"/>
        </w:rPr>
        <w:fldChar w:fldCharType="begin" w:fldLock="1"/>
      </w:r>
      <w:r w:rsidRPr="0014319D">
        <w:rPr>
          <w:rStyle w:val="normaltextrun"/>
          <w:rFonts w:cs="Times New Roman"/>
        </w:rPr>
        <w:instrText>ADDIN CSL_CITATION {"citationItems":[{"id":"ITEM-1","itemData":{"author":[{"dropping-particle":"","family":"Mahn","given":"Holbrook","non-dropping-particle":"","parse-names":false,"suffix":""}],"container-title":"Remedial and Special Education","id":"ITEM-1","issue":"6","issued":{"date-parts":[["1999"]]},"page":"341-350","title":"Vygotsky’s methodological contribution to sociocultural theor","type":"article-journal","volume":"20"},"uris":["http://www.mendeley.com/documents/?uuid=b3c51b10-23f7-4119-975b-d12356bc8a17"]}],"mendeley":{"formattedCitation":"(Mahn, 1999)","plainTextFormattedCitation":"(Mahn, 1999)","previouslyFormattedCitation":"(Mahn, 1999)"},"properties":{"noteIndex":0},"schema":"https://github.com/citation-style-language/schema/raw/master/csl-citation.json"}</w:instrText>
      </w:r>
      <w:r w:rsidRPr="0014319D">
        <w:rPr>
          <w:rStyle w:val="normaltextrun"/>
          <w:rFonts w:cs="Times New Roman"/>
        </w:rPr>
        <w:fldChar w:fldCharType="separate"/>
      </w:r>
      <w:r w:rsidRPr="0014319D">
        <w:rPr>
          <w:rStyle w:val="normaltextrun"/>
          <w:rFonts w:cs="Times New Roman"/>
          <w:noProof/>
        </w:rPr>
        <w:t>(Mahn, 1999)</w:t>
      </w:r>
      <w:r w:rsidRPr="0014319D">
        <w:rPr>
          <w:rStyle w:val="normaltextrun"/>
          <w:rFonts w:cs="Times New Roman"/>
        </w:rPr>
        <w:fldChar w:fldCharType="end"/>
      </w:r>
      <w:r w:rsidRPr="0014319D">
        <w:rPr>
          <w:rStyle w:val="normaltextrun"/>
          <w:rFonts w:cs="Times New Roman"/>
        </w:rPr>
        <w:t xml:space="preserve">. This theory is </w:t>
      </w:r>
      <w:r w:rsidRPr="0014319D">
        <w:rPr>
          <w:rFonts w:eastAsiaTheme="minorEastAsia" w:cs="Times New Roman"/>
        </w:rPr>
        <w:t>important to consider for our L</w:t>
      </w:r>
      <w:r w:rsidRPr="0014319D">
        <w:rPr>
          <w:rFonts w:eastAsiaTheme="minorEastAsia" w:cs="Times New Roman"/>
          <w:vertAlign w:val="superscript"/>
        </w:rPr>
        <w:t>3</w:t>
      </w:r>
      <w:r w:rsidRPr="0014319D">
        <w:rPr>
          <w:rFonts w:eastAsiaTheme="minorEastAsia" w:cs="Times New Roman"/>
        </w:rPr>
        <w:t xml:space="preserve"> Assessment Framework especially when considering the learning activity that the children are engaged in and the role of the teacher and peers in assisting children to construct knowledge.</w:t>
      </w:r>
    </w:p>
    <w:p w14:paraId="5441BCE0" w14:textId="77777777" w:rsidR="00711985" w:rsidRDefault="00711985" w:rsidP="003A7A92">
      <w:pPr>
        <w:rPr>
          <w:rFonts w:cs="Times New Roman"/>
          <w:b/>
          <w:bCs/>
          <w:i/>
          <w:iCs/>
        </w:rPr>
      </w:pPr>
    </w:p>
    <w:p w14:paraId="5333BF88" w14:textId="77777777" w:rsidR="00711985" w:rsidRDefault="00711985" w:rsidP="003A7A92">
      <w:pPr>
        <w:rPr>
          <w:rFonts w:cs="Times New Roman"/>
          <w:b/>
          <w:bCs/>
          <w:i/>
          <w:iCs/>
        </w:rPr>
      </w:pPr>
    </w:p>
    <w:p w14:paraId="1CCB0585" w14:textId="78F7BDA8" w:rsidR="003A7A92" w:rsidRPr="0014319D" w:rsidRDefault="003A7A92" w:rsidP="003A7A92">
      <w:pPr>
        <w:rPr>
          <w:rFonts w:eastAsiaTheme="minorEastAsia" w:cs="Times New Roman"/>
          <w:b/>
          <w:bCs/>
          <w:i/>
          <w:iCs/>
          <w:highlight w:val="yellow"/>
        </w:rPr>
      </w:pPr>
      <w:r w:rsidRPr="0014319D">
        <w:rPr>
          <w:rFonts w:cs="Times New Roman"/>
          <w:b/>
          <w:bCs/>
          <w:i/>
          <w:iCs/>
        </w:rPr>
        <w:lastRenderedPageBreak/>
        <w:t xml:space="preserve">5. Krashen’s Input Hypothesis </w:t>
      </w:r>
    </w:p>
    <w:p w14:paraId="339F727E" w14:textId="77777777" w:rsidR="003A7A92" w:rsidRPr="0014319D" w:rsidRDefault="003A7A92" w:rsidP="003A7A92">
      <w:pPr>
        <w:rPr>
          <w:rFonts w:cs="Times New Roman"/>
        </w:rPr>
      </w:pPr>
      <w:r w:rsidRPr="0014319D">
        <w:rPr>
          <w:rFonts w:cs="Times New Roman"/>
        </w:rPr>
        <w:t xml:space="preserve">Krashen’s Input Hypothesis states that language acquisition occurs when the learner receives input slightly more advanced than then their current knowledge </w:t>
      </w:r>
      <w:r w:rsidRPr="0014319D">
        <w:rPr>
          <w:rFonts w:cs="Times New Roman"/>
        </w:rPr>
        <w:fldChar w:fldCharType="begin" w:fldLock="1"/>
      </w:r>
      <w:r w:rsidRPr="0014319D">
        <w:rPr>
          <w:rFonts w:cs="Times New Roman"/>
        </w:rPr>
        <w:instrText>ADDIN CSL_CITATION {"citationItems":[{"id":"ITEM-1","itemData":{"abstract":"While prevailing research links language proficiency to fundamental literacy acquisition, research is, however, limited when language and literacy acquisition are simultaneous as is the case with young (4-6 years) English language learners (ELLs) in K1, K2 and Grade 1 who acquire first time literacy in an inclusive classroom and in a L2 (additional language). The study draws on a synopsis of current research, globalisation, the concomitant cultural and linguistic diversity, inclusive education, barriers to learning, and social justice. The aforementioned supports the discussion for the comparative study of the language and literacy profiles (LLP) of the ELLs and the English-speaking, monolingual learners. The LLPs are established by qualitatively analysing cultural and linguistic differences and differences in letter knowledge, rhyme knowledge, basic concepts, vocabulary, phonic knowledge, sight word recognition, and listening comprehension. A causal-comparative approach to the mixed model research design and a complementary mixed methods approach are applied to the study. Findings are discussed in relation to the classic and current theoretical frameworks pertaining to child development, and language acquisition for both first and second language acquisition. Aspects such as. globalisation, inclusive education, barriers to learning, and social justice are central to this study An at-risk, educationally vulnerable minority was isolated and specified by defining their limited English proficiency, and limited emergent literacy skills.","author":[{"dropping-particle":"","family":"Gien","given":"Elizabeth Claire","non-dropping-particle":"","parse-names":false,"suffix":""},{"dropping-particle":"","family":"Nel","given":"Norma","non-dropping-particle":"","parse-names":false,"suffix":""}],"container-title":"Participatory Educational Research (PER)","id":"ITEM-1","issue":"1","issued":{"date-parts":[["2018"]]},"page":"43-59","title":"Language, emergent literacy, cultural diversity and exclusion when acquiring first time literacy in a language not spoken at home (L2)","type":"article-journal","volume":"5"},"uris":["http://www.mendeley.com/documents/?uuid=b4ca325c-1d66-4590-8faf-3429c3d5e361"]}],"mendeley":{"formattedCitation":"(Gien &amp; Nel, 2018)","plainTextFormattedCitation":"(Gien &amp; Nel, 2018)","previouslyFormattedCitation":"(Gien &amp; Nel, 2018)"},"properties":{"noteIndex":0},"schema":"https://github.com/citation-style-language/schema/raw/master/csl-citation.json"}</w:instrText>
      </w:r>
      <w:r w:rsidRPr="0014319D">
        <w:rPr>
          <w:rFonts w:cs="Times New Roman"/>
        </w:rPr>
        <w:fldChar w:fldCharType="separate"/>
      </w:r>
      <w:r w:rsidRPr="0014319D">
        <w:rPr>
          <w:rFonts w:cs="Times New Roman"/>
          <w:noProof/>
        </w:rPr>
        <w:t>(Gien &amp; Nel, 2018)</w:t>
      </w:r>
      <w:r w:rsidRPr="0014319D">
        <w:rPr>
          <w:rFonts w:cs="Times New Roman"/>
        </w:rPr>
        <w:fldChar w:fldCharType="end"/>
      </w:r>
      <w:r w:rsidRPr="0014319D">
        <w:rPr>
          <w:rFonts w:cs="Times New Roman"/>
        </w:rPr>
        <w:t>. This hypothesis is important to consider in our L</w:t>
      </w:r>
      <w:r w:rsidRPr="0014319D">
        <w:rPr>
          <w:rFonts w:eastAsiaTheme="minorEastAsia" w:cs="Times New Roman"/>
          <w:vertAlign w:val="superscript"/>
        </w:rPr>
        <w:t>3</w:t>
      </w:r>
      <w:r w:rsidRPr="0014319D">
        <w:rPr>
          <w:rFonts w:cs="Times New Roman"/>
        </w:rPr>
        <w:t xml:space="preserve"> Assessment Framework as it promotes scaffolding, i.e., the learner is assisted by a more knowledgeable learner/teacher when they lack the skills needed for further learning.</w:t>
      </w:r>
    </w:p>
    <w:p w14:paraId="06F827F0" w14:textId="77777777" w:rsidR="003A7A92" w:rsidRPr="0014319D" w:rsidRDefault="003A7A92" w:rsidP="003A7A92">
      <w:pPr>
        <w:rPr>
          <w:rFonts w:cs="Times New Roman"/>
          <w:b/>
          <w:bCs/>
          <w:i/>
          <w:iCs/>
        </w:rPr>
      </w:pPr>
      <w:r w:rsidRPr="0014319D">
        <w:rPr>
          <w:rFonts w:cs="Times New Roman"/>
          <w:b/>
          <w:bCs/>
          <w:i/>
          <w:iCs/>
        </w:rPr>
        <w:t>6. Hattie’s Visible Learning</w:t>
      </w:r>
    </w:p>
    <w:p w14:paraId="7920E5B2" w14:textId="77777777" w:rsidR="003A7A92" w:rsidRPr="0014319D" w:rsidRDefault="003A7A92" w:rsidP="003A7A92">
      <w:pPr>
        <w:rPr>
          <w:rFonts w:cs="Times New Roman"/>
        </w:rPr>
      </w:pPr>
      <w:r w:rsidRPr="0014319D">
        <w:rPr>
          <w:rFonts w:cs="Times New Roman"/>
        </w:rPr>
        <w:fldChar w:fldCharType="begin" w:fldLock="1"/>
      </w:r>
      <w:r w:rsidRPr="0014319D">
        <w:rPr>
          <w:rFonts w:cs="Times New Roman"/>
        </w:rPr>
        <w:instrText>ADDIN CSL_CITATION {"citationItems":[{"id":"ITEM-1","itemData":{"author":[{"dropping-particle":"","family":"Hattie","given":"John","non-dropping-particle":"","parse-names":false,"suffix":""}],"id":"ITEM-1","issued":{"date-parts":[["2008"]]},"publisher":"Taylor &amp; Francis Group","title":"Visible Learning: A Synthesis of over 800 Meta-Analyses Relating to Achievement","type":"book"},"uris":["http://www.mendeley.com/documents/?uuid=e667b365-4841-4702-ac30-294cf7ce0bff"]}],"mendeley":{"formattedCitation":"(Hattie, 2008)","manualFormatting":"Hattie (2008)","plainTextFormattedCitation":"(Hattie, 2008)","previouslyFormattedCitation":"(Hattie, 2008)"},"properties":{"noteIndex":0},"schema":"https://github.com/citation-style-language/schema/raw/master/csl-citation.json"}</w:instrText>
      </w:r>
      <w:r w:rsidRPr="0014319D">
        <w:rPr>
          <w:rFonts w:cs="Times New Roman"/>
        </w:rPr>
        <w:fldChar w:fldCharType="separate"/>
      </w:r>
      <w:r w:rsidRPr="0014319D">
        <w:rPr>
          <w:rFonts w:cs="Times New Roman"/>
          <w:noProof/>
        </w:rPr>
        <w:t>Hattie (2008)</w:t>
      </w:r>
      <w:r w:rsidRPr="0014319D">
        <w:rPr>
          <w:rFonts w:cs="Times New Roman"/>
        </w:rPr>
        <w:fldChar w:fldCharType="end"/>
      </w:r>
      <w:r w:rsidRPr="0014319D">
        <w:rPr>
          <w:rFonts w:cs="Times New Roman"/>
        </w:rPr>
        <w:t xml:space="preserve"> conducted a synthesis of over 800 meta-analyses relating to achievement to explain the key influences on student learning including influences of the student, home, school, curricula, teacher, and teaching strategies. These influences are important to consider in our L</w:t>
      </w:r>
      <w:r w:rsidRPr="0014319D">
        <w:rPr>
          <w:rFonts w:eastAsiaTheme="minorEastAsia" w:cs="Times New Roman"/>
          <w:vertAlign w:val="superscript"/>
        </w:rPr>
        <w:t>3</w:t>
      </w:r>
      <w:r w:rsidRPr="0014319D">
        <w:rPr>
          <w:rFonts w:cs="Times New Roman"/>
        </w:rPr>
        <w:t xml:space="preserve"> Assessment Framework regarding body functions and structures, personal factors, and environmental factors. For example, student influences on achievement include their background such as their prior achievement (Cohen’s d effect size is high), Piagetian programs (Cohen’s d effect size is high), self-report grades (Cohen’s d effect size is high), and creativity (Cohen’s d effect size is medium). It also includes attitudes and dispositions such as personality (Cohen’s d effect size is low), self-concept (Cohen’s d effect size is medium), motivation (Cohen’s d effect size is medium), concentration/persistence/engagement (Cohen’s d effect size is medium), reducing anxiety (Cohen’s d effect size is medium), and attitude to </w:t>
      </w:r>
      <w:proofErr w:type="spellStart"/>
      <w:r w:rsidRPr="0014319D">
        <w:rPr>
          <w:rFonts w:cs="Times New Roman"/>
        </w:rPr>
        <w:t>maths</w:t>
      </w:r>
      <w:proofErr w:type="spellEnd"/>
      <w:r w:rsidRPr="0014319D">
        <w:rPr>
          <w:rFonts w:cs="Times New Roman"/>
        </w:rPr>
        <w:t xml:space="preserve">/science (Cohen’s d effect size is medium). Additionally, it includes physical attributes (Cohen’s d effect sizes are low to medium), and preschool influences (Cohen’s d effect sizes are medium). The influences with the highest effect sizes for home were home environment and socioeconomic status. For school they were acceleration for gifted students and classroom </w:t>
      </w:r>
      <w:proofErr w:type="spellStart"/>
      <w:r w:rsidRPr="0014319D">
        <w:rPr>
          <w:rFonts w:cs="Times New Roman"/>
        </w:rPr>
        <w:t>behavioural</w:t>
      </w:r>
      <w:proofErr w:type="spellEnd"/>
      <w:r w:rsidRPr="0014319D">
        <w:rPr>
          <w:rFonts w:cs="Times New Roman"/>
        </w:rPr>
        <w:t xml:space="preserve"> influences. The influences with the highest effect sizes for curricula were vocabulary programs, repeated reading programs, and creativity programs. For the teacher they were micro teaching, teacher-clarity, and teacher-student relationships, and for teaching they were providing formulative evaluation, reciprocal teaching, and feedback.</w:t>
      </w:r>
    </w:p>
    <w:p w14:paraId="7E18D0C0" w14:textId="77777777" w:rsidR="003A7A92" w:rsidRPr="0014319D" w:rsidRDefault="003A7A92" w:rsidP="003A7A92">
      <w:pPr>
        <w:rPr>
          <w:rFonts w:cs="Times New Roman"/>
          <w:b/>
          <w:bCs/>
          <w:i/>
          <w:iCs/>
        </w:rPr>
      </w:pPr>
      <w:r w:rsidRPr="0014319D">
        <w:rPr>
          <w:rFonts w:cs="Times New Roman"/>
          <w:b/>
          <w:bCs/>
          <w:i/>
          <w:iCs/>
        </w:rPr>
        <w:t>7. Partnership for 21</w:t>
      </w:r>
      <w:r w:rsidRPr="0014319D">
        <w:rPr>
          <w:rFonts w:cs="Times New Roman"/>
          <w:b/>
          <w:bCs/>
          <w:i/>
          <w:iCs/>
          <w:vertAlign w:val="superscript"/>
        </w:rPr>
        <w:t>st</w:t>
      </w:r>
      <w:r w:rsidRPr="0014319D">
        <w:rPr>
          <w:rFonts w:cs="Times New Roman"/>
          <w:b/>
          <w:bCs/>
          <w:i/>
          <w:iCs/>
        </w:rPr>
        <w:t xml:space="preserve"> Century Learning</w:t>
      </w:r>
    </w:p>
    <w:p w14:paraId="190D55F4" w14:textId="77777777" w:rsidR="003A7A92" w:rsidRPr="0014319D" w:rsidRDefault="003A7A92" w:rsidP="003A7A92">
      <w:pPr>
        <w:rPr>
          <w:rFonts w:cs="Times New Roman"/>
        </w:rPr>
      </w:pPr>
      <w:r w:rsidRPr="0014319D">
        <w:rPr>
          <w:rFonts w:cs="Times New Roman"/>
        </w:rPr>
        <w:t xml:space="preserve">The </w:t>
      </w:r>
      <w:r w:rsidRPr="0014319D">
        <w:rPr>
          <w:rFonts w:cs="Times New Roman"/>
        </w:rPr>
        <w:fldChar w:fldCharType="begin" w:fldLock="1"/>
      </w:r>
      <w:r w:rsidRPr="0014319D">
        <w:rPr>
          <w:rFonts w:cs="Times New Roman"/>
        </w:rPr>
        <w:instrText>ADDIN CSL_CITATION {"citationItems":[{"id":"ITEM-1","itemData":{"ISBN":"1072-8368 (Print)\\r1072-8368 (Linking)","abstract":"To help practitioners integrate skills into the teaching of key academic subjects, the Partnership for 21st Century Learning (P21) has developed a unified, collective vision for learning known as the Framework for 21st Century Learning. This Framework describes the skills, knowledge, and expertise students must master to succeed in work and life; it is a blend of content knowledge, specific skills, expertise, and literacies. Every 21st century skills implementation requires the development of key academic subject knowledge and understanding among all students. Those who can think critically and communicate effectively must build on a base of key academic subject knowledge","author":[{"dropping-particle":"","family":"Partnership for 21st Century Learning","given":"","non-dropping-particle":"","parse-names":false,"suffix":""}],"id":"ITEM-1","issued":{"date-parts":[["2019"]]},"number-of-pages":"9","title":"Framework for 21st century learning definitions","type":"report"},"uris":["http://www.mendeley.com/documents/?uuid=23f1ff25-14ed-42fa-a4e6-5eab0251bf82"]}],"mendeley":{"formattedCitation":"(Partnership for 21st Century Learning, 2019)","manualFormatting":"Partnership for 21st Century Learning (2019)","plainTextFormattedCitation":"(Partnership for 21st Century Learning, 2019)","previouslyFormattedCitation":"(Partnership for 21st Century Learning, 2019)"},"properties":{"noteIndex":0},"schema":"https://github.com/citation-style-language/schema/raw/master/csl-citation.json"}</w:instrText>
      </w:r>
      <w:r w:rsidRPr="0014319D">
        <w:rPr>
          <w:rFonts w:cs="Times New Roman"/>
        </w:rPr>
        <w:fldChar w:fldCharType="separate"/>
      </w:r>
      <w:r w:rsidRPr="0014319D">
        <w:rPr>
          <w:rFonts w:cs="Times New Roman"/>
          <w:noProof/>
        </w:rPr>
        <w:t>Partnership for 21st Century Learning (2019)</w:t>
      </w:r>
      <w:r w:rsidRPr="0014319D">
        <w:rPr>
          <w:rFonts w:cs="Times New Roman"/>
        </w:rPr>
        <w:fldChar w:fldCharType="end"/>
      </w:r>
      <w:r w:rsidRPr="0014319D">
        <w:rPr>
          <w:rFonts w:cs="Times New Roman"/>
        </w:rPr>
        <w:t xml:space="preserve"> has developed a Framework for 21</w:t>
      </w:r>
      <w:r w:rsidRPr="0014319D">
        <w:rPr>
          <w:rFonts w:cs="Times New Roman"/>
          <w:vertAlign w:val="superscript"/>
        </w:rPr>
        <w:t>st</w:t>
      </w:r>
      <w:r w:rsidRPr="0014319D">
        <w:rPr>
          <w:rFonts w:cs="Times New Roman"/>
        </w:rPr>
        <w:t xml:space="preserve"> Century Learning which outlines the skills, knowledge, and expertise needed for success in work and life. These are important to consider in our L</w:t>
      </w:r>
      <w:r w:rsidRPr="0014319D">
        <w:rPr>
          <w:rFonts w:eastAsiaTheme="minorEastAsia" w:cs="Times New Roman"/>
          <w:vertAlign w:val="superscript"/>
        </w:rPr>
        <w:t>3</w:t>
      </w:r>
      <w:r w:rsidRPr="0014319D">
        <w:rPr>
          <w:rFonts w:cs="Times New Roman"/>
        </w:rPr>
        <w:t xml:space="preserve"> Assessment Framework in terms of learning and impact. These include creativity and innovation (thinking creatively, working creatively with others, implementing innovation), critical thinking and problem solving (reasoning effectively and solving problems), communication and collaboration (communicating clearly), information, media, and technology skills (accessing and evaluating information, using and managing information, </w:t>
      </w:r>
      <w:proofErr w:type="spellStart"/>
      <w:r w:rsidRPr="0014319D">
        <w:rPr>
          <w:rFonts w:cs="Times New Roman"/>
        </w:rPr>
        <w:t>analysing</w:t>
      </w:r>
      <w:proofErr w:type="spellEnd"/>
      <w:r w:rsidRPr="0014319D">
        <w:rPr>
          <w:rFonts w:cs="Times New Roman"/>
        </w:rPr>
        <w:t xml:space="preserve"> media, creating media products, applying technology effectively), flexibility and adaptability (adapting to change and being flexible), initiative and self-direction (managing goals and time and working independently), social and cross-cultural skills (interacting effectively with others and working effectively in diverse teams), productivity and accountability (managing projects and producing results), and leadership and responsibility (guiding and leading others and being responsible to others).</w:t>
      </w:r>
    </w:p>
    <w:p w14:paraId="6C1EB91C" w14:textId="77777777" w:rsidR="00711985" w:rsidRDefault="00711985" w:rsidP="003A7A92">
      <w:pPr>
        <w:rPr>
          <w:rFonts w:cs="Times New Roman"/>
          <w:b/>
          <w:bCs/>
          <w:i/>
          <w:iCs/>
        </w:rPr>
      </w:pPr>
    </w:p>
    <w:p w14:paraId="2FA74364" w14:textId="034794A9" w:rsidR="003A7A92" w:rsidRPr="0014319D" w:rsidRDefault="003A7A92" w:rsidP="003A7A92">
      <w:pPr>
        <w:rPr>
          <w:rFonts w:cs="Times New Roman"/>
          <w:b/>
          <w:bCs/>
          <w:i/>
          <w:iCs/>
        </w:rPr>
      </w:pPr>
      <w:r w:rsidRPr="0014319D">
        <w:rPr>
          <w:rFonts w:cs="Times New Roman"/>
          <w:b/>
          <w:bCs/>
          <w:i/>
          <w:iCs/>
        </w:rPr>
        <w:lastRenderedPageBreak/>
        <w:t xml:space="preserve">8. Australian context of education </w:t>
      </w:r>
    </w:p>
    <w:p w14:paraId="3ED10D53" w14:textId="77777777" w:rsidR="003A7A92" w:rsidRPr="0014319D" w:rsidRDefault="003A7A92" w:rsidP="003A7A92">
      <w:pPr>
        <w:rPr>
          <w:rFonts w:cs="Times New Roman"/>
          <w:b/>
          <w:bCs/>
          <w:i/>
          <w:iCs/>
        </w:rPr>
      </w:pPr>
      <w:r w:rsidRPr="0014319D">
        <w:rPr>
          <w:rFonts w:cs="Times New Roman"/>
        </w:rPr>
        <w:t>Whereas all previous frameworks and concepts are used internationally, this section looks at the Australian context of education, in particular the New South Wales (NSW) Department of Education, to provide more practical insights into learning in the classroom that are important to consider in our L</w:t>
      </w:r>
      <w:r w:rsidRPr="0014319D">
        <w:rPr>
          <w:rFonts w:eastAsiaTheme="minorEastAsia" w:cs="Times New Roman"/>
          <w:vertAlign w:val="superscript"/>
        </w:rPr>
        <w:t>3</w:t>
      </w:r>
      <w:r w:rsidRPr="0014319D">
        <w:rPr>
          <w:rFonts w:cs="Times New Roman"/>
        </w:rPr>
        <w:t xml:space="preserve"> Assessment Framework.</w:t>
      </w:r>
    </w:p>
    <w:p w14:paraId="74F8F341" w14:textId="77777777" w:rsidR="003A7A92" w:rsidRPr="0014319D" w:rsidRDefault="003A7A92" w:rsidP="003A7A92">
      <w:pPr>
        <w:rPr>
          <w:rFonts w:cs="Times New Roman"/>
          <w:b/>
          <w:bCs/>
          <w:i/>
          <w:iCs/>
        </w:rPr>
      </w:pPr>
      <w:r w:rsidRPr="0014319D">
        <w:rPr>
          <w:rFonts w:cs="Times New Roman"/>
          <w:b/>
          <w:bCs/>
          <w:i/>
          <w:iCs/>
        </w:rPr>
        <w:t>a. Centre for Education Statistics and Evaluation What works best: 2020 Update</w:t>
      </w:r>
    </w:p>
    <w:p w14:paraId="0D98F71B" w14:textId="77777777" w:rsidR="003A7A92" w:rsidRPr="0014319D" w:rsidRDefault="003A7A92" w:rsidP="003A7A92">
      <w:pPr>
        <w:rPr>
          <w:rFonts w:cs="Times New Roman"/>
        </w:rPr>
      </w:pPr>
      <w:r w:rsidRPr="0014319D">
        <w:rPr>
          <w:rFonts w:cs="Times New Roman"/>
        </w:rPr>
        <w:t xml:space="preserve">This document by the </w:t>
      </w:r>
      <w:r w:rsidRPr="0014319D">
        <w:rPr>
          <w:rFonts w:cs="Times New Roman"/>
        </w:rPr>
        <w:fldChar w:fldCharType="begin" w:fldLock="1"/>
      </w:r>
      <w:r w:rsidRPr="0014319D">
        <w:rPr>
          <w:rFonts w:cs="Times New Roman"/>
        </w:rPr>
        <w:instrText>ADDIN CSL_CITATION {"citationItems":[{"id":"ITEM-1","itemData":{"author":[{"dropping-particle":"","family":"NSW Government Education Centre for Education Statistics &amp; Evaluation","given":"","non-dropping-particle":"","parse-names":false,"suffix":""}],"id":"ITEM-1","issue":"May","issued":{"date-parts":[["2020"]]},"page":"48","title":"What works best: 2020 Update","type":"article-journal"},"uris":["http://www.mendeley.com/documents/?uuid=475c7742-5ed6-488f-9a8d-21a7c5889408"]}],"mendeley":{"formattedCitation":"(NSW Government Education Centre for Education Statistics &amp; Evaluation, 2020)","manualFormatting":"NSW Government Education Centre for Education Statistics &amp; Evaluation (2020)","plainTextFormattedCitation":"(NSW Government Education Centre for Education Statistics &amp; Evaluation, 2020)","previouslyFormattedCitation":"(NSW Government Education Centre for Education Statistics &amp; Evaluation, 2020)"},"properties":{"noteIndex":0},"schema":"https://github.com/citation-style-language/schema/raw/master/csl-citation.json"}</w:instrText>
      </w:r>
      <w:r w:rsidRPr="0014319D">
        <w:rPr>
          <w:rFonts w:cs="Times New Roman"/>
        </w:rPr>
        <w:fldChar w:fldCharType="separate"/>
      </w:r>
      <w:r w:rsidRPr="0014319D">
        <w:rPr>
          <w:rFonts w:cs="Times New Roman"/>
          <w:noProof/>
        </w:rPr>
        <w:t>NSW Government Education Centre for Education Statistics &amp; Evaluation (2020)</w:t>
      </w:r>
      <w:r w:rsidRPr="0014319D">
        <w:rPr>
          <w:rFonts w:cs="Times New Roman"/>
        </w:rPr>
        <w:fldChar w:fldCharType="end"/>
      </w:r>
      <w:r w:rsidRPr="0014319D">
        <w:rPr>
          <w:rFonts w:cs="Times New Roman"/>
        </w:rPr>
        <w:t xml:space="preserve"> is an update of a 2014 document on evidence-based practices to help improve NSW student performance. The document contains eight themes that aim to enhance the learning outcomes of students, but the most relevant themes for establishing our L</w:t>
      </w:r>
      <w:r w:rsidRPr="0014319D">
        <w:rPr>
          <w:rFonts w:eastAsiaTheme="minorEastAsia" w:cs="Times New Roman"/>
          <w:vertAlign w:val="superscript"/>
        </w:rPr>
        <w:t>3</w:t>
      </w:r>
      <w:r w:rsidRPr="0014319D">
        <w:rPr>
          <w:rFonts w:cs="Times New Roman"/>
        </w:rPr>
        <w:t xml:space="preserve"> Assessment Framework are explicit teaching, effective feedback, classroom management, and wellbeing, as they rely on the student to listen, comprehend, and communicate effectively.</w:t>
      </w:r>
    </w:p>
    <w:p w14:paraId="404C8F44" w14:textId="77777777" w:rsidR="003A7A92" w:rsidRPr="0014319D" w:rsidRDefault="003A7A92" w:rsidP="003A7A92">
      <w:pPr>
        <w:rPr>
          <w:rFonts w:cs="Times New Roman"/>
        </w:rPr>
      </w:pPr>
      <w:r w:rsidRPr="0014319D">
        <w:rPr>
          <w:rFonts w:cs="Times New Roman"/>
          <w:i/>
          <w:iCs/>
        </w:rPr>
        <w:t xml:space="preserve">Explicit teaching: </w:t>
      </w:r>
      <w:r w:rsidRPr="0014319D">
        <w:rPr>
          <w:rFonts w:cs="Times New Roman"/>
        </w:rPr>
        <w:t>Explicit teaching (lecturing) can benefit all students as it results in better performance than non-explicit teaching practices. It is especially helpful when learning new or complex concepts and skills as it reduces the cognitive burden and promotes deep learning. Explicit teaching practices include explaining what the student will be learning and the purpose of the task, explaining new ideas, checking student understanding, and encouraging question time Explicit teaching systematically builds skills towards mastery. After teachers have explained and modelled new concepts via lecture-style teaching, and guided students through the new concepts during group work activities, it is beneficial for the child to work independently practicing the new skills.</w:t>
      </w:r>
    </w:p>
    <w:p w14:paraId="5420EFFB" w14:textId="77777777" w:rsidR="003A7A92" w:rsidRPr="0014319D" w:rsidRDefault="003A7A92" w:rsidP="003A7A92">
      <w:pPr>
        <w:rPr>
          <w:rFonts w:cs="Times New Roman"/>
          <w:color w:val="000000" w:themeColor="text1"/>
        </w:rPr>
      </w:pPr>
      <w:r w:rsidRPr="0014319D">
        <w:rPr>
          <w:rFonts w:cs="Times New Roman"/>
          <w:i/>
          <w:iCs/>
        </w:rPr>
        <w:t xml:space="preserve">Effective feedback: </w:t>
      </w:r>
      <w:r w:rsidRPr="0014319D">
        <w:rPr>
          <w:rFonts w:cs="Times New Roman"/>
        </w:rPr>
        <w:t>Providing effective feedback is important so a student can improve in their learning. This includes reflecting and communicating about the task, providing detailed, specific feedback on how the student can grow, encouraging self-assessment, reflection, and monitoring, ensuring students act on the feedback received, providing feedback about a student’s process or effort, and providing feedback that promotes self-regulation.</w:t>
      </w:r>
    </w:p>
    <w:p w14:paraId="0EA34694" w14:textId="77777777" w:rsidR="003A7A92" w:rsidRPr="0014319D" w:rsidRDefault="003A7A92" w:rsidP="003A7A92">
      <w:pPr>
        <w:rPr>
          <w:rFonts w:cs="Times New Roman"/>
          <w:color w:val="000000" w:themeColor="text1"/>
        </w:rPr>
      </w:pPr>
      <w:r w:rsidRPr="0014319D">
        <w:rPr>
          <w:rFonts w:cs="Times New Roman"/>
          <w:i/>
          <w:iCs/>
        </w:rPr>
        <w:t xml:space="preserve">Classroom management: </w:t>
      </w:r>
      <w:r w:rsidRPr="0014319D">
        <w:rPr>
          <w:rFonts w:cs="Times New Roman"/>
        </w:rPr>
        <w:t xml:space="preserve">Effective classroom management is important for </w:t>
      </w:r>
      <w:proofErr w:type="spellStart"/>
      <w:r w:rsidRPr="0014319D">
        <w:rPr>
          <w:rFonts w:cs="Times New Roman"/>
        </w:rPr>
        <w:t>maximising</w:t>
      </w:r>
      <w:proofErr w:type="spellEnd"/>
      <w:r w:rsidRPr="0014319D">
        <w:rPr>
          <w:rFonts w:cs="Times New Roman"/>
        </w:rPr>
        <w:t xml:space="preserve"> learning time, </w:t>
      </w:r>
      <w:proofErr w:type="spellStart"/>
      <w:r w:rsidRPr="0014319D">
        <w:rPr>
          <w:rFonts w:cs="Times New Roman"/>
        </w:rPr>
        <w:t>minimising</w:t>
      </w:r>
      <w:proofErr w:type="spellEnd"/>
      <w:r w:rsidRPr="0014319D">
        <w:rPr>
          <w:rFonts w:cs="Times New Roman"/>
        </w:rPr>
        <w:t xml:space="preserve"> disruptions, and improving students’ performance. Effective classroom management has a positive effect on student </w:t>
      </w:r>
      <w:proofErr w:type="spellStart"/>
      <w:r w:rsidRPr="0014319D">
        <w:rPr>
          <w:rFonts w:cs="Times New Roman"/>
        </w:rPr>
        <w:t>behaviour</w:t>
      </w:r>
      <w:proofErr w:type="spellEnd"/>
      <w:r w:rsidRPr="0014319D">
        <w:rPr>
          <w:rFonts w:cs="Times New Roman"/>
        </w:rPr>
        <w:t xml:space="preserve">, engagement, and achievement. Effective classroom management strategies include creating a positive social and emotional classroom climate and positive teacher-student relationships, communicating classroom expectations, rules, and routines, engaging students via active participation, supervising students to keep them on task and </w:t>
      </w:r>
      <w:proofErr w:type="gramStart"/>
      <w:r w:rsidRPr="0014319D">
        <w:rPr>
          <w:rFonts w:cs="Times New Roman"/>
        </w:rPr>
        <w:t>providing assistance</w:t>
      </w:r>
      <w:proofErr w:type="gramEnd"/>
      <w:r w:rsidRPr="0014319D">
        <w:rPr>
          <w:rFonts w:cs="Times New Roman"/>
        </w:rPr>
        <w:t xml:space="preserve"> when needed, and providing consistent and calm responses to help students re-engage when they become disengaged or disruptive.</w:t>
      </w:r>
    </w:p>
    <w:p w14:paraId="28D75FCD" w14:textId="77777777" w:rsidR="003A7A92" w:rsidRPr="0014319D" w:rsidRDefault="003A7A92" w:rsidP="003A7A92">
      <w:pPr>
        <w:rPr>
          <w:rFonts w:cs="Times New Roman"/>
        </w:rPr>
      </w:pPr>
      <w:r w:rsidRPr="0014319D">
        <w:rPr>
          <w:rFonts w:cs="Times New Roman"/>
          <w:i/>
          <w:iCs/>
        </w:rPr>
        <w:t xml:space="preserve">Wellbeing: </w:t>
      </w:r>
      <w:r w:rsidRPr="0014319D">
        <w:rPr>
          <w:rFonts w:cs="Times New Roman"/>
        </w:rPr>
        <w:t xml:space="preserve">Student wellbeing encompasses “cognitive, social, physical, emotional and spiritual wellbeing” (pg. 33) and, among other factors, is related to a student’s academic achievement </w:t>
      </w:r>
      <w:r w:rsidRPr="0014319D">
        <w:rPr>
          <w:rFonts w:cs="Times New Roman"/>
        </w:rPr>
        <w:fldChar w:fldCharType="begin" w:fldLock="1"/>
      </w:r>
      <w:r w:rsidRPr="0014319D">
        <w:rPr>
          <w:rFonts w:cs="Times New Roman"/>
        </w:rPr>
        <w:instrText>ADDIN CSL_CITATION {"citationItems":[{"id":"ITEM-1","itemData":{"DOI":"10.1016/j.jrp.2018.02.007","ISSN":"10957251","abstract":"Is the subjective well-being (SWB) of high-achieving students generally higher compared to low achieving students? In this meta-analysis, we investigated the association between SWB and academic achievement by synthesizing 151 effect sizes from 47 studies with a total of 38,946 participants. The correlation between academic achievement and SWB was small to medium in magnitude and statistically significant at r = 0.164, 95% CI [0.113, 0.216]. The correlation was stable across various levels of demographic variables, different domains of SWB, and was stable across alternative measures of academic achievement or SWB. Overall, the results suggest that low-achieving students do not necessarily report low well-being, and that high-achieving students do not automatically experience high levels of well-being.","author":[{"dropping-particle":"","family":"Bücker","given":"Susanne","non-dropping-particle":"","parse-names":false,"suffix":""},{"dropping-particle":"","family":"Nuraydin","given":"Sevim","non-dropping-particle":"","parse-names":false,"suffix":""},{"dropping-particle":"","family":"Simonsmeier","given":"Bianca A.","non-dropping-particle":"","parse-names":false,"suffix":""},{"dropping-particle":"","family":"Schneider","given":"Michael","non-dropping-particle":"","parse-names":false,"suffix":""},{"dropping-particle":"","family":"Luhmann","given":"Maike","non-dropping-particle":"","parse-names":false,"suffix":""}],"container-title":"Journal of Research in Personality","id":"ITEM-1","issued":{"date-parts":[["2018"]]},"page":"83-94","title":"Subjective well-being and academic achievement: A meta-analysis","type":"article-journal","volume":"74"},"uris":["http://www.mendeley.com/documents/?uuid=51f998a0-e82c-4a4a-86c1-c6a140e84d51"]}],"mendeley":{"formattedCitation":"(Bücker et al., 2018)","plainTextFormattedCitation":"(Bücker et al., 2018)","previouslyFormattedCitation":"(Bücker et al., 2018)"},"properties":{"noteIndex":0},"schema":"https://github.com/citation-style-language/schema/raw/master/csl-citation.json"}</w:instrText>
      </w:r>
      <w:r w:rsidRPr="0014319D">
        <w:rPr>
          <w:rFonts w:cs="Times New Roman"/>
        </w:rPr>
        <w:fldChar w:fldCharType="separate"/>
      </w:r>
      <w:r w:rsidRPr="0014319D">
        <w:rPr>
          <w:rFonts w:cs="Times New Roman"/>
          <w:noProof/>
        </w:rPr>
        <w:t>(Bücker et al., 2018)</w:t>
      </w:r>
      <w:r w:rsidRPr="0014319D">
        <w:rPr>
          <w:rFonts w:cs="Times New Roman"/>
        </w:rPr>
        <w:fldChar w:fldCharType="end"/>
      </w:r>
      <w:r w:rsidRPr="0014319D">
        <w:rPr>
          <w:rFonts w:cs="Times New Roman"/>
        </w:rPr>
        <w:t xml:space="preserve">. Student belonging, valuing their voice, and promoting engagement in learning helps improve student wellbeing which results in improved academic achievement, mental health, and life choices. </w:t>
      </w:r>
    </w:p>
    <w:p w14:paraId="15F987E2" w14:textId="77777777" w:rsidR="00711985" w:rsidRDefault="00711985" w:rsidP="003A7A92">
      <w:pPr>
        <w:rPr>
          <w:rFonts w:cs="Times New Roman"/>
          <w:b/>
          <w:bCs/>
          <w:i/>
          <w:iCs/>
        </w:rPr>
      </w:pPr>
    </w:p>
    <w:p w14:paraId="6983129D" w14:textId="71B05D55" w:rsidR="003A7A92" w:rsidRPr="0014319D" w:rsidRDefault="003A7A92" w:rsidP="003A7A92">
      <w:pPr>
        <w:rPr>
          <w:rFonts w:cs="Times New Roman"/>
          <w:b/>
          <w:bCs/>
          <w:i/>
          <w:iCs/>
        </w:rPr>
      </w:pPr>
      <w:r w:rsidRPr="0014319D">
        <w:rPr>
          <w:rFonts w:cs="Times New Roman"/>
          <w:b/>
          <w:bCs/>
          <w:i/>
          <w:iCs/>
        </w:rPr>
        <w:lastRenderedPageBreak/>
        <w:t>b. NSW Government Great Teaching, Inspired Learning: A Blueprint for Action</w:t>
      </w:r>
    </w:p>
    <w:p w14:paraId="646DF463" w14:textId="77777777" w:rsidR="003A7A92" w:rsidRPr="0014319D" w:rsidRDefault="003A7A92" w:rsidP="003A7A92">
      <w:pPr>
        <w:rPr>
          <w:rFonts w:cs="Times New Roman"/>
        </w:rPr>
      </w:pPr>
      <w:r w:rsidRPr="0014319D">
        <w:rPr>
          <w:rFonts w:cs="Times New Roman"/>
        </w:rPr>
        <w:t xml:space="preserve">This document by the </w:t>
      </w:r>
      <w:r w:rsidRPr="0014319D">
        <w:rPr>
          <w:rFonts w:cs="Times New Roman"/>
        </w:rPr>
        <w:fldChar w:fldCharType="begin" w:fldLock="1"/>
      </w:r>
      <w:r w:rsidRPr="0014319D">
        <w:rPr>
          <w:rFonts w:cs="Times New Roman"/>
        </w:rPr>
        <w:instrText>ADDIN CSL_CITATION {"citationItems":[{"id":"ITEM-1","itemData":{"author":[{"dropping-particle":"","family":"Centre for Education Statistics and Evaluation Advisory Council","given":"","non-dropping-particle":"","parse-names":false,"suffix":""}],"id":"ITEM-1","issue":"February","issued":{"date-parts":[["2013"]]},"page":"1-20","title":"Great Teaching, Inspired Learning","type":"article-journal"},"uris":["http://www.mendeley.com/documents/?uuid=23e9e13e-80b9-4b19-b45a-9195e3361ae4"]}],"mendeley":{"formattedCitation":"(Centre for Education Statistics and Evaluation Advisory Council, 2013)","manualFormatting":"Centre for Education Statistics and Evaluation Advisory Council (2013)","plainTextFormattedCitation":"(Centre for Education Statistics and Evaluation Advisory Council, 2013)","previouslyFormattedCitation":"(Centre for Education Statistics and Evaluation Advisory Council, 2013)"},"properties":{"noteIndex":0},"schema":"https://github.com/citation-style-language/schema/raw/master/csl-citation.json"}</w:instrText>
      </w:r>
      <w:r w:rsidRPr="0014319D">
        <w:rPr>
          <w:rFonts w:cs="Times New Roman"/>
        </w:rPr>
        <w:fldChar w:fldCharType="separate"/>
      </w:r>
      <w:r w:rsidRPr="0014319D">
        <w:rPr>
          <w:rFonts w:cs="Times New Roman"/>
          <w:noProof/>
        </w:rPr>
        <w:t>Centre for Education Statistics and Evaluation Advisory Council (2013)</w:t>
      </w:r>
      <w:r w:rsidRPr="0014319D">
        <w:rPr>
          <w:rFonts w:cs="Times New Roman"/>
        </w:rPr>
        <w:fldChar w:fldCharType="end"/>
      </w:r>
      <w:r w:rsidRPr="0014319D">
        <w:rPr>
          <w:rFonts w:cs="Times New Roman"/>
        </w:rPr>
        <w:t xml:space="preserve"> is designed for improving teacher effectiveness so that students can become successful at school, work, and life. It consists of five chapters, but the first chapter, inspired learning, is most relevant to developing our L</w:t>
      </w:r>
      <w:r w:rsidRPr="0014319D">
        <w:rPr>
          <w:rFonts w:eastAsiaTheme="minorEastAsia" w:cs="Times New Roman"/>
          <w:vertAlign w:val="superscript"/>
        </w:rPr>
        <w:t>3</w:t>
      </w:r>
      <w:r w:rsidRPr="0014319D">
        <w:rPr>
          <w:rFonts w:cs="Times New Roman"/>
        </w:rPr>
        <w:t xml:space="preserve"> Assessment Framework. The foundation for inspired learning is defined as “deep learning and genuine understanding of subject matter and the ability to use, critique and apply it appropriately” (pg. 5). This chapter discusses the importance of students being able to access global information, work collaboratively, solve problems, think creatively, innovate, and connect through technology for success at school, work, and in life. Students need to have the confidence to work by themselves and in a team, </w:t>
      </w:r>
      <w:proofErr w:type="spellStart"/>
      <w:r w:rsidRPr="0014319D">
        <w:rPr>
          <w:rFonts w:cs="Times New Roman"/>
        </w:rPr>
        <w:t>analyse</w:t>
      </w:r>
      <w:proofErr w:type="spellEnd"/>
      <w:r w:rsidRPr="0014319D">
        <w:rPr>
          <w:rFonts w:cs="Times New Roman"/>
        </w:rPr>
        <w:t xml:space="preserve"> what they see and hear, and be able to confidently use technology to enhance communication, learning, and quality of life. Students need to be clear communicators and expressors of ideas and have the interpersonal skills to relate with others. They also need to be creative and innovative in solving challenges and making the most of opportunities, as well as understanding their social responsibility and looking after their wellbeing.</w:t>
      </w:r>
    </w:p>
    <w:p w14:paraId="6945749F" w14:textId="77777777" w:rsidR="003A7A92" w:rsidRPr="0014319D" w:rsidRDefault="003A7A92" w:rsidP="003A7A92">
      <w:pPr>
        <w:rPr>
          <w:rFonts w:cs="Times New Roman"/>
          <w:b/>
          <w:bCs/>
          <w:i/>
          <w:iCs/>
        </w:rPr>
      </w:pPr>
      <w:r w:rsidRPr="0014319D">
        <w:rPr>
          <w:rFonts w:cs="Times New Roman"/>
          <w:b/>
          <w:bCs/>
          <w:i/>
          <w:iCs/>
        </w:rPr>
        <w:t>c.</w:t>
      </w:r>
      <w:r w:rsidRPr="0014319D" w:rsidDel="006B0FE8">
        <w:rPr>
          <w:rFonts w:cs="Times New Roman"/>
          <w:b/>
          <w:bCs/>
          <w:i/>
          <w:iCs/>
        </w:rPr>
        <w:t xml:space="preserve"> My Time, Our Place – </w:t>
      </w:r>
      <w:r w:rsidRPr="0014319D">
        <w:rPr>
          <w:rFonts w:cs="Times New Roman"/>
          <w:b/>
          <w:bCs/>
          <w:i/>
          <w:iCs/>
        </w:rPr>
        <w:t>Framework for School Age Care in Australia</w:t>
      </w:r>
    </w:p>
    <w:p w14:paraId="2897DEDD" w14:textId="77777777" w:rsidR="003A7A92" w:rsidRPr="0014319D" w:rsidRDefault="003A7A92" w:rsidP="003A7A92">
      <w:pPr>
        <w:rPr>
          <w:rFonts w:cs="Times New Roman"/>
        </w:rPr>
      </w:pPr>
      <w:r w:rsidRPr="0014319D">
        <w:rPr>
          <w:rFonts w:cs="Times New Roman"/>
        </w:rPr>
        <w:t xml:space="preserve">The aim of this document by the </w:t>
      </w:r>
      <w:r w:rsidRPr="0014319D">
        <w:rPr>
          <w:rFonts w:cs="Times New Roman"/>
        </w:rPr>
        <w:fldChar w:fldCharType="begin" w:fldLock="1"/>
      </w:r>
      <w:r w:rsidRPr="0014319D">
        <w:rPr>
          <w:rFonts w:cs="Times New Roman"/>
        </w:rPr>
        <w:instrText>ADDIN CSL_CITATION {"citationItems":[{"id":"ITEM-1","itemData":{"ISBN":"9780642780690","abstract":"Ramy programowe dla edukacji w Australii Znaczenie przestrzeni","author":[{"dropping-particle":"","family":"Australian Government Department of Education and Training","given":"","non-dropping-particle":"","parse-names":false,"suffix":""}],"container-title":"Council of Australian Governments","id":"ITEM-1","issued":{"date-parts":[["2011"]]},"number-of-pages":"46","title":"My Time, Our Place – Framework for School Age Care in Australia","type":"book"},"uris":["http://www.mendeley.com/documents/?uuid=578e37d6-c142-41f7-a8c1-4cd30e8ec091"]}],"mendeley":{"formattedCitation":"(Australian Government Department of Education and Training, 2011)","manualFormatting":"Australian Government Department of Education and Training (2011)","plainTextFormattedCitation":"(Australian Government Department of Education and Training, 2011)","previouslyFormattedCitation":"(Australian Government Department of Education and Training, 2011)"},"properties":{"noteIndex":0},"schema":"https://github.com/citation-style-language/schema/raw/master/csl-citation.json"}</w:instrText>
      </w:r>
      <w:r w:rsidRPr="0014319D">
        <w:rPr>
          <w:rFonts w:cs="Times New Roman"/>
        </w:rPr>
        <w:fldChar w:fldCharType="separate"/>
      </w:r>
      <w:r w:rsidRPr="0014319D">
        <w:rPr>
          <w:rFonts w:cs="Times New Roman"/>
          <w:noProof/>
        </w:rPr>
        <w:t>Australian Government Department of Education and Training (2011)</w:t>
      </w:r>
      <w:r w:rsidRPr="0014319D">
        <w:rPr>
          <w:rFonts w:cs="Times New Roman"/>
        </w:rPr>
        <w:fldChar w:fldCharType="end"/>
      </w:r>
      <w:r w:rsidRPr="0014319D">
        <w:rPr>
          <w:rFonts w:cs="Times New Roman"/>
        </w:rPr>
        <w:t xml:space="preserve"> is to “assist educators to provide children with opportunities to </w:t>
      </w:r>
      <w:proofErr w:type="spellStart"/>
      <w:r w:rsidRPr="0014319D">
        <w:rPr>
          <w:rFonts w:cs="Times New Roman"/>
        </w:rPr>
        <w:t>maximise</w:t>
      </w:r>
      <w:proofErr w:type="spellEnd"/>
      <w:r w:rsidRPr="0014319D">
        <w:rPr>
          <w:rFonts w:cs="Times New Roman"/>
        </w:rPr>
        <w:t xml:space="preserve"> their potential and develop a foundation for future success in life” (pg. 4). Although this framework is designed for school care outside of school hours, it does have elements applicable to listening and learning in the classroom. The relevant outcomes of this document are that children have a strong sense of wellbeing, are confident and involved learners, and are effective communicators. </w:t>
      </w:r>
    </w:p>
    <w:p w14:paraId="654D9BB9" w14:textId="77777777" w:rsidR="003A7A92" w:rsidRPr="0014319D" w:rsidRDefault="003A7A92" w:rsidP="003A7A92">
      <w:pPr>
        <w:rPr>
          <w:rFonts w:cs="Times New Roman"/>
        </w:rPr>
      </w:pPr>
      <w:r w:rsidRPr="0014319D">
        <w:rPr>
          <w:rFonts w:cs="Times New Roman"/>
          <w:i/>
          <w:iCs/>
        </w:rPr>
        <w:t xml:space="preserve">Strong sense of wellbeing: </w:t>
      </w:r>
      <w:r w:rsidRPr="0014319D">
        <w:rPr>
          <w:rFonts w:cs="Times New Roman"/>
        </w:rPr>
        <w:t>Children need to be strong in their emotional and social wellbeing by showing trust and confidence, enjoying working both collaboratively with others and independently, and demonstrating self-regulation of their emotions. Children need to take increased responsibility for their wellbeing by being connected to others, regulating their emotions, increasing their competence in using equipment, and increasing their awareness of healthy lifestyles.</w:t>
      </w:r>
    </w:p>
    <w:p w14:paraId="6D5C076F" w14:textId="77777777" w:rsidR="003A7A92" w:rsidRPr="0014319D" w:rsidRDefault="003A7A92" w:rsidP="003A7A92">
      <w:pPr>
        <w:rPr>
          <w:rFonts w:cs="Times New Roman"/>
          <w:color w:val="000000" w:themeColor="text1"/>
        </w:rPr>
      </w:pPr>
      <w:r w:rsidRPr="0014319D">
        <w:rPr>
          <w:rFonts w:cs="Times New Roman"/>
          <w:i/>
          <w:iCs/>
        </w:rPr>
        <w:t xml:space="preserve">Confident and involved learners: </w:t>
      </w:r>
      <w:r w:rsidRPr="0014319D">
        <w:rPr>
          <w:rFonts w:cs="Times New Roman"/>
        </w:rPr>
        <w:t xml:space="preserve">Children need to develop the skills of curiosity, cooperation, confidence, creativity, commitment, enthusiasm, persistence, imagination, and reflexivity. Children should be able to demonstrate skills in problem solving, enquiry, experimentation, </w:t>
      </w:r>
      <w:proofErr w:type="spellStart"/>
      <w:r w:rsidRPr="0014319D">
        <w:rPr>
          <w:rFonts w:cs="Times New Roman"/>
        </w:rPr>
        <w:t>hypothesising</w:t>
      </w:r>
      <w:proofErr w:type="spellEnd"/>
      <w:r w:rsidRPr="0014319D">
        <w:rPr>
          <w:rFonts w:cs="Times New Roman"/>
        </w:rPr>
        <w:t>, researching, and investigating. Children also need to be able to transfer learning from one context to another and develop their own learning through connecting with people, places, and technologies.</w:t>
      </w:r>
    </w:p>
    <w:p w14:paraId="33DE3510" w14:textId="40A9E012" w:rsidR="0088513A" w:rsidRPr="0014319D" w:rsidRDefault="003A7A92" w:rsidP="009016C3">
      <w:pPr>
        <w:rPr>
          <w:rFonts w:cs="Times New Roman"/>
        </w:rPr>
      </w:pPr>
      <w:r w:rsidRPr="0014319D">
        <w:rPr>
          <w:rFonts w:cs="Times New Roman"/>
          <w:i/>
          <w:iCs/>
        </w:rPr>
        <w:t xml:space="preserve">Effective communicators: </w:t>
      </w:r>
      <w:r w:rsidRPr="0014319D">
        <w:rPr>
          <w:rFonts w:cs="Times New Roman"/>
        </w:rPr>
        <w:t>Children need to be able to interact verbally and non-verbally with others, collaborate with others and express ideas, and make use of a range of media and communication technologies to become effective communicators.</w:t>
      </w:r>
      <w:r w:rsidR="009016C3" w:rsidRPr="0014319D">
        <w:t xml:space="preserve"> </w:t>
      </w:r>
    </w:p>
    <w:sectPr w:rsidR="0088513A" w:rsidRPr="0014319D" w:rsidSect="009016C3">
      <w:footerReference w:type="even"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6C03" w14:textId="77777777" w:rsidR="00514562" w:rsidRDefault="00514562" w:rsidP="00117666">
      <w:pPr>
        <w:spacing w:after="0"/>
      </w:pPr>
      <w:r>
        <w:separator/>
      </w:r>
    </w:p>
  </w:endnote>
  <w:endnote w:type="continuationSeparator" w:id="0">
    <w:p w14:paraId="73C01E03" w14:textId="77777777" w:rsidR="00514562" w:rsidRDefault="0051456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980A587" w:rsidR="00686C9D" w:rsidRPr="00577C4C" w:rsidRDefault="00C52A7B">
    <w:pPr>
      <w:pStyle w:val="Footer"/>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51D4B8BD" wp14:editId="575B181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9E71" w14:textId="77777777" w:rsidR="00514562" w:rsidRDefault="00514562" w:rsidP="00117666">
      <w:pPr>
        <w:spacing w:after="0"/>
      </w:pPr>
      <w:r>
        <w:separator/>
      </w:r>
    </w:p>
  </w:footnote>
  <w:footnote w:type="continuationSeparator" w:id="0">
    <w:p w14:paraId="05305624" w14:textId="77777777" w:rsidR="00514562" w:rsidRDefault="0051456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4648B97E" w:rsidR="00686C9D" w:rsidRDefault="00C52A7B" w:rsidP="00A530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9AA"/>
    <w:multiLevelType w:val="hybridMultilevel"/>
    <w:tmpl w:val="45A0906C"/>
    <w:lvl w:ilvl="0" w:tplc="EF60D6D0">
      <w:start w:val="1"/>
      <w:numFmt w:val="bullet"/>
      <w:lvlText w:val="-"/>
      <w:lvlJc w:val="left"/>
      <w:pPr>
        <w:ind w:left="720" w:hanging="360"/>
      </w:pPr>
      <w:rPr>
        <w:rFonts w:ascii="Calibri" w:hAnsi="Calibri" w:hint="default"/>
      </w:rPr>
    </w:lvl>
    <w:lvl w:ilvl="1" w:tplc="65E0DC06">
      <w:start w:val="1"/>
      <w:numFmt w:val="bullet"/>
      <w:lvlText w:val="o"/>
      <w:lvlJc w:val="left"/>
      <w:pPr>
        <w:ind w:left="1440" w:hanging="360"/>
      </w:pPr>
      <w:rPr>
        <w:rFonts w:ascii="Courier New" w:hAnsi="Courier New" w:hint="default"/>
      </w:rPr>
    </w:lvl>
    <w:lvl w:ilvl="2" w:tplc="83503A62">
      <w:start w:val="1"/>
      <w:numFmt w:val="bullet"/>
      <w:lvlText w:val=""/>
      <w:lvlJc w:val="left"/>
      <w:pPr>
        <w:ind w:left="2160" w:hanging="360"/>
      </w:pPr>
      <w:rPr>
        <w:rFonts w:ascii="Wingdings" w:hAnsi="Wingdings" w:hint="default"/>
      </w:rPr>
    </w:lvl>
    <w:lvl w:ilvl="3" w:tplc="43963DFE">
      <w:start w:val="1"/>
      <w:numFmt w:val="bullet"/>
      <w:lvlText w:val=""/>
      <w:lvlJc w:val="left"/>
      <w:pPr>
        <w:ind w:left="2880" w:hanging="360"/>
      </w:pPr>
      <w:rPr>
        <w:rFonts w:ascii="Symbol" w:hAnsi="Symbol" w:hint="default"/>
      </w:rPr>
    </w:lvl>
    <w:lvl w:ilvl="4" w:tplc="8FB6E496">
      <w:start w:val="1"/>
      <w:numFmt w:val="bullet"/>
      <w:lvlText w:val="o"/>
      <w:lvlJc w:val="left"/>
      <w:pPr>
        <w:ind w:left="3600" w:hanging="360"/>
      </w:pPr>
      <w:rPr>
        <w:rFonts w:ascii="Courier New" w:hAnsi="Courier New" w:hint="default"/>
      </w:rPr>
    </w:lvl>
    <w:lvl w:ilvl="5" w:tplc="F40E3E34">
      <w:start w:val="1"/>
      <w:numFmt w:val="bullet"/>
      <w:lvlText w:val=""/>
      <w:lvlJc w:val="left"/>
      <w:pPr>
        <w:ind w:left="4320" w:hanging="360"/>
      </w:pPr>
      <w:rPr>
        <w:rFonts w:ascii="Wingdings" w:hAnsi="Wingdings" w:hint="default"/>
      </w:rPr>
    </w:lvl>
    <w:lvl w:ilvl="6" w:tplc="9C249DE4">
      <w:start w:val="1"/>
      <w:numFmt w:val="bullet"/>
      <w:lvlText w:val=""/>
      <w:lvlJc w:val="left"/>
      <w:pPr>
        <w:ind w:left="5040" w:hanging="360"/>
      </w:pPr>
      <w:rPr>
        <w:rFonts w:ascii="Symbol" w:hAnsi="Symbol" w:hint="default"/>
      </w:rPr>
    </w:lvl>
    <w:lvl w:ilvl="7" w:tplc="AE6C04D2">
      <w:start w:val="1"/>
      <w:numFmt w:val="bullet"/>
      <w:lvlText w:val="o"/>
      <w:lvlJc w:val="left"/>
      <w:pPr>
        <w:ind w:left="5760" w:hanging="360"/>
      </w:pPr>
      <w:rPr>
        <w:rFonts w:ascii="Courier New" w:hAnsi="Courier New" w:hint="default"/>
      </w:rPr>
    </w:lvl>
    <w:lvl w:ilvl="8" w:tplc="573E6172">
      <w:start w:val="1"/>
      <w:numFmt w:val="bullet"/>
      <w:lvlText w:val=""/>
      <w:lvlJc w:val="left"/>
      <w:pPr>
        <w:ind w:left="6480" w:hanging="360"/>
      </w:pPr>
      <w:rPr>
        <w:rFonts w:ascii="Wingdings" w:hAnsi="Wingdings" w:hint="default"/>
      </w:rPr>
    </w:lvl>
  </w:abstractNum>
  <w:abstractNum w:abstractNumId="1"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665A63"/>
    <w:multiLevelType w:val="hybridMultilevel"/>
    <w:tmpl w:val="A510FF70"/>
    <w:lvl w:ilvl="0" w:tplc="F0C41960">
      <w:start w:val="1"/>
      <w:numFmt w:val="bullet"/>
      <w:lvlText w:val="-"/>
      <w:lvlJc w:val="left"/>
      <w:pPr>
        <w:ind w:left="720" w:hanging="360"/>
      </w:pPr>
      <w:rPr>
        <w:rFonts w:ascii="Calibri" w:hAnsi="Calibri" w:hint="default"/>
      </w:rPr>
    </w:lvl>
    <w:lvl w:ilvl="1" w:tplc="CB869104">
      <w:start w:val="1"/>
      <w:numFmt w:val="bullet"/>
      <w:lvlText w:val="o"/>
      <w:lvlJc w:val="left"/>
      <w:pPr>
        <w:ind w:left="1440" w:hanging="360"/>
      </w:pPr>
      <w:rPr>
        <w:rFonts w:ascii="Courier New" w:hAnsi="Courier New" w:hint="default"/>
      </w:rPr>
    </w:lvl>
    <w:lvl w:ilvl="2" w:tplc="AB12517A">
      <w:start w:val="1"/>
      <w:numFmt w:val="bullet"/>
      <w:lvlText w:val=""/>
      <w:lvlJc w:val="left"/>
      <w:pPr>
        <w:ind w:left="2160" w:hanging="360"/>
      </w:pPr>
      <w:rPr>
        <w:rFonts w:ascii="Wingdings" w:hAnsi="Wingdings" w:hint="default"/>
      </w:rPr>
    </w:lvl>
    <w:lvl w:ilvl="3" w:tplc="2E9A40DC">
      <w:start w:val="1"/>
      <w:numFmt w:val="bullet"/>
      <w:lvlText w:val=""/>
      <w:lvlJc w:val="left"/>
      <w:pPr>
        <w:ind w:left="2880" w:hanging="360"/>
      </w:pPr>
      <w:rPr>
        <w:rFonts w:ascii="Symbol" w:hAnsi="Symbol" w:hint="default"/>
      </w:rPr>
    </w:lvl>
    <w:lvl w:ilvl="4" w:tplc="99D60E56">
      <w:start w:val="1"/>
      <w:numFmt w:val="bullet"/>
      <w:lvlText w:val="o"/>
      <w:lvlJc w:val="left"/>
      <w:pPr>
        <w:ind w:left="3600" w:hanging="360"/>
      </w:pPr>
      <w:rPr>
        <w:rFonts w:ascii="Courier New" w:hAnsi="Courier New" w:hint="default"/>
      </w:rPr>
    </w:lvl>
    <w:lvl w:ilvl="5" w:tplc="38603284">
      <w:start w:val="1"/>
      <w:numFmt w:val="bullet"/>
      <w:lvlText w:val=""/>
      <w:lvlJc w:val="left"/>
      <w:pPr>
        <w:ind w:left="4320" w:hanging="360"/>
      </w:pPr>
      <w:rPr>
        <w:rFonts w:ascii="Wingdings" w:hAnsi="Wingdings" w:hint="default"/>
      </w:rPr>
    </w:lvl>
    <w:lvl w:ilvl="6" w:tplc="58FE65AC">
      <w:start w:val="1"/>
      <w:numFmt w:val="bullet"/>
      <w:lvlText w:val=""/>
      <w:lvlJc w:val="left"/>
      <w:pPr>
        <w:ind w:left="5040" w:hanging="360"/>
      </w:pPr>
      <w:rPr>
        <w:rFonts w:ascii="Symbol" w:hAnsi="Symbol" w:hint="default"/>
      </w:rPr>
    </w:lvl>
    <w:lvl w:ilvl="7" w:tplc="DB2A59B4">
      <w:start w:val="1"/>
      <w:numFmt w:val="bullet"/>
      <w:lvlText w:val="o"/>
      <w:lvlJc w:val="left"/>
      <w:pPr>
        <w:ind w:left="5760" w:hanging="360"/>
      </w:pPr>
      <w:rPr>
        <w:rFonts w:ascii="Courier New" w:hAnsi="Courier New" w:hint="default"/>
      </w:rPr>
    </w:lvl>
    <w:lvl w:ilvl="8" w:tplc="BE80E0A6">
      <w:start w:val="1"/>
      <w:numFmt w:val="bullet"/>
      <w:lvlText w:val=""/>
      <w:lvlJc w:val="left"/>
      <w:pPr>
        <w:ind w:left="6480" w:hanging="360"/>
      </w:pPr>
      <w:rPr>
        <w:rFonts w:ascii="Wingdings" w:hAnsi="Wingdings" w:hint="default"/>
      </w:rPr>
    </w:lvl>
  </w:abstractNum>
  <w:abstractNum w:abstractNumId="4" w15:restartNumberingAfterBreak="0">
    <w:nsid w:val="728471D3"/>
    <w:multiLevelType w:val="hybridMultilevel"/>
    <w:tmpl w:val="0922D480"/>
    <w:lvl w:ilvl="0" w:tplc="CD409020">
      <w:start w:val="1"/>
      <w:numFmt w:val="bullet"/>
      <w:lvlText w:val="-"/>
      <w:lvlJc w:val="left"/>
      <w:pPr>
        <w:ind w:left="720" w:hanging="360"/>
      </w:pPr>
      <w:rPr>
        <w:rFonts w:ascii="Calibri" w:hAnsi="Calibri" w:hint="default"/>
      </w:rPr>
    </w:lvl>
    <w:lvl w:ilvl="1" w:tplc="917226FA">
      <w:start w:val="1"/>
      <w:numFmt w:val="bullet"/>
      <w:lvlText w:val="o"/>
      <w:lvlJc w:val="left"/>
      <w:pPr>
        <w:ind w:left="1440" w:hanging="360"/>
      </w:pPr>
      <w:rPr>
        <w:rFonts w:ascii="Courier New" w:hAnsi="Courier New" w:hint="default"/>
      </w:rPr>
    </w:lvl>
    <w:lvl w:ilvl="2" w:tplc="C5B41B82">
      <w:start w:val="1"/>
      <w:numFmt w:val="bullet"/>
      <w:lvlText w:val=""/>
      <w:lvlJc w:val="left"/>
      <w:pPr>
        <w:ind w:left="2160" w:hanging="360"/>
      </w:pPr>
      <w:rPr>
        <w:rFonts w:ascii="Wingdings" w:hAnsi="Wingdings" w:hint="default"/>
      </w:rPr>
    </w:lvl>
    <w:lvl w:ilvl="3" w:tplc="B70A8042">
      <w:start w:val="1"/>
      <w:numFmt w:val="bullet"/>
      <w:lvlText w:val=""/>
      <w:lvlJc w:val="left"/>
      <w:pPr>
        <w:ind w:left="2880" w:hanging="360"/>
      </w:pPr>
      <w:rPr>
        <w:rFonts w:ascii="Symbol" w:hAnsi="Symbol" w:hint="default"/>
      </w:rPr>
    </w:lvl>
    <w:lvl w:ilvl="4" w:tplc="D7BAA916">
      <w:start w:val="1"/>
      <w:numFmt w:val="bullet"/>
      <w:lvlText w:val="o"/>
      <w:lvlJc w:val="left"/>
      <w:pPr>
        <w:ind w:left="3600" w:hanging="360"/>
      </w:pPr>
      <w:rPr>
        <w:rFonts w:ascii="Courier New" w:hAnsi="Courier New" w:hint="default"/>
      </w:rPr>
    </w:lvl>
    <w:lvl w:ilvl="5" w:tplc="2FFACFDC">
      <w:start w:val="1"/>
      <w:numFmt w:val="bullet"/>
      <w:lvlText w:val=""/>
      <w:lvlJc w:val="left"/>
      <w:pPr>
        <w:ind w:left="4320" w:hanging="360"/>
      </w:pPr>
      <w:rPr>
        <w:rFonts w:ascii="Wingdings" w:hAnsi="Wingdings" w:hint="default"/>
      </w:rPr>
    </w:lvl>
    <w:lvl w:ilvl="6" w:tplc="A970B684">
      <w:start w:val="1"/>
      <w:numFmt w:val="bullet"/>
      <w:lvlText w:val=""/>
      <w:lvlJc w:val="left"/>
      <w:pPr>
        <w:ind w:left="5040" w:hanging="360"/>
      </w:pPr>
      <w:rPr>
        <w:rFonts w:ascii="Symbol" w:hAnsi="Symbol" w:hint="default"/>
      </w:rPr>
    </w:lvl>
    <w:lvl w:ilvl="7" w:tplc="55B0A722">
      <w:start w:val="1"/>
      <w:numFmt w:val="bullet"/>
      <w:lvlText w:val="o"/>
      <w:lvlJc w:val="left"/>
      <w:pPr>
        <w:ind w:left="5760" w:hanging="360"/>
      </w:pPr>
      <w:rPr>
        <w:rFonts w:ascii="Courier New" w:hAnsi="Courier New" w:hint="default"/>
      </w:rPr>
    </w:lvl>
    <w:lvl w:ilvl="8" w:tplc="3BB279B2">
      <w:start w:val="1"/>
      <w:numFmt w:val="bullet"/>
      <w:lvlText w:val=""/>
      <w:lvlJc w:val="left"/>
      <w:pPr>
        <w:ind w:left="6480" w:hanging="360"/>
      </w:pPr>
      <w:rPr>
        <w:rFonts w:ascii="Wingdings" w:hAnsi="Wingdings" w:hint="default"/>
      </w:rPr>
    </w:lvl>
  </w:abstractNum>
  <w:abstractNum w:abstractNumId="5" w15:restartNumberingAfterBreak="0">
    <w:nsid w:val="76A60BC6"/>
    <w:multiLevelType w:val="hybridMultilevel"/>
    <w:tmpl w:val="DAAA2846"/>
    <w:lvl w:ilvl="0" w:tplc="44AA902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9709DC"/>
    <w:multiLevelType w:val="hybridMultilevel"/>
    <w:tmpl w:val="FFFFFFFF"/>
    <w:lvl w:ilvl="0" w:tplc="D014196E">
      <w:start w:val="1"/>
      <w:numFmt w:val="bullet"/>
      <w:lvlText w:val="-"/>
      <w:lvlJc w:val="left"/>
      <w:pPr>
        <w:ind w:left="720" w:hanging="360"/>
      </w:pPr>
      <w:rPr>
        <w:rFonts w:ascii="Calibri" w:hAnsi="Calibri" w:hint="default"/>
      </w:rPr>
    </w:lvl>
    <w:lvl w:ilvl="1" w:tplc="E9D07976">
      <w:start w:val="1"/>
      <w:numFmt w:val="bullet"/>
      <w:lvlText w:val="o"/>
      <w:lvlJc w:val="left"/>
      <w:pPr>
        <w:ind w:left="1440" w:hanging="360"/>
      </w:pPr>
      <w:rPr>
        <w:rFonts w:ascii="Courier New" w:hAnsi="Courier New" w:hint="default"/>
      </w:rPr>
    </w:lvl>
    <w:lvl w:ilvl="2" w:tplc="3DF2D9CC">
      <w:start w:val="1"/>
      <w:numFmt w:val="bullet"/>
      <w:lvlText w:val=""/>
      <w:lvlJc w:val="left"/>
      <w:pPr>
        <w:ind w:left="2160" w:hanging="360"/>
      </w:pPr>
      <w:rPr>
        <w:rFonts w:ascii="Wingdings" w:hAnsi="Wingdings" w:hint="default"/>
      </w:rPr>
    </w:lvl>
    <w:lvl w:ilvl="3" w:tplc="28B6247C">
      <w:start w:val="1"/>
      <w:numFmt w:val="bullet"/>
      <w:lvlText w:val=""/>
      <w:lvlJc w:val="left"/>
      <w:pPr>
        <w:ind w:left="2880" w:hanging="360"/>
      </w:pPr>
      <w:rPr>
        <w:rFonts w:ascii="Symbol" w:hAnsi="Symbol" w:hint="default"/>
      </w:rPr>
    </w:lvl>
    <w:lvl w:ilvl="4" w:tplc="F378C8DC">
      <w:start w:val="1"/>
      <w:numFmt w:val="bullet"/>
      <w:lvlText w:val="o"/>
      <w:lvlJc w:val="left"/>
      <w:pPr>
        <w:ind w:left="3600" w:hanging="360"/>
      </w:pPr>
      <w:rPr>
        <w:rFonts w:ascii="Courier New" w:hAnsi="Courier New" w:hint="default"/>
      </w:rPr>
    </w:lvl>
    <w:lvl w:ilvl="5" w:tplc="3F2CEF34">
      <w:start w:val="1"/>
      <w:numFmt w:val="bullet"/>
      <w:lvlText w:val=""/>
      <w:lvlJc w:val="left"/>
      <w:pPr>
        <w:ind w:left="4320" w:hanging="360"/>
      </w:pPr>
      <w:rPr>
        <w:rFonts w:ascii="Wingdings" w:hAnsi="Wingdings" w:hint="default"/>
      </w:rPr>
    </w:lvl>
    <w:lvl w:ilvl="6" w:tplc="4A7A94DE">
      <w:start w:val="1"/>
      <w:numFmt w:val="bullet"/>
      <w:lvlText w:val=""/>
      <w:lvlJc w:val="left"/>
      <w:pPr>
        <w:ind w:left="5040" w:hanging="360"/>
      </w:pPr>
      <w:rPr>
        <w:rFonts w:ascii="Symbol" w:hAnsi="Symbol" w:hint="default"/>
      </w:rPr>
    </w:lvl>
    <w:lvl w:ilvl="7" w:tplc="9DC0345A">
      <w:start w:val="1"/>
      <w:numFmt w:val="bullet"/>
      <w:lvlText w:val="o"/>
      <w:lvlJc w:val="left"/>
      <w:pPr>
        <w:ind w:left="5760" w:hanging="360"/>
      </w:pPr>
      <w:rPr>
        <w:rFonts w:ascii="Courier New" w:hAnsi="Courier New" w:hint="default"/>
      </w:rPr>
    </w:lvl>
    <w:lvl w:ilvl="8" w:tplc="D568ABAE">
      <w:start w:val="1"/>
      <w:numFmt w:val="bullet"/>
      <w:lvlText w:val=""/>
      <w:lvlJc w:val="left"/>
      <w:pPr>
        <w:ind w:left="6480" w:hanging="360"/>
      </w:pPr>
      <w:rPr>
        <w:rFonts w:ascii="Wingdings" w:hAnsi="Wingdings" w:hint="default"/>
      </w:rPr>
    </w:lvl>
  </w:abstractNum>
  <w:num w:numId="1">
    <w:abstractNumId w:val="2"/>
  </w:num>
  <w:num w:numId="2">
    <w:abstractNumId w:val="1"/>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
    <w:abstractNumId w:val="1"/>
  </w:num>
  <w:num w:numId="4">
    <w:abstractNumId w:val="0"/>
  </w:num>
  <w:num w:numId="5">
    <w:abstractNumId w:val="3"/>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0B9E"/>
    <w:rsid w:val="00004CD9"/>
    <w:rsid w:val="00034304"/>
    <w:rsid w:val="00035434"/>
    <w:rsid w:val="000416D4"/>
    <w:rsid w:val="0004555F"/>
    <w:rsid w:val="00045678"/>
    <w:rsid w:val="000458E4"/>
    <w:rsid w:val="00054562"/>
    <w:rsid w:val="00063D84"/>
    <w:rsid w:val="0006636D"/>
    <w:rsid w:val="00077D53"/>
    <w:rsid w:val="00081394"/>
    <w:rsid w:val="000912D2"/>
    <w:rsid w:val="000B17EC"/>
    <w:rsid w:val="000B34BD"/>
    <w:rsid w:val="000C7E2A"/>
    <w:rsid w:val="000D07AF"/>
    <w:rsid w:val="000D481B"/>
    <w:rsid w:val="000F4CFB"/>
    <w:rsid w:val="00117666"/>
    <w:rsid w:val="001223A7"/>
    <w:rsid w:val="00127372"/>
    <w:rsid w:val="00134256"/>
    <w:rsid w:val="0014319D"/>
    <w:rsid w:val="00144BBA"/>
    <w:rsid w:val="00147395"/>
    <w:rsid w:val="001552C9"/>
    <w:rsid w:val="001622C4"/>
    <w:rsid w:val="00177D84"/>
    <w:rsid w:val="001964EF"/>
    <w:rsid w:val="001B1A2C"/>
    <w:rsid w:val="001B290C"/>
    <w:rsid w:val="001D5C23"/>
    <w:rsid w:val="001F4C07"/>
    <w:rsid w:val="00206EE4"/>
    <w:rsid w:val="00220AEA"/>
    <w:rsid w:val="00226954"/>
    <w:rsid w:val="002349D2"/>
    <w:rsid w:val="00242C43"/>
    <w:rsid w:val="002629A3"/>
    <w:rsid w:val="00265660"/>
    <w:rsid w:val="00267D18"/>
    <w:rsid w:val="00270C85"/>
    <w:rsid w:val="002868E2"/>
    <w:rsid w:val="002869C3"/>
    <w:rsid w:val="002936E4"/>
    <w:rsid w:val="002937AC"/>
    <w:rsid w:val="00296B88"/>
    <w:rsid w:val="002A249B"/>
    <w:rsid w:val="002B7740"/>
    <w:rsid w:val="002C74CA"/>
    <w:rsid w:val="002F744D"/>
    <w:rsid w:val="00303DE6"/>
    <w:rsid w:val="00307A9D"/>
    <w:rsid w:val="00310124"/>
    <w:rsid w:val="003263F9"/>
    <w:rsid w:val="003544FB"/>
    <w:rsid w:val="00365D63"/>
    <w:rsid w:val="0036793B"/>
    <w:rsid w:val="00372682"/>
    <w:rsid w:val="00372A90"/>
    <w:rsid w:val="00376CC5"/>
    <w:rsid w:val="0039693B"/>
    <w:rsid w:val="003A2C84"/>
    <w:rsid w:val="003A665C"/>
    <w:rsid w:val="003A7A92"/>
    <w:rsid w:val="003B7EE8"/>
    <w:rsid w:val="003D2F2D"/>
    <w:rsid w:val="00401590"/>
    <w:rsid w:val="00422C94"/>
    <w:rsid w:val="00424B2D"/>
    <w:rsid w:val="00430886"/>
    <w:rsid w:val="00431047"/>
    <w:rsid w:val="00463E3D"/>
    <w:rsid w:val="004645AE"/>
    <w:rsid w:val="00482A5D"/>
    <w:rsid w:val="004A3D8E"/>
    <w:rsid w:val="004D3E33"/>
    <w:rsid w:val="00514562"/>
    <w:rsid w:val="005250F2"/>
    <w:rsid w:val="00542327"/>
    <w:rsid w:val="00556371"/>
    <w:rsid w:val="00561013"/>
    <w:rsid w:val="005744BF"/>
    <w:rsid w:val="00584172"/>
    <w:rsid w:val="005A1D84"/>
    <w:rsid w:val="005A40FB"/>
    <w:rsid w:val="005A70EA"/>
    <w:rsid w:val="005C3963"/>
    <w:rsid w:val="005C7001"/>
    <w:rsid w:val="005D1840"/>
    <w:rsid w:val="005D35E4"/>
    <w:rsid w:val="005D3FF1"/>
    <w:rsid w:val="005D7910"/>
    <w:rsid w:val="005E136C"/>
    <w:rsid w:val="0062154F"/>
    <w:rsid w:val="00627241"/>
    <w:rsid w:val="00627BBE"/>
    <w:rsid w:val="00631A8C"/>
    <w:rsid w:val="00634940"/>
    <w:rsid w:val="00651CA2"/>
    <w:rsid w:val="00653D60"/>
    <w:rsid w:val="006560B7"/>
    <w:rsid w:val="00660D05"/>
    <w:rsid w:val="006651B6"/>
    <w:rsid w:val="00671D9A"/>
    <w:rsid w:val="00673952"/>
    <w:rsid w:val="00673EAA"/>
    <w:rsid w:val="00681821"/>
    <w:rsid w:val="00686C9D"/>
    <w:rsid w:val="006B2D5B"/>
    <w:rsid w:val="006B361D"/>
    <w:rsid w:val="006B7D14"/>
    <w:rsid w:val="006D5B93"/>
    <w:rsid w:val="006E03EC"/>
    <w:rsid w:val="006F1E63"/>
    <w:rsid w:val="00711985"/>
    <w:rsid w:val="00713963"/>
    <w:rsid w:val="00725A7D"/>
    <w:rsid w:val="0073085C"/>
    <w:rsid w:val="00733784"/>
    <w:rsid w:val="007359C7"/>
    <w:rsid w:val="00746505"/>
    <w:rsid w:val="0076557C"/>
    <w:rsid w:val="00790BB3"/>
    <w:rsid w:val="00792043"/>
    <w:rsid w:val="00797EDD"/>
    <w:rsid w:val="007A4F3C"/>
    <w:rsid w:val="007B0322"/>
    <w:rsid w:val="007B1079"/>
    <w:rsid w:val="007B5356"/>
    <w:rsid w:val="007C0E3F"/>
    <w:rsid w:val="007C206C"/>
    <w:rsid w:val="007C5729"/>
    <w:rsid w:val="007F3085"/>
    <w:rsid w:val="00802D6E"/>
    <w:rsid w:val="008111E4"/>
    <w:rsid w:val="0081301C"/>
    <w:rsid w:val="00817DD6"/>
    <w:rsid w:val="00841A33"/>
    <w:rsid w:val="008629A9"/>
    <w:rsid w:val="0088513A"/>
    <w:rsid w:val="00893C19"/>
    <w:rsid w:val="008D6C8D"/>
    <w:rsid w:val="008E2B54"/>
    <w:rsid w:val="008E4404"/>
    <w:rsid w:val="008E58C7"/>
    <w:rsid w:val="008F5021"/>
    <w:rsid w:val="008F62BF"/>
    <w:rsid w:val="009016C3"/>
    <w:rsid w:val="0093759C"/>
    <w:rsid w:val="00943573"/>
    <w:rsid w:val="00953C8D"/>
    <w:rsid w:val="00971B61"/>
    <w:rsid w:val="00980C31"/>
    <w:rsid w:val="009955FF"/>
    <w:rsid w:val="00997293"/>
    <w:rsid w:val="009D259D"/>
    <w:rsid w:val="009D71D3"/>
    <w:rsid w:val="009F2829"/>
    <w:rsid w:val="00A139A9"/>
    <w:rsid w:val="00A46CBE"/>
    <w:rsid w:val="00A50D9D"/>
    <w:rsid w:val="00A53000"/>
    <w:rsid w:val="00A545C6"/>
    <w:rsid w:val="00A650D9"/>
    <w:rsid w:val="00A652D0"/>
    <w:rsid w:val="00A740D6"/>
    <w:rsid w:val="00A75F87"/>
    <w:rsid w:val="00A7610E"/>
    <w:rsid w:val="00A95D8B"/>
    <w:rsid w:val="00A97ABC"/>
    <w:rsid w:val="00AB0583"/>
    <w:rsid w:val="00AC0270"/>
    <w:rsid w:val="00AC3EA3"/>
    <w:rsid w:val="00AC792D"/>
    <w:rsid w:val="00AE46F1"/>
    <w:rsid w:val="00AF38CE"/>
    <w:rsid w:val="00B1526A"/>
    <w:rsid w:val="00B2672C"/>
    <w:rsid w:val="00B41485"/>
    <w:rsid w:val="00B45C36"/>
    <w:rsid w:val="00B622D4"/>
    <w:rsid w:val="00B657B8"/>
    <w:rsid w:val="00B84920"/>
    <w:rsid w:val="00B8556A"/>
    <w:rsid w:val="00BE6701"/>
    <w:rsid w:val="00BF0E9B"/>
    <w:rsid w:val="00C012A3"/>
    <w:rsid w:val="00C017D7"/>
    <w:rsid w:val="00C16F19"/>
    <w:rsid w:val="00C52A7B"/>
    <w:rsid w:val="00C6324C"/>
    <w:rsid w:val="00C679AA"/>
    <w:rsid w:val="00C724CF"/>
    <w:rsid w:val="00C75972"/>
    <w:rsid w:val="00C82792"/>
    <w:rsid w:val="00C861A1"/>
    <w:rsid w:val="00C948FD"/>
    <w:rsid w:val="00CB43D5"/>
    <w:rsid w:val="00CB57A5"/>
    <w:rsid w:val="00CC76F9"/>
    <w:rsid w:val="00CD066B"/>
    <w:rsid w:val="00CD300A"/>
    <w:rsid w:val="00CD46E2"/>
    <w:rsid w:val="00D00D0B"/>
    <w:rsid w:val="00D04B69"/>
    <w:rsid w:val="00D177BD"/>
    <w:rsid w:val="00D47E9A"/>
    <w:rsid w:val="00D537FA"/>
    <w:rsid w:val="00D5547D"/>
    <w:rsid w:val="00D565F1"/>
    <w:rsid w:val="00D6326B"/>
    <w:rsid w:val="00D669B8"/>
    <w:rsid w:val="00D80D99"/>
    <w:rsid w:val="00D82E67"/>
    <w:rsid w:val="00D9503C"/>
    <w:rsid w:val="00DD38CF"/>
    <w:rsid w:val="00DD73EF"/>
    <w:rsid w:val="00DE23E8"/>
    <w:rsid w:val="00DF3320"/>
    <w:rsid w:val="00E0128B"/>
    <w:rsid w:val="00E2234F"/>
    <w:rsid w:val="00E2482D"/>
    <w:rsid w:val="00E64E17"/>
    <w:rsid w:val="00E7536C"/>
    <w:rsid w:val="00EA3D3C"/>
    <w:rsid w:val="00EC7CC3"/>
    <w:rsid w:val="00EF528A"/>
    <w:rsid w:val="00F35119"/>
    <w:rsid w:val="00F40990"/>
    <w:rsid w:val="00F439D1"/>
    <w:rsid w:val="00F46494"/>
    <w:rsid w:val="00F558AB"/>
    <w:rsid w:val="00F61D89"/>
    <w:rsid w:val="00F86ABB"/>
    <w:rsid w:val="00FD7648"/>
    <w:rsid w:val="01CD5087"/>
    <w:rsid w:val="0252470A"/>
    <w:rsid w:val="043E865B"/>
    <w:rsid w:val="045D3FA2"/>
    <w:rsid w:val="045DDDEB"/>
    <w:rsid w:val="06702F44"/>
    <w:rsid w:val="06A7673C"/>
    <w:rsid w:val="0800867B"/>
    <w:rsid w:val="0844F449"/>
    <w:rsid w:val="0A230640"/>
    <w:rsid w:val="0ADDA723"/>
    <w:rsid w:val="0CF5D981"/>
    <w:rsid w:val="0DAF093D"/>
    <w:rsid w:val="0F4AD99E"/>
    <w:rsid w:val="10E6A9FF"/>
    <w:rsid w:val="16304864"/>
    <w:rsid w:val="17DE0861"/>
    <w:rsid w:val="17E43169"/>
    <w:rsid w:val="1A456390"/>
    <w:rsid w:val="1D4015DF"/>
    <w:rsid w:val="1EA436A5"/>
    <w:rsid w:val="21F20E28"/>
    <w:rsid w:val="22434484"/>
    <w:rsid w:val="257547C9"/>
    <w:rsid w:val="276E9835"/>
    <w:rsid w:val="281BC160"/>
    <w:rsid w:val="28708C41"/>
    <w:rsid w:val="29B379EC"/>
    <w:rsid w:val="29E00BE8"/>
    <w:rsid w:val="2A1B3C49"/>
    <w:rsid w:val="2BD6098D"/>
    <w:rsid w:val="300FED02"/>
    <w:rsid w:val="31DD7EC6"/>
    <w:rsid w:val="3582D165"/>
    <w:rsid w:val="36DA04BF"/>
    <w:rsid w:val="38132E07"/>
    <w:rsid w:val="39653D40"/>
    <w:rsid w:val="39CB20C4"/>
    <w:rsid w:val="3C905AC6"/>
    <w:rsid w:val="3E800A21"/>
    <w:rsid w:val="3EC7AE7B"/>
    <w:rsid w:val="3F4A6F8F"/>
    <w:rsid w:val="457FCCD2"/>
    <w:rsid w:val="4696E5E7"/>
    <w:rsid w:val="4777A313"/>
    <w:rsid w:val="47A5F0E4"/>
    <w:rsid w:val="48313F57"/>
    <w:rsid w:val="490F2068"/>
    <w:rsid w:val="4980D222"/>
    <w:rsid w:val="4BAE1F09"/>
    <w:rsid w:val="4BFABEC9"/>
    <w:rsid w:val="4E53C440"/>
    <w:rsid w:val="531701A2"/>
    <w:rsid w:val="5326B65E"/>
    <w:rsid w:val="54704E24"/>
    <w:rsid w:val="560659C8"/>
    <w:rsid w:val="5722863D"/>
    <w:rsid w:val="58BDED00"/>
    <w:rsid w:val="5A78AE2B"/>
    <w:rsid w:val="639F9D34"/>
    <w:rsid w:val="64136B2C"/>
    <w:rsid w:val="64E4F50E"/>
    <w:rsid w:val="696EA13A"/>
    <w:rsid w:val="6987F3F2"/>
    <w:rsid w:val="69C82081"/>
    <w:rsid w:val="69FDBD44"/>
    <w:rsid w:val="6B1930D2"/>
    <w:rsid w:val="6B488C34"/>
    <w:rsid w:val="6CFDDE06"/>
    <w:rsid w:val="6EB347A3"/>
    <w:rsid w:val="6FCE6C19"/>
    <w:rsid w:val="70357EC8"/>
    <w:rsid w:val="74FD904A"/>
    <w:rsid w:val="7511A6BF"/>
    <w:rsid w:val="76272B42"/>
    <w:rsid w:val="76C34BE0"/>
    <w:rsid w:val="77BAAA2C"/>
    <w:rsid w:val="795ECC04"/>
    <w:rsid w:val="7B263B92"/>
    <w:rsid w:val="7FA39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B361D"/>
    <w:rPr>
      <w:color w:val="605E5C"/>
      <w:shd w:val="clear" w:color="auto" w:fill="E1DFDD"/>
    </w:rPr>
  </w:style>
  <w:style w:type="character" w:customStyle="1" w:styleId="UnresolvedMention1">
    <w:name w:val="Unresolved Mention1"/>
    <w:basedOn w:val="DefaultParagraphFont"/>
    <w:uiPriority w:val="99"/>
    <w:semiHidden/>
    <w:unhideWhenUsed/>
    <w:rsid w:val="003A7A92"/>
    <w:rPr>
      <w:color w:val="605E5C"/>
      <w:shd w:val="clear" w:color="auto" w:fill="E1DFDD"/>
    </w:rPr>
  </w:style>
  <w:style w:type="paragraph" w:customStyle="1" w:styleId="paragraph">
    <w:name w:val="paragraph"/>
    <w:basedOn w:val="Normal"/>
    <w:rsid w:val="003A7A92"/>
    <w:pPr>
      <w:spacing w:before="100" w:beforeAutospacing="1" w:after="100" w:afterAutospacing="1"/>
    </w:pPr>
    <w:rPr>
      <w:rFonts w:eastAsia="Times New Roman" w:cs="Times New Roman"/>
      <w:szCs w:val="24"/>
      <w:lang w:val="en-AU" w:eastAsia="en-AU"/>
    </w:rPr>
  </w:style>
  <w:style w:type="character" w:customStyle="1" w:styleId="normaltextrun">
    <w:name w:val="normaltextrun"/>
    <w:basedOn w:val="DefaultParagraphFont"/>
    <w:rsid w:val="003A7A92"/>
  </w:style>
  <w:style w:type="character" w:customStyle="1" w:styleId="eop">
    <w:name w:val="eop"/>
    <w:basedOn w:val="DefaultParagraphFont"/>
    <w:rsid w:val="003A7A92"/>
  </w:style>
  <w:style w:type="paragraph" w:customStyle="1" w:styleId="EndNoteBibliography">
    <w:name w:val="EndNote Bibliography"/>
    <w:basedOn w:val="Normal"/>
    <w:link w:val="EndNoteBibliographyChar"/>
    <w:rsid w:val="003A7A92"/>
    <w:pPr>
      <w:spacing w:before="0" w:after="0"/>
    </w:pPr>
    <w:rPr>
      <w:rFonts w:ascii="Calibri" w:hAnsi="Calibri" w:cs="Calibri"/>
      <w:szCs w:val="24"/>
    </w:rPr>
  </w:style>
  <w:style w:type="character" w:customStyle="1" w:styleId="EndNoteBibliographyChar">
    <w:name w:val="EndNote Bibliography Char"/>
    <w:basedOn w:val="DefaultParagraphFont"/>
    <w:link w:val="EndNoteBibliography"/>
    <w:rsid w:val="003A7A92"/>
    <w:rPr>
      <w:rFonts w:ascii="Calibri" w:hAnsi="Calibri" w:cs="Calibri"/>
      <w:sz w:val="24"/>
      <w:szCs w:val="24"/>
    </w:rPr>
  </w:style>
  <w:style w:type="character" w:customStyle="1" w:styleId="cf01">
    <w:name w:val="cf01"/>
    <w:basedOn w:val="DefaultParagraphFont"/>
    <w:rsid w:val="003A7A92"/>
    <w:rPr>
      <w:rFonts w:ascii="Segoe UI" w:hAnsi="Segoe UI" w:cs="Segoe UI" w:hint="default"/>
      <w:sz w:val="18"/>
      <w:szCs w:val="18"/>
    </w:rPr>
  </w:style>
  <w:style w:type="character" w:styleId="Mention">
    <w:name w:val="Mention"/>
    <w:basedOn w:val="DefaultParagraphFont"/>
    <w:uiPriority w:val="99"/>
    <w:unhideWhenUsed/>
    <w:rsid w:val="003A7A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93618510">
      <w:bodyDiv w:val="1"/>
      <w:marLeft w:val="0"/>
      <w:marRight w:val="0"/>
      <w:marTop w:val="0"/>
      <w:marBottom w:val="0"/>
      <w:divBdr>
        <w:top w:val="none" w:sz="0" w:space="0" w:color="auto"/>
        <w:left w:val="none" w:sz="0" w:space="0" w:color="auto"/>
        <w:bottom w:val="none" w:sz="0" w:space="0" w:color="auto"/>
        <w:right w:val="none" w:sz="0" w:space="0" w:color="auto"/>
      </w:divBdr>
    </w:div>
    <w:div w:id="1231429564">
      <w:bodyDiv w:val="1"/>
      <w:marLeft w:val="0"/>
      <w:marRight w:val="0"/>
      <w:marTop w:val="0"/>
      <w:marBottom w:val="0"/>
      <w:divBdr>
        <w:top w:val="none" w:sz="0" w:space="0" w:color="auto"/>
        <w:left w:val="none" w:sz="0" w:space="0" w:color="auto"/>
        <w:bottom w:val="none" w:sz="0" w:space="0" w:color="auto"/>
        <w:right w:val="none" w:sz="0" w:space="0" w:color="auto"/>
      </w:divBdr>
    </w:div>
    <w:div w:id="1284271221">
      <w:bodyDiv w:val="1"/>
      <w:marLeft w:val="0"/>
      <w:marRight w:val="0"/>
      <w:marTop w:val="0"/>
      <w:marBottom w:val="0"/>
      <w:divBdr>
        <w:top w:val="none" w:sz="0" w:space="0" w:color="auto"/>
        <w:left w:val="none" w:sz="0" w:space="0" w:color="auto"/>
        <w:bottom w:val="none" w:sz="0" w:space="0" w:color="auto"/>
        <w:right w:val="none" w:sz="0" w:space="0" w:color="auto"/>
      </w:divBdr>
    </w:div>
    <w:div w:id="1380086242">
      <w:bodyDiv w:val="1"/>
      <w:marLeft w:val="0"/>
      <w:marRight w:val="0"/>
      <w:marTop w:val="0"/>
      <w:marBottom w:val="0"/>
      <w:divBdr>
        <w:top w:val="none" w:sz="0" w:space="0" w:color="auto"/>
        <w:left w:val="none" w:sz="0" w:space="0" w:color="auto"/>
        <w:bottom w:val="none" w:sz="0" w:space="0" w:color="auto"/>
        <w:right w:val="none" w:sz="0" w:space="0" w:color="auto"/>
      </w:divBdr>
    </w:div>
    <w:div w:id="1665621766">
      <w:bodyDiv w:val="1"/>
      <w:marLeft w:val="0"/>
      <w:marRight w:val="0"/>
      <w:marTop w:val="0"/>
      <w:marBottom w:val="0"/>
      <w:divBdr>
        <w:top w:val="none" w:sz="0" w:space="0" w:color="auto"/>
        <w:left w:val="none" w:sz="0" w:space="0" w:color="auto"/>
        <w:bottom w:val="none" w:sz="0" w:space="0" w:color="auto"/>
        <w:right w:val="none" w:sz="0" w:space="0" w:color="auto"/>
      </w:divBdr>
    </w:div>
    <w:div w:id="1698850789">
      <w:bodyDiv w:val="1"/>
      <w:marLeft w:val="0"/>
      <w:marRight w:val="0"/>
      <w:marTop w:val="0"/>
      <w:marBottom w:val="0"/>
      <w:divBdr>
        <w:top w:val="none" w:sz="0" w:space="0" w:color="auto"/>
        <w:left w:val="none" w:sz="0" w:space="0" w:color="auto"/>
        <w:bottom w:val="none" w:sz="0" w:space="0" w:color="auto"/>
        <w:right w:val="none" w:sz="0" w:space="0" w:color="auto"/>
      </w:divBdr>
    </w:div>
    <w:div w:id="2082944302">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3</TotalTime>
  <Pages>7</Pages>
  <Words>7764</Words>
  <Characters>44256</Characters>
  <Application>Microsoft Office Word</Application>
  <DocSecurity>0</DocSecurity>
  <Lines>368</Lines>
  <Paragraphs>103</Paragraphs>
  <ScaleCrop>false</ScaleCrop>
  <Company/>
  <LinksUpToDate>false</LinksUpToDate>
  <CharactersWithSpaces>51917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Senn</dc:creator>
  <cp:keywords/>
  <dc:description/>
  <cp:lastModifiedBy>Elisabetta Zancan</cp:lastModifiedBy>
  <cp:revision>2</cp:revision>
  <cp:lastPrinted>2023-08-15T07:08:00Z</cp:lastPrinted>
  <dcterms:created xsi:type="dcterms:W3CDTF">2023-08-17T07:21:00Z</dcterms:created>
  <dcterms:modified xsi:type="dcterms:W3CDTF">2023-08-17T07:21:00Z</dcterms:modified>
</cp:coreProperties>
</file>