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02" w:firstLineChars="200"/>
        <w:jc w:val="center"/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</w:pPr>
    </w:p>
    <w:p>
      <w:pPr>
        <w:spacing w:line="360" w:lineRule="auto"/>
        <w:ind w:firstLine="402" w:firstLineChars="200"/>
        <w:jc w:val="center"/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 1.</w:t>
      </w:r>
      <w:r>
        <w:rPr>
          <w:rFonts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Diagnostic criteria for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KDBS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936"/>
        <w:gridCol w:w="719"/>
        <w:gridCol w:w="809"/>
        <w:gridCol w:w="2827"/>
        <w:gridCol w:w="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jc w:val="right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A</w:t>
            </w:r>
          </w:p>
        </w:tc>
        <w:tc>
          <w:tcPr>
            <w:tcW w:w="293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blood stasis syndrome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score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jc w:val="right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B</w:t>
            </w:r>
          </w:p>
        </w:tc>
        <w:tc>
          <w:tcPr>
            <w:tcW w:w="2827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kidney deficiency syndrome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score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Chest pain</w:t>
            </w:r>
          </w:p>
        </w:tc>
        <w:tc>
          <w:tcPr>
            <w:tcW w:w="719" w:type="dxa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09" w:type="dxa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The waist and knees are sore</w:t>
            </w:r>
          </w:p>
        </w:tc>
        <w:tc>
          <w:tcPr>
            <w:tcW w:w="715" w:type="dxa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ongue is purple and dark or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has petechiae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9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09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827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Dizziness, tinnitus</w:t>
            </w:r>
          </w:p>
        </w:tc>
        <w:tc>
          <w:tcPr>
            <w:tcW w:w="715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ublingual veins are purple and dark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9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Hair loss or tooth shaking</w:t>
            </w:r>
          </w:p>
        </w:tc>
        <w:tc>
          <w:tcPr>
            <w:tcW w:w="715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omplexion is purple and dark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9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Residual drainage or incontinence after urine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Petechiae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or ecchymosis on the body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9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Decreased sexual function</w:t>
            </w:r>
          </w:p>
        </w:tc>
        <w:tc>
          <w:tcPr>
            <w:tcW w:w="715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Numbness of the limbs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9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09" w:type="dxa"/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forgetfulness</w:t>
            </w:r>
          </w:p>
        </w:tc>
        <w:tc>
          <w:tcPr>
            <w:tcW w:w="715" w:type="dxa"/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16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ips are purple and dark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09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luggish pulse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auto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0"/>
          <w:szCs w:val="20"/>
          <w:lang w:val="en-US" w:eastAsia="zh-CN"/>
        </w:rPr>
        <w:t>Each type of diagnosis must meet at least 1 item A and 1 item in B, and the total points ≥ 8 points can be diagnosed</w:t>
      </w:r>
    </w:p>
    <w:p>
      <w:pPr>
        <w:rPr>
          <w:color w:val="auto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 2. B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aseline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>ata</w:t>
      </w:r>
    </w:p>
    <w:tbl>
      <w:tblPr>
        <w:tblStyle w:val="2"/>
        <w:tblW w:w="789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925"/>
        <w:gridCol w:w="1800"/>
        <w:gridCol w:w="18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312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1925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Nomal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（n=20）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CHD_KDBS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（n=20）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CHD_NKDBS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（n=20）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Age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59.55±1.42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62.45±1.13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58.75±2.15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Sex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male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/%）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6（30%）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9（45%）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7（35%）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Smoke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4（20%）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6（30%）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5（25%）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Drink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2（10%）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4（20%）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3（15%）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Hypertension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9（45%）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13（65%）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11（55%）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iabetes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4（20%）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10（50%）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5（25%）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A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spirin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3（15%）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7（35%）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10（50%）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Clopidogrel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1（5%）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2（10%）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3（15%）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Statins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6（30%）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7（35%）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12（60%）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TC（mmol/L）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4.83±0.17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4.23±0.28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4.47±0.30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TG（mmol/L）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1.37±0.65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1.72±0.90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1.96±1.50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HDL（mmol/L）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1.57±0.34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1.10±0.20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*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1.33±0.26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*</w:t>
            </w:r>
            <w:r>
              <w:rPr>
                <w:rFonts w:ascii="Times New Roman" w:hAnsi="Times New Roman" w:eastAsia="微软雅黑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LDL（mmol/L）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2.48±0.73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3.05±0.66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*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2.61±0.94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CR（mmol/L）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61.25±14.23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72.00±18.48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*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63.05±14.84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APTT（s）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29.72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2.19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28.24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2.75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28.88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PT（s）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12.89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12.62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2.88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12.74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D-dimer（mg/L）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0.27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2.49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0.38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*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0.27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0.08</w:t>
            </w:r>
            <w:r>
              <w:rPr>
                <w:rFonts w:ascii="Times New Roman" w:hAnsi="Times New Roman" w:eastAsia="微软雅黑" w:cs="Times New Roman"/>
                <w:color w:val="auto"/>
                <w:sz w:val="20"/>
                <w:szCs w:val="20"/>
                <w:u w:val="none"/>
                <w:vertAlign w:val="superscript"/>
                <w:lang w:bidi="ar"/>
              </w:rPr>
              <w:t>△</w:t>
            </w: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zh-CN"/>
        </w:rPr>
        <w:t>*: P&lt;0.05 compared to normal group;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zh-CN"/>
        </w:rPr>
        <w:t>△: P&lt;0.05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 xml:space="preserve"> c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zh-CN"/>
        </w:rPr>
        <w:t xml:space="preserve">ompared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to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CHD_KDBS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zh-CN"/>
        </w:rPr>
        <w:t xml:space="preserve"> group 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 RNA sample quality inspection report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60"/>
        <w:gridCol w:w="1100"/>
        <w:gridCol w:w="1110"/>
        <w:gridCol w:w="955"/>
        <w:gridCol w:w="1200"/>
        <w:gridCol w:w="1242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5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sample</w:t>
            </w:r>
          </w:p>
        </w:tc>
        <w:tc>
          <w:tcPr>
            <w:tcW w:w="186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 xml:space="preserve"> concentration（μg/μl） </w:t>
            </w:r>
          </w:p>
        </w:tc>
        <w:tc>
          <w:tcPr>
            <w:tcW w:w="11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A260/280</w:t>
            </w:r>
          </w:p>
        </w:tc>
        <w:tc>
          <w:tcPr>
            <w:tcW w:w="111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A260/230</w:t>
            </w:r>
          </w:p>
        </w:tc>
        <w:tc>
          <w:tcPr>
            <w:tcW w:w="95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olume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(μl)</w:t>
            </w:r>
          </w:p>
        </w:tc>
        <w:tc>
          <w:tcPr>
            <w:tcW w:w="12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quantum（μg）</w:t>
            </w:r>
          </w:p>
        </w:tc>
        <w:tc>
          <w:tcPr>
            <w:tcW w:w="124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RIN</w:t>
            </w:r>
          </w:p>
        </w:tc>
        <w:tc>
          <w:tcPr>
            <w:tcW w:w="124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r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esult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A1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0.5062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1.92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1.65</w:t>
            </w:r>
          </w:p>
        </w:tc>
        <w:tc>
          <w:tcPr>
            <w:tcW w:w="95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5.06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7.4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A2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0.4374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1.96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1.52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4.37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7.4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A3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0.4129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1.95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1.07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4.13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9.0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A4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0.2180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1.89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1.32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2.18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6.8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A5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0.3130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1.92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1.07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14.09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9.6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B1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0.3753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1.99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1.68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20.64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9.1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B2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0.1774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1.94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1.62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9.76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9.3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B3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0.2835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1.96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1.48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15.59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8.4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B4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0.3613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1.98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1.86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19.87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7.4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B5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0.2583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1.97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1.54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14.21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9.3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C1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0.4391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1.97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1.60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10.98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8.3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C2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0.4546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1.99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1.87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22.73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8.4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C3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0.2706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1.93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1.70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6.77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7.5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C4</w:t>
            </w:r>
          </w:p>
        </w:tc>
        <w:tc>
          <w:tcPr>
            <w:tcW w:w="186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0.1528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1.93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1.69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1.53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8.6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C5</w:t>
            </w:r>
          </w:p>
        </w:tc>
        <w:tc>
          <w:tcPr>
            <w:tcW w:w="186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0.3450</w:t>
            </w:r>
          </w:p>
        </w:tc>
        <w:tc>
          <w:tcPr>
            <w:tcW w:w="110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1.98</w:t>
            </w:r>
          </w:p>
        </w:tc>
        <w:tc>
          <w:tcPr>
            <w:tcW w:w="111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1.62</w:t>
            </w:r>
          </w:p>
        </w:tc>
        <w:tc>
          <w:tcPr>
            <w:tcW w:w="955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25</w:t>
            </w:r>
          </w:p>
        </w:tc>
        <w:tc>
          <w:tcPr>
            <w:tcW w:w="120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8.63</w:t>
            </w:r>
          </w:p>
        </w:tc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8.6</w:t>
            </w:r>
          </w:p>
        </w:tc>
        <w:tc>
          <w:tcPr>
            <w:tcW w:w="124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qualified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  <w:t>A：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Nomal group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  <w:t>；B：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CHD_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KDBS group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  <w:t>；C：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CHD_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NKDBS group</w:t>
      </w:r>
    </w:p>
    <w:p>
      <w:pPr>
        <w:rPr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>Data statistics after quality preprocessing of original sequencing results</w:t>
      </w:r>
    </w:p>
    <w:tbl>
      <w:tblPr>
        <w:tblStyle w:val="2"/>
        <w:tblW w:w="8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867"/>
        <w:gridCol w:w="1575"/>
        <w:gridCol w:w="185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Sample</w:t>
            </w:r>
          </w:p>
        </w:tc>
        <w:tc>
          <w:tcPr>
            <w:tcW w:w="1867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CleanReads</w:t>
            </w:r>
          </w:p>
        </w:tc>
        <w:tc>
          <w:tcPr>
            <w:tcW w:w="1575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CleanBases</w:t>
            </w:r>
          </w:p>
        </w:tc>
        <w:tc>
          <w:tcPr>
            <w:tcW w:w="1858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Q30</w:t>
            </w:r>
          </w:p>
        </w:tc>
        <w:tc>
          <w:tcPr>
            <w:tcW w:w="1634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vertAlign w:val="baseline"/>
                <w:lang w:bidi="ar"/>
              </w:rPr>
              <w:t>GC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A1</w:t>
            </w:r>
          </w:p>
        </w:tc>
        <w:tc>
          <w:tcPr>
            <w:tcW w:w="186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101.02M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14.60G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91.70%</w:t>
            </w:r>
          </w:p>
        </w:tc>
        <w:tc>
          <w:tcPr>
            <w:tcW w:w="163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46.27%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A2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97.75M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14.04G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91.74%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A3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93.95M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13.30G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90.67%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46.35%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A4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93.34M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13.35G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91.07%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A5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99.12M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14.15G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90.95%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46.04%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B1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99.61M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14.29G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90.93%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B2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95.88M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13.61G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89.47%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B3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99.73M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14.29G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90.20%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B4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101.03M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14.54G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90.82%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B5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92.75M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13.25G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90.70%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C1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94.57M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13.50G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89.42%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C2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99.49M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14.28G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88.98%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C3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96.15M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13.74G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88.96%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1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C4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92.65M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13.23G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89.12%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45.55%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12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C5</w:t>
            </w:r>
          </w:p>
        </w:tc>
        <w:tc>
          <w:tcPr>
            <w:tcW w:w="1867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91.20M</w:t>
            </w:r>
          </w:p>
        </w:tc>
        <w:tc>
          <w:tcPr>
            <w:tcW w:w="1575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12.83G</w:t>
            </w:r>
          </w:p>
        </w:tc>
        <w:tc>
          <w:tcPr>
            <w:tcW w:w="1858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86.66%</w:t>
            </w:r>
          </w:p>
        </w:tc>
        <w:tc>
          <w:tcPr>
            <w:tcW w:w="1634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bidi="ar"/>
              </w:rPr>
              <w:t>44.75%</w:t>
            </w: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  <w:t>A：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Nomal group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  <w:t>；B：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CHD_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KDBS group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</w:rPr>
        <w:t>；C：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CHD_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  <w:vertAlign w:val="baseline"/>
          <w:lang w:val="en-US" w:eastAsia="zh-CN"/>
        </w:rPr>
        <w:t>NKDBS group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spacing w:line="360" w:lineRule="auto"/>
        <w:jc w:val="center"/>
        <w:textAlignment w:val="bottom"/>
        <w:rPr>
          <w:rFonts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miRNA-mRNA co-regulatory network</w:t>
      </w:r>
    </w:p>
    <w:tbl>
      <w:tblPr>
        <w:tblStyle w:val="2"/>
        <w:tblW w:w="82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998"/>
        <w:gridCol w:w="1569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miRNA</w:t>
            </w:r>
          </w:p>
        </w:tc>
        <w:tc>
          <w:tcPr>
            <w:tcW w:w="1998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mirnaLogFC</w:t>
            </w:r>
          </w:p>
        </w:tc>
        <w:tc>
          <w:tcPr>
            <w:tcW w:w="1569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mRNA</w:t>
            </w:r>
          </w:p>
        </w:tc>
        <w:tc>
          <w:tcPr>
            <w:tcW w:w="1998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mrnaLogFC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hsa-miR-4433b-3p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1.169469291</w:t>
            </w:r>
          </w:p>
        </w:tc>
        <w:tc>
          <w:tcPr>
            <w:tcW w:w="156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EGR3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-1.26964949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TTN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-0.631439912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TP53INP2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-0.753112796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SIK1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-0.924467602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SRGAP3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-0.706934706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hsa-miR-6852-5p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0.71271115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EGR3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-1.26964949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COL6A1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-0.692233065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CDHR3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-0.630019829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hsa-miR-1180-3p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-1.030955267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PTPRS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0.712111798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TNS3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0.625472476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hsa-miR-3150b-3p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0.825502571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NOG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-1.307236465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ARL5B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-0.631166863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hsa-miR-324-5p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-1.035437012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SERPINF1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0.706035345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MYO1E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0.686916381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hsa-miR-363-5p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-0.857302788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MYEF2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0.823413371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TRIM7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0.813936508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hsa-miR-3928-3p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0.719922265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CUBN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-0.72994446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hsa-miR-4685-3p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-0.825892299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COL10A1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2.092339204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SH3PXD2B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0.841042377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C1QC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1.513530591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RUSC2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0.617701218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ARPIN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0.667202052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CEBPA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0.752750486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KCND3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0.789811586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SH3TC2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0.828038936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KCTD12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0.725223564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CMTM4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0.705421651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ZNF385D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1.132590822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RHD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1.438463023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hsa-miR-5001-3p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-0.755187536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IFITM10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0.592263505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CCDC103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1.354434561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MYO18B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2.214102922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KIF3C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1.088942329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SEC14L5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1.380928274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RAB6B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1.082159813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hsa-miR-5187-5p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0.937532615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XKR6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-0.587579806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hsa-miR-6769b-3p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1.568423652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PTCH2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-0.728431475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hsa-miR-6815-5p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-1.57415681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CES1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1.838350086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C1orf127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1.183730421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ARG2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0.81584675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PTPRN2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1.1538528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MAP1A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0.990913578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TMEM144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1.075916125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DOCK1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0.826225106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novel1804_mature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-2.315394586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NRP1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0.777721916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CD276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2.866510485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CYFIP1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0.629980459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FHL1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0.75645075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PLEKHN1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1.001297822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COL8A2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1.057721973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STK32B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1.252897131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SERPINF1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0.706035345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FCN1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0.772304208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TMCC2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0.663279892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RASL10B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1.172542047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CMTM4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0.705421651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novel1_star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1.020111134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KANK1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-1.160078887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novel218_mature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-1.57375429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HBE1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2.864680823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novel49_mature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1.070321461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C4B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-1.029038098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hsa-miR-1273h-3p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0.655067505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MAFF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-0.69702935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GOLGA6L10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-0.92014139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TTN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-0.631439912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54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novel1232_mature</w:t>
            </w:r>
          </w:p>
        </w:tc>
        <w:tc>
          <w:tcPr>
            <w:tcW w:w="1998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-1.643608121</w:t>
            </w:r>
          </w:p>
        </w:tc>
        <w:tc>
          <w:tcPr>
            <w:tcW w:w="156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IER5L</w:t>
            </w:r>
          </w:p>
        </w:tc>
        <w:tc>
          <w:tcPr>
            <w:tcW w:w="1998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bidi="ar"/>
              </w:rPr>
              <w:t>0.847099109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 6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>Transcription expression level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41"/>
        <w:gridCol w:w="2301"/>
        <w:gridCol w:w="1962"/>
        <w:gridCol w:w="18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5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41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n</w:t>
            </w:r>
          </w:p>
        </w:tc>
        <w:tc>
          <w:tcPr>
            <w:tcW w:w="2301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Nomal</w:t>
            </w:r>
          </w:p>
        </w:tc>
        <w:tc>
          <w:tcPr>
            <w:tcW w:w="1962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CHD_KDBS</w:t>
            </w:r>
          </w:p>
        </w:tc>
        <w:tc>
          <w:tcPr>
            <w:tcW w:w="1864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CHD_NKDBS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miR-4685-3p</w:t>
            </w:r>
          </w:p>
        </w:tc>
        <w:tc>
          <w:tcPr>
            <w:tcW w:w="94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0.00959±0.00191</w:t>
            </w:r>
          </w:p>
        </w:tc>
        <w:tc>
          <w:tcPr>
            <w:tcW w:w="196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0.00102±0.00029</w:t>
            </w:r>
          </w:p>
        </w:tc>
        <w:tc>
          <w:tcPr>
            <w:tcW w:w="186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0.00231±0.00118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C1</w:t>
            </w:r>
          </w:p>
        </w:tc>
        <w:tc>
          <w:tcPr>
            <w:tcW w:w="94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23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0.00026±0.00006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0.00457±0.00098</w:t>
            </w:r>
          </w:p>
        </w:tc>
        <w:tc>
          <w:tcPr>
            <w:tcW w:w="186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0.00344±0.00158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C4</w:t>
            </w:r>
          </w:p>
        </w:tc>
        <w:tc>
          <w:tcPr>
            <w:tcW w:w="94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230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0.00850±0.00448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0.00674±0.00328</w:t>
            </w:r>
          </w:p>
        </w:tc>
        <w:tc>
          <w:tcPr>
            <w:tcW w:w="186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0.00744±0.00312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C5</w:t>
            </w:r>
          </w:p>
        </w:tc>
        <w:tc>
          <w:tcPr>
            <w:tcW w:w="941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2301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0.00071±0.00015</w:t>
            </w:r>
          </w:p>
        </w:tc>
        <w:tc>
          <w:tcPr>
            <w:tcW w:w="1962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0.00036±0.00005</w:t>
            </w:r>
          </w:p>
        </w:tc>
        <w:tc>
          <w:tcPr>
            <w:tcW w:w="1864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  <w:t>0.00049±0.00018</w:t>
            </w:r>
          </w:p>
        </w:tc>
      </w:tr>
    </w:tbl>
    <w:p>
      <w:pPr>
        <w:keepNext/>
        <w:keepLines/>
        <w:widowControl w:val="0"/>
        <w:spacing w:before="0" w:after="0" w:line="360" w:lineRule="auto"/>
        <w:ind w:firstLine="361" w:firstLineChars="200"/>
        <w:jc w:val="both"/>
        <w:outlineLvl w:val="2"/>
        <w:rPr>
          <w:rFonts w:hint="default" w:ascii="Times New Roman" w:hAnsi="Times New Roman" w:eastAsia="宋体" w:cs="Times New Roman"/>
          <w:b/>
          <w:bCs/>
          <w:color w:val="auto"/>
          <w:sz w:val="18"/>
          <w:szCs w:val="18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18"/>
          <w:szCs w:val="18"/>
          <w:vertAlign w:val="baseline"/>
          <w:lang w:val="en-US" w:eastAsia="zh-CN"/>
        </w:rPr>
        <w:t>***: P=0.0001  *: P=0.0190</w:t>
      </w:r>
    </w:p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lang w:val="en-US" w:eastAsia="zh-CN"/>
        </w:rPr>
        <w:t>Supplement 7</w:t>
      </w:r>
      <w:r>
        <w:rPr>
          <w:rFonts w:hint="eastAsia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</w:rPr>
        <w:t>Protein expression level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41"/>
        <w:gridCol w:w="2301"/>
        <w:gridCol w:w="1962"/>
        <w:gridCol w:w="18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</w:p>
        </w:tc>
        <w:tc>
          <w:tcPr>
            <w:tcW w:w="94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</w:rPr>
              <w:t>n</w:t>
            </w:r>
          </w:p>
        </w:tc>
        <w:tc>
          <w:tcPr>
            <w:tcW w:w="2301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Nomal</w:t>
            </w:r>
          </w:p>
        </w:tc>
        <w:tc>
          <w:tcPr>
            <w:tcW w:w="1962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CHD_KDBS</w:t>
            </w:r>
          </w:p>
        </w:tc>
        <w:tc>
          <w:tcPr>
            <w:tcW w:w="1864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CHD_NKDBS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C1</w:t>
            </w:r>
          </w:p>
        </w:tc>
        <w:tc>
          <w:tcPr>
            <w:tcW w:w="94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99.03±12.04</w:t>
            </w:r>
          </w:p>
        </w:tc>
        <w:tc>
          <w:tcPr>
            <w:tcW w:w="1962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231.68±5.11</w:t>
            </w:r>
          </w:p>
        </w:tc>
        <w:tc>
          <w:tcPr>
            <w:tcW w:w="186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112.24±8.61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C4B</w:t>
            </w:r>
          </w:p>
        </w:tc>
        <w:tc>
          <w:tcPr>
            <w:tcW w:w="94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230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650.86±155.15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390.04±47.86</w:t>
            </w:r>
          </w:p>
        </w:tc>
        <w:tc>
          <w:tcPr>
            <w:tcW w:w="186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822.06±56.17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C5</w:t>
            </w:r>
          </w:p>
        </w:tc>
        <w:tc>
          <w:tcPr>
            <w:tcW w:w="941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2301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1050.83±102.84</w:t>
            </w:r>
          </w:p>
        </w:tc>
        <w:tc>
          <w:tcPr>
            <w:tcW w:w="1962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514.88±19.74</w:t>
            </w:r>
          </w:p>
        </w:tc>
        <w:tc>
          <w:tcPr>
            <w:tcW w:w="1864" w:type="dxa"/>
            <w:tcBorders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vertAlign w:val="baseline"/>
              </w:rPr>
              <w:t>883.04±88.54</w:t>
            </w:r>
          </w:p>
        </w:tc>
      </w:tr>
    </w:tbl>
    <w:p>
      <w:pPr>
        <w:spacing w:line="360" w:lineRule="auto"/>
        <w:ind w:firstLine="360" w:firstLineChars="200"/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18"/>
          <w:szCs w:val="18"/>
          <w:vertAlign w:val="baseline"/>
          <w:lang w:val="en-US" w:eastAsia="zh-CN"/>
        </w:rPr>
        <w:t>****: P＜0.0001  **: P=0.0011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TVhMTg0Y2MwYTkzMGM5YTdkYTk0YzU0NDc2OWIifQ=="/>
  </w:docVars>
  <w:rsids>
    <w:rsidRoot w:val="455E60EB"/>
    <w:rsid w:val="138842EA"/>
    <w:rsid w:val="2B8870FB"/>
    <w:rsid w:val="31C4709B"/>
    <w:rsid w:val="455E60EB"/>
    <w:rsid w:val="4BF500A9"/>
    <w:rsid w:val="530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eastAsia="Times New Roman" w:cs="宋体" w:asciiTheme="minorHAnsi" w:hAnsiTheme="minorHAnsi"/>
      <w:color w:val="auto"/>
      <w:kern w:val="2"/>
      <w:sz w:val="24"/>
      <w:szCs w:val="24"/>
      <w:vertAlign w:val="baselin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6</Pages>
  <Words>810</Words>
  <Characters>4494</Characters>
  <Lines>0</Lines>
  <Paragraphs>0</Paragraphs>
  <TotalTime>2</TotalTime>
  <ScaleCrop>false</ScaleCrop>
  <LinksUpToDate>false</LinksUpToDate>
  <CharactersWithSpaces>4634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2023-07-30T08:19:00Z</dcterms:created>
  <dc:creator>Lanchun Liu</dc:creator>
  <cp:lastModifiedBy>Lanchun Liu</cp:lastModifiedBy>
  <dcterms:modified xsi:type="dcterms:W3CDTF">2023-08-24T03:04:17Z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85FC812644354A9285E30C1A2B30EAB5_11</vt:lpwstr>
  </property>
</Properties>
</file>