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Table S1</w:t>
      </w:r>
      <w:r>
        <w:rPr>
          <w:rFonts w:hint="eastAsia" w:ascii="Times New Roman" w:hAnsi="Times New Roman" w:cs="Times New Roman"/>
          <w:sz w:val="24"/>
          <w:szCs w:val="24"/>
        </w:rPr>
        <w:t xml:space="preserve"> Characteristics of abiotic and biotic factors across five spatial scales. AGB,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aboveground biomass of all woody individuals; BSAGB, aboveground biomass of big-sized tree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>; CV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DBH</w:t>
      </w:r>
      <w:r>
        <w:rPr>
          <w:rFonts w:hint="eastAsia" w:ascii="Times New Roman" w:hAnsi="Times New Roman" w:cs="Times New Roman"/>
          <w:sz w:val="24"/>
          <w:szCs w:val="24"/>
        </w:rPr>
        <w:t xml:space="preserve">, DBH variation; BSNCI, neighborhood </w:t>
      </w:r>
      <w:r>
        <w:rPr>
          <w:rFonts w:ascii="Times New Roman" w:hAnsi="Times New Roman" w:cs="Times New Roman"/>
          <w:sz w:val="24"/>
          <w:szCs w:val="24"/>
        </w:rPr>
        <w:t>competition</w:t>
      </w:r>
      <w:r>
        <w:rPr>
          <w:rFonts w:hint="eastAsia" w:ascii="Times New Roman" w:hAnsi="Times New Roman" w:cs="Times New Roman"/>
          <w:sz w:val="24"/>
          <w:szCs w:val="24"/>
        </w:rPr>
        <w:t xml:space="preserve"> intensity of big-sized tree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>; SR, species richness; PD, phylogenetic diversity; FDis, functional dispersion; CWM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LPC</w:t>
      </w:r>
      <w:r>
        <w:rPr>
          <w:rFonts w:hint="eastAsia" w:ascii="Times New Roman" w:hAnsi="Times New Roman" w:cs="Times New Roman"/>
          <w:sz w:val="24"/>
          <w:szCs w:val="24"/>
        </w:rPr>
        <w:t xml:space="preserve">, community-weighted mean of </w:t>
      </w:r>
      <w:r>
        <w:rPr>
          <w:rFonts w:ascii="Times New Roman" w:hAnsi="Times New Roman" w:cs="Times New Roman"/>
          <w:sz w:val="24"/>
          <w:szCs w:val="24"/>
        </w:rPr>
        <w:t xml:space="preserve">leaf </w:t>
      </w:r>
      <w:r>
        <w:rPr>
          <w:rFonts w:hint="eastAsia" w:ascii="Times New Roman" w:hAnsi="Times New Roman" w:cs="Times New Roman"/>
          <w:sz w:val="24"/>
          <w:szCs w:val="24"/>
        </w:rPr>
        <w:t>phosphorus</w:t>
      </w:r>
      <w:r>
        <w:rPr>
          <w:rFonts w:ascii="Times New Roman" w:hAnsi="Times New Roman" w:cs="Times New Roman"/>
          <w:sz w:val="24"/>
          <w:szCs w:val="24"/>
        </w:rPr>
        <w:t xml:space="preserve"> concentration</w:t>
      </w:r>
      <w:r>
        <w:rPr>
          <w:rFonts w:hint="eastAsia" w:ascii="Times New Roman" w:hAnsi="Times New Roman" w:cs="Times New Roman"/>
          <w:sz w:val="24"/>
          <w:szCs w:val="24"/>
        </w:rPr>
        <w:t>; Soil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PC1</w:t>
      </w:r>
      <w:r>
        <w:rPr>
          <w:rFonts w:hint="eastAsia" w:ascii="Times New Roman" w:hAnsi="Times New Roman" w:cs="Times New Roman"/>
          <w:sz w:val="24"/>
          <w:szCs w:val="24"/>
        </w:rPr>
        <w:t xml:space="preserve">, soil nutrients. Different letter in each row represents difference significantly at </w:t>
      </w:r>
      <w:r>
        <w:rPr>
          <w:rFonts w:hint="eastAsia" w:ascii="Times New Roman" w:hAnsi="Times New Roman" w:cs="Times New Roman"/>
          <w:i/>
          <w:sz w:val="24"/>
          <w:szCs w:val="24"/>
        </w:rPr>
        <w:t>P</w:t>
      </w:r>
      <w:r>
        <w:rPr>
          <w:rFonts w:hint="eastAsia" w:ascii="Times New Roman" w:hAnsi="Times New Roman" w:cs="Times New Roman"/>
          <w:sz w:val="24"/>
          <w:szCs w:val="24"/>
        </w:rPr>
        <w:t>&lt;0.05.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1390"/>
        <w:gridCol w:w="1608"/>
        <w:gridCol w:w="1700"/>
        <w:gridCol w:w="1700"/>
        <w:gridCol w:w="170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542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V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ariables</w:t>
            </w:r>
          </w:p>
        </w:tc>
        <w:tc>
          <w:tcPr>
            <w:tcW w:w="76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20m×20m</w:t>
            </w:r>
          </w:p>
        </w:tc>
        <w:tc>
          <w:tcPr>
            <w:tcW w:w="88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20m×40m</w:t>
            </w:r>
          </w:p>
        </w:tc>
        <w:tc>
          <w:tcPr>
            <w:tcW w:w="93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40m×40m</w:t>
            </w:r>
          </w:p>
        </w:tc>
        <w:tc>
          <w:tcPr>
            <w:tcW w:w="93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60m×60m</w:t>
            </w:r>
          </w:p>
        </w:tc>
        <w:tc>
          <w:tcPr>
            <w:tcW w:w="936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100m×100m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00" w:hRule="atLeast"/>
        </w:trPr>
        <w:tc>
          <w:tcPr>
            <w:tcW w:w="542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AGB</w:t>
            </w:r>
          </w:p>
        </w:tc>
        <w:tc>
          <w:tcPr>
            <w:tcW w:w="765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280.08±88.9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885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280.08±66.65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280.08±51.55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280.22±40.08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tcBorders>
              <w:top w:val="single" w:color="auto" w:sz="4" w:space="0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280.08±30.26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SR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33±8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e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44±11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58±14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77±17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106±23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PD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3227.8±749.1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4046.32±912.71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4994.43±1082.06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6259.24±1225.46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8094.52±1496.94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F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is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1.34±0.16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1.01±0.23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1.01±0.22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1.1±0.2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1.01±0.18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CWM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bscript"/>
              </w:rPr>
              <w:t>LPC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1.09±0.09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1.03±0.08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1.03±0.07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1.03±0.06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1.03±0.05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BSNCI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82.39±47.26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e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78.64±32.9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d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78.43±27.45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78.44±22.68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79.69±19.58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BSAGB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8.12±5.62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13.69±8.83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13.69±8.83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51.36±27.14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133.11±50.93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CV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bscript"/>
              </w:rPr>
              <w:t>DBH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1.12±0.16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1.13±0.15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1.13±0.15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1.13±0.12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1.13±0.09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0" w:hRule="atLeast"/>
        </w:trPr>
        <w:tc>
          <w:tcPr>
            <w:tcW w:w="542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Soil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  <w:vertAlign w:val="subscript"/>
              </w:rPr>
              <w:t>PC1</w:t>
            </w:r>
          </w:p>
        </w:tc>
        <w:tc>
          <w:tcPr>
            <w:tcW w:w="76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0.0001±0.32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885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0±1.74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0±1.74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0±2.04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93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>
            <w:pPr>
              <w:widowControl/>
              <w:jc w:val="left"/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0±2.16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31510" cy="38207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Figure S1</w:t>
      </w:r>
      <w:r>
        <w:rPr>
          <w:rFonts w:hint="eastAsia" w:ascii="Times New Roman" w:hAnsi="Times New Roman" w:cs="Times New Roman"/>
          <w:sz w:val="24"/>
          <w:szCs w:val="24"/>
        </w:rPr>
        <w:t xml:space="preserve"> Principal component analysis of soil nutrients including soil pH, soil organic carbon, total nitrogen, total phosphorus, total potassium, </w:t>
      </w:r>
      <w:r>
        <w:rPr>
          <w:rFonts w:ascii="Times New Roman" w:hAnsi="Times New Roman" w:cs="Times New Roman"/>
          <w:sz w:val="24"/>
          <w:szCs w:val="24"/>
        </w:rPr>
        <w:t>hydrolysable</w:t>
      </w:r>
      <w:r>
        <w:rPr>
          <w:rFonts w:hint="eastAsia" w:ascii="Times New Roman" w:hAnsi="Times New Roman" w:cs="Times New Roman"/>
          <w:sz w:val="24"/>
          <w:szCs w:val="24"/>
        </w:rPr>
        <w:t xml:space="preserve"> nitrogen, available phosphorus,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hint="eastAsia" w:ascii="Times New Roman" w:hAnsi="Times New Roman" w:cs="Times New Roman"/>
          <w:sz w:val="24"/>
          <w:szCs w:val="24"/>
        </w:rPr>
        <w:t xml:space="preserve">available potassium </w:t>
      </w:r>
      <w:r>
        <w:rPr>
          <w:rFonts w:ascii="Times New Roman" w:hAnsi="Times New Roman" w:cs="Times New Roman"/>
          <w:sz w:val="24"/>
          <w:szCs w:val="24"/>
        </w:rPr>
        <w:t>across</w:t>
      </w:r>
      <w:r>
        <w:rPr>
          <w:rFonts w:hint="eastAsia" w:ascii="Times New Roman" w:hAnsi="Times New Roman" w:cs="Times New Roman"/>
          <w:sz w:val="24"/>
          <w:szCs w:val="24"/>
        </w:rPr>
        <w:t xml:space="preserve"> five spatial scales including (a) 0.04ha, (b) 0.08ha, (c)0.16ha, (d) 0.36ha,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hint="eastAsia" w:ascii="Times New Roman" w:hAnsi="Times New Roman" w:cs="Times New Roman"/>
          <w:sz w:val="24"/>
          <w:szCs w:val="24"/>
        </w:rPr>
        <w:t xml:space="preserve"> (e) 1ha. </w:t>
      </w:r>
    </w:p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31510" cy="30638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Figure S2</w:t>
      </w:r>
      <w:r>
        <w:rPr>
          <w:rFonts w:hint="eastAsia" w:ascii="Times New Roman" w:hAnsi="Times New Roman" w:cs="Times New Roman"/>
          <w:sz w:val="24"/>
          <w:szCs w:val="24"/>
        </w:rPr>
        <w:t xml:space="preserve"> Pearson correlation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 xml:space="preserve"> among different community-weighted mean </w:t>
      </w:r>
      <w:r>
        <w:rPr>
          <w:rFonts w:ascii="Times New Roman" w:hAnsi="Times New Roman" w:cs="Times New Roman"/>
          <w:sz w:val="24"/>
          <w:szCs w:val="24"/>
        </w:rPr>
        <w:t xml:space="preserve">(CWM) </w:t>
      </w:r>
      <w:r>
        <w:rPr>
          <w:rFonts w:hint="eastAsia" w:ascii="Times New Roman" w:hAnsi="Times New Roman" w:cs="Times New Roman"/>
          <w:sz w:val="24"/>
          <w:szCs w:val="24"/>
        </w:rPr>
        <w:t>of trait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 xml:space="preserve"> including leaf area</w:t>
      </w:r>
      <w:r>
        <w:rPr>
          <w:rFonts w:ascii="Times New Roman" w:hAnsi="Times New Roman" w:cs="Times New Roman"/>
          <w:sz w:val="24"/>
          <w:szCs w:val="24"/>
        </w:rPr>
        <w:t xml:space="preserve"> (LA)</w:t>
      </w:r>
      <w:r>
        <w:rPr>
          <w:rFonts w:hint="eastAsia" w:ascii="Times New Roman" w:hAnsi="Times New Roman" w:cs="Times New Roman"/>
          <w:sz w:val="24"/>
          <w:szCs w:val="24"/>
        </w:rPr>
        <w:t>, specific leaf area</w:t>
      </w:r>
      <w:r>
        <w:rPr>
          <w:rFonts w:ascii="Times New Roman" w:hAnsi="Times New Roman" w:cs="Times New Roman"/>
          <w:sz w:val="24"/>
          <w:szCs w:val="24"/>
        </w:rPr>
        <w:t xml:space="preserve"> (SLA)</w:t>
      </w:r>
      <w:r>
        <w:rPr>
          <w:rFonts w:hint="eastAsia" w:ascii="Times New Roman" w:hAnsi="Times New Roman" w:cs="Times New Roman"/>
          <w:sz w:val="24"/>
          <w:szCs w:val="24"/>
        </w:rPr>
        <w:t>, leaf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nitrogen con</w:t>
      </w:r>
      <w:r>
        <w:rPr>
          <w:rFonts w:ascii="Times New Roman" w:hAnsi="Times New Roman" w:cs="Times New Roman"/>
          <w:sz w:val="24"/>
          <w:szCs w:val="24"/>
        </w:rPr>
        <w:t>centration (TN)</w:t>
      </w:r>
      <w:r>
        <w:rPr>
          <w:rFonts w:hint="eastAsia" w:ascii="Times New Roman" w:hAnsi="Times New Roman" w:cs="Times New Roman"/>
          <w:sz w:val="24"/>
          <w:szCs w:val="24"/>
        </w:rPr>
        <w:t xml:space="preserve">, leaf phosphorus </w:t>
      </w:r>
      <w:r>
        <w:rPr>
          <w:rFonts w:ascii="Times New Roman" w:hAnsi="Times New Roman" w:cs="Times New Roman"/>
          <w:sz w:val="24"/>
          <w:szCs w:val="24"/>
        </w:rPr>
        <w:t>concentration (TP)</w:t>
      </w:r>
      <w:r>
        <w:rPr>
          <w:rFonts w:hint="eastAsia" w:ascii="Times New Roman" w:hAnsi="Times New Roman" w:cs="Times New Roman"/>
          <w:sz w:val="24"/>
          <w:szCs w:val="24"/>
        </w:rPr>
        <w:t xml:space="preserve">, and woody density </w:t>
      </w:r>
      <w:r>
        <w:rPr>
          <w:rFonts w:ascii="Times New Roman" w:hAnsi="Times New Roman" w:cs="Times New Roman"/>
          <w:sz w:val="24"/>
          <w:szCs w:val="24"/>
        </w:rPr>
        <w:t>(WD) across</w:t>
      </w:r>
      <w:r>
        <w:rPr>
          <w:rFonts w:hint="eastAsia" w:ascii="Times New Roman" w:hAnsi="Times New Roman" w:cs="Times New Roman"/>
          <w:sz w:val="24"/>
          <w:szCs w:val="24"/>
        </w:rPr>
        <w:t xml:space="preserve"> five spatial scales. a, 0.04ha;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b, 0.08ha; c, 0.16ha; d, 0.36ha; e, 1ha.</w:t>
      </w:r>
    </w:p>
    <w:p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731510" cy="31496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 w:ascii="Times New Roman" w:hAnsi="Times New Roman" w:cs="Times New Roman"/>
          <w:b/>
          <w:sz w:val="24"/>
          <w:szCs w:val="24"/>
        </w:rPr>
        <w:t>Figure S3</w:t>
      </w:r>
      <w:r>
        <w:rPr>
          <w:rFonts w:hint="eastAsia" w:ascii="Times New Roman" w:hAnsi="Times New Roman" w:cs="Times New Roman"/>
          <w:sz w:val="24"/>
          <w:szCs w:val="24"/>
        </w:rPr>
        <w:t xml:space="preserve"> Pearson correlation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hint="eastAsia" w:ascii="Times New Roman" w:hAnsi="Times New Roman" w:cs="Times New Roman"/>
          <w:sz w:val="24"/>
          <w:szCs w:val="24"/>
        </w:rPr>
        <w:t xml:space="preserve"> among aboveground biomass of all woody individuals (AGB), species richness (SR), phylogenetic diversity (PD), </w:t>
      </w:r>
      <w:r>
        <w:rPr>
          <w:rFonts w:ascii="Times New Roman" w:hAnsi="Times New Roman" w:cs="Times New Roman"/>
          <w:sz w:val="24"/>
          <w:szCs w:val="24"/>
        </w:rPr>
        <w:t>functional</w:t>
      </w:r>
      <w:r>
        <w:rPr>
          <w:rFonts w:hint="eastAsia" w:ascii="Times New Roman" w:hAnsi="Times New Roman" w:cs="Times New Roman"/>
          <w:sz w:val="24"/>
          <w:szCs w:val="24"/>
        </w:rPr>
        <w:t xml:space="preserve"> dispersion (FDis), community-weighted mean of leaf </w:t>
      </w:r>
      <w:r>
        <w:rPr>
          <w:rFonts w:ascii="Times New Roman" w:hAnsi="Times New Roman" w:cs="Times New Roman"/>
          <w:sz w:val="24"/>
          <w:szCs w:val="24"/>
        </w:rPr>
        <w:t xml:space="preserve">total </w:t>
      </w:r>
      <w:r>
        <w:rPr>
          <w:rFonts w:hint="eastAsia" w:ascii="Times New Roman" w:hAnsi="Times New Roman" w:cs="Times New Roman"/>
          <w:sz w:val="24"/>
          <w:szCs w:val="24"/>
        </w:rPr>
        <w:t xml:space="preserve">phosphorus </w:t>
      </w:r>
      <w:r>
        <w:rPr>
          <w:rFonts w:ascii="Times New Roman" w:hAnsi="Times New Roman" w:cs="Times New Roman"/>
          <w:sz w:val="24"/>
          <w:szCs w:val="24"/>
        </w:rPr>
        <w:t>concentration</w:t>
      </w:r>
      <w:r>
        <w:rPr>
          <w:rFonts w:hint="eastAsia" w:ascii="Times New Roman" w:hAnsi="Times New Roman" w:cs="Times New Roman"/>
          <w:sz w:val="24"/>
          <w:szCs w:val="24"/>
        </w:rPr>
        <w:t xml:space="preserve"> (CWM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LPC</w:t>
      </w:r>
      <w:r>
        <w:rPr>
          <w:rFonts w:hint="eastAsia" w:ascii="Times New Roman" w:hAnsi="Times New Roman" w:cs="Times New Roman"/>
          <w:sz w:val="24"/>
          <w:szCs w:val="24"/>
        </w:rPr>
        <w:t>), aboveground biomass of big-sized trees (BSAGB), neighbo</w:t>
      </w:r>
      <w:bookmarkStart w:id="0" w:name="_GoBack"/>
      <w:bookmarkEnd w:id="0"/>
      <w:r>
        <w:rPr>
          <w:rFonts w:hint="eastAsia" w:ascii="Times New Roman" w:hAnsi="Times New Roman" w:cs="Times New Roman"/>
          <w:sz w:val="24"/>
          <w:szCs w:val="24"/>
        </w:rPr>
        <w:t>rhood competition intensity of big-sized trees (BSNCI), stand structural complexity (CV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DBH</w:t>
      </w:r>
      <w:r>
        <w:rPr>
          <w:rFonts w:hint="eastAsia" w:ascii="Times New Roman" w:hAnsi="Times New Roman" w:cs="Times New Roman"/>
          <w:sz w:val="24"/>
          <w:szCs w:val="24"/>
        </w:rPr>
        <w:t>), and soil nutrients (Soil</w:t>
      </w:r>
      <w:r>
        <w:rPr>
          <w:rFonts w:hint="eastAsia" w:ascii="Times New Roman" w:hAnsi="Times New Roman" w:cs="Times New Roman"/>
          <w:sz w:val="24"/>
          <w:szCs w:val="24"/>
          <w:vertAlign w:val="subscript"/>
        </w:rPr>
        <w:t>PC1</w:t>
      </w:r>
      <w:r>
        <w:rPr>
          <w:rFonts w:hint="eastAsia" w:ascii="Times New Roman" w:hAnsi="Times New Roman" w:cs="Times New Roman"/>
          <w:sz w:val="24"/>
          <w:szCs w:val="24"/>
        </w:rPr>
        <w:t xml:space="preserve">) across five spatial scales including (a) 0.04ha, (b) 0.08ha, (c) 0.16ha, (d) 0.36ha, </w:t>
      </w:r>
      <w:r>
        <w:rPr>
          <w:rFonts w:ascii="Times New Roman" w:hAnsi="Times New Roman" w:cs="Times New Roman"/>
          <w:sz w:val="24"/>
          <w:szCs w:val="24"/>
        </w:rPr>
        <w:t>and</w:t>
      </w:r>
      <w:r>
        <w:rPr>
          <w:rFonts w:hint="eastAsia" w:ascii="Times New Roman" w:hAnsi="Times New Roman" w:cs="Times New Roman"/>
          <w:sz w:val="24"/>
          <w:szCs w:val="24"/>
        </w:rPr>
        <w:t xml:space="preserve"> (e) 1ha.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115"/>
    <w:rsid w:val="000201A6"/>
    <w:rsid w:val="000400C0"/>
    <w:rsid w:val="0005049C"/>
    <w:rsid w:val="00052115"/>
    <w:rsid w:val="00112EA5"/>
    <w:rsid w:val="002326FE"/>
    <w:rsid w:val="00265D5B"/>
    <w:rsid w:val="002724BB"/>
    <w:rsid w:val="00276E1D"/>
    <w:rsid w:val="002F736F"/>
    <w:rsid w:val="003778F1"/>
    <w:rsid w:val="004054D2"/>
    <w:rsid w:val="004B4B17"/>
    <w:rsid w:val="00506B20"/>
    <w:rsid w:val="005A59CA"/>
    <w:rsid w:val="00651917"/>
    <w:rsid w:val="00656BC4"/>
    <w:rsid w:val="006E74A6"/>
    <w:rsid w:val="00715C32"/>
    <w:rsid w:val="007F13B6"/>
    <w:rsid w:val="00855D9F"/>
    <w:rsid w:val="00857884"/>
    <w:rsid w:val="00964FFE"/>
    <w:rsid w:val="00A05A53"/>
    <w:rsid w:val="00B73952"/>
    <w:rsid w:val="00C4531E"/>
    <w:rsid w:val="00C56F02"/>
    <w:rsid w:val="00C846F8"/>
    <w:rsid w:val="00C90A9C"/>
    <w:rsid w:val="00CA765B"/>
    <w:rsid w:val="00DE676C"/>
    <w:rsid w:val="00E52362"/>
    <w:rsid w:val="00F544BD"/>
    <w:rsid w:val="00F67CA0"/>
    <w:rsid w:val="00FE5197"/>
    <w:rsid w:val="6F7D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342</Words>
  <Characters>1956</Characters>
  <Lines>16</Lines>
  <Paragraphs>4</Paragraphs>
  <TotalTime>0</TotalTime>
  <ScaleCrop>false</ScaleCrop>
  <LinksUpToDate>false</LinksUpToDate>
  <CharactersWithSpaces>2294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2021-06-07T20:12:00Z</dcterms:created>
  <dc:creator>Windows 用户</dc:creator>
  <cp:lastModifiedBy>lishuaifeng</cp:lastModifiedBy>
  <dcterms:modified xsi:type="dcterms:W3CDTF">2021-09-18T23:56:08Z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