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34D2" w14:textId="77777777" w:rsidR="007A5B6C" w:rsidRPr="001549D3" w:rsidRDefault="007A5B6C" w:rsidP="007A5B6C">
      <w:pPr>
        <w:pStyle w:val="SupplementaryMaterial"/>
        <w:rPr>
          <w:b w:val="0"/>
        </w:rPr>
      </w:pPr>
      <w:bookmarkStart w:id="0" w:name="_Hlk69726634"/>
      <w:r w:rsidRPr="001549D3">
        <w:t>Supplementary Material</w:t>
      </w:r>
    </w:p>
    <w:p w14:paraId="054214DE" w14:textId="77777777" w:rsidR="00D96505" w:rsidRDefault="00D96505" w:rsidP="00D965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RCM modeling of bubble injections into the inner magnetosphere:</w:t>
      </w:r>
    </w:p>
    <w:p w14:paraId="5327402B" w14:textId="77777777" w:rsidR="00D96505" w:rsidRPr="007E4045" w:rsidRDefault="00D96505" w:rsidP="00D965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Geosynchronous orbit and the ionospheric responses</w:t>
      </w:r>
    </w:p>
    <w:bookmarkEnd w:id="0"/>
    <w:p w14:paraId="6664F439" w14:textId="2B061931" w:rsidR="00F26DA6" w:rsidRDefault="00F26DA6" w:rsidP="00F26D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B8464" w14:textId="4C2BB3B2" w:rsidR="007A5B6C" w:rsidRPr="009B2C35" w:rsidRDefault="007A5B6C" w:rsidP="007A5B6C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bookmarkStart w:id="1" w:name="_Hlk69731213"/>
      <w:r w:rsidRPr="009B2C35">
        <w:rPr>
          <w:rFonts w:ascii="Times New Roman" w:hAnsi="Times New Roman" w:cs="Times New Roman"/>
          <w:b/>
          <w:bCs/>
          <w:sz w:val="24"/>
          <w:szCs w:val="24"/>
        </w:rPr>
        <w:t>Sina Sadeghzadeh, Jian Yang</w:t>
      </w:r>
      <w:r w:rsidRPr="009B2C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9B2C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End w:id="1"/>
      <w:r w:rsidRPr="009B2C35">
        <w:rPr>
          <w:rFonts w:ascii="Times New Roman" w:hAnsi="Times New Roman" w:cs="Times New Roman"/>
          <w:b/>
          <w:bCs/>
          <w:sz w:val="24"/>
          <w:szCs w:val="24"/>
        </w:rPr>
        <w:t>Frank Toffoletto, Richard Wolf, Ameneh Mousavi, and Chih-Ping Wang</w:t>
      </w:r>
    </w:p>
    <w:p w14:paraId="52177A62" w14:textId="72A5D8C0" w:rsidR="007A5B6C" w:rsidRDefault="007A5B6C" w:rsidP="007A5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10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E010F"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  <w:r w:rsidRPr="003E010F">
        <w:rPr>
          <w:rFonts w:ascii="Times New Roman" w:hAnsi="Times New Roman" w:cs="Times New Roman"/>
          <w:sz w:val="24"/>
          <w:szCs w:val="24"/>
        </w:rPr>
        <w:t xml:space="preserve"> Jian Yang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010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E010F">
          <w:rPr>
            <w:rStyle w:val="Hyperlink"/>
            <w:rFonts w:ascii="Times New Roman" w:hAnsi="Times New Roman" w:cs="Times New Roman"/>
            <w:sz w:val="24"/>
            <w:szCs w:val="24"/>
          </w:rPr>
          <w:t>yangj36@sustech.edu.cn</w:t>
        </w:r>
      </w:hyperlink>
    </w:p>
    <w:p w14:paraId="24012A2B" w14:textId="77777777" w:rsidR="007A5B6C" w:rsidRDefault="007A5B6C" w:rsidP="00F26D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1402ED" w14:textId="121AF65D" w:rsidR="007A5B6C" w:rsidRPr="00994A3D" w:rsidRDefault="007A5B6C" w:rsidP="007A5B6C">
      <w:pPr>
        <w:pStyle w:val="Heading1"/>
        <w:numPr>
          <w:ilvl w:val="0"/>
          <w:numId w:val="0"/>
        </w:numPr>
        <w:ind w:left="567" w:hanging="567"/>
      </w:pPr>
      <w:r w:rsidRPr="007A5B6C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b w:val="0"/>
          <w:bCs/>
        </w:rPr>
        <w:tab/>
      </w:r>
      <w:r w:rsidRPr="00994A3D">
        <w:t>Supplementary Data</w:t>
      </w:r>
    </w:p>
    <w:p w14:paraId="585E1C72" w14:textId="0B014173" w:rsidR="00E51BF1" w:rsidRPr="007A5B6C" w:rsidRDefault="00E51BF1" w:rsidP="00B613F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5B6C">
        <w:rPr>
          <w:rFonts w:asciiTheme="majorBidi" w:hAnsiTheme="majorBidi" w:cstheme="majorBidi"/>
          <w:sz w:val="24"/>
          <w:szCs w:val="24"/>
        </w:rPr>
        <w:t xml:space="preserve">In </w:t>
      </w:r>
      <w:r w:rsidR="00086FC2" w:rsidRPr="007A5B6C">
        <w:rPr>
          <w:rFonts w:asciiTheme="majorBidi" w:hAnsiTheme="majorBidi" w:cstheme="majorBidi"/>
          <w:sz w:val="24"/>
          <w:szCs w:val="24"/>
        </w:rPr>
        <w:t xml:space="preserve">Text </w:t>
      </w:r>
      <w:r w:rsidRPr="007A5B6C">
        <w:rPr>
          <w:rFonts w:asciiTheme="majorBidi" w:hAnsiTheme="majorBidi" w:cstheme="majorBidi"/>
          <w:sz w:val="24"/>
          <w:szCs w:val="24"/>
        </w:rPr>
        <w:t xml:space="preserve">S1 we provide additional justification for </w:t>
      </w:r>
      <w:r w:rsidR="00B77DCA" w:rsidRPr="007A5B6C">
        <w:rPr>
          <w:rFonts w:asciiTheme="majorBidi" w:hAnsiTheme="majorBidi" w:cstheme="majorBidi"/>
          <w:sz w:val="24"/>
          <w:szCs w:val="24"/>
        </w:rPr>
        <w:t xml:space="preserve">using </w:t>
      </w:r>
      <w:r w:rsidR="006F7AC5" w:rsidRPr="007A5B6C">
        <w:rPr>
          <w:rFonts w:asciiTheme="majorBidi" w:hAnsiTheme="majorBidi" w:cstheme="majorBidi"/>
          <w:sz w:val="24"/>
          <w:szCs w:val="24"/>
        </w:rPr>
        <w:t>specific</w:t>
      </w:r>
      <w:r w:rsidR="00BA1D1B" w:rsidRPr="007A5B6C">
        <w:rPr>
          <w:rFonts w:asciiTheme="majorBidi" w:hAnsiTheme="majorBidi" w:cstheme="majorBidi"/>
          <w:sz w:val="24"/>
          <w:szCs w:val="24"/>
        </w:rPr>
        <w:t xml:space="preserve"> energy invariant</w:t>
      </w:r>
      <w:r w:rsidR="006F7AC5" w:rsidRPr="007A5B6C">
        <w:rPr>
          <w:rFonts w:asciiTheme="majorBidi" w:hAnsiTheme="majorBidi" w:cstheme="majorBidi"/>
          <w:sz w:val="24"/>
          <w:szCs w:val="24"/>
        </w:rPr>
        <w:t>s (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="006F7AC5" w:rsidRPr="007A5B6C">
        <w:rPr>
          <w:rFonts w:asciiTheme="majorBidi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sub>
        </m:sSub>
      </m:oMath>
      <w:r w:rsidR="006F7AC5" w:rsidRPr="007A5B6C">
        <w:rPr>
          <w:rFonts w:asciiTheme="majorBidi" w:hAnsiTheme="majorBidi" w:cstheme="majorBidi"/>
          <w:sz w:val="24"/>
          <w:szCs w:val="24"/>
        </w:rPr>
        <w:t xml:space="preserve">) </w:t>
      </w:r>
      <w:r w:rsidR="00B77DCA" w:rsidRPr="007A5B6C">
        <w:rPr>
          <w:rFonts w:asciiTheme="majorBidi" w:hAnsiTheme="majorBidi" w:cstheme="majorBidi"/>
          <w:sz w:val="24"/>
          <w:szCs w:val="24"/>
        </w:rPr>
        <w:t xml:space="preserve">and whether they are consistent with the radial dependent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="00B77DCA" w:rsidRPr="007A5B6C">
        <w:rPr>
          <w:rFonts w:asciiTheme="majorBidi" w:hAnsiTheme="majorBidi" w:cstheme="majorBidi"/>
          <w:sz w:val="24"/>
          <w:szCs w:val="24"/>
        </w:rPr>
        <w:t>.</w:t>
      </w:r>
      <w:r w:rsidR="00086FC2" w:rsidRPr="007A5B6C">
        <w:rPr>
          <w:rFonts w:asciiTheme="majorBidi" w:hAnsiTheme="majorBidi" w:cstheme="majorBidi"/>
          <w:sz w:val="24"/>
          <w:szCs w:val="24"/>
        </w:rPr>
        <w:t xml:space="preserve"> </w:t>
      </w:r>
      <w:r w:rsidR="004A4777" w:rsidRPr="007A5B6C">
        <w:rPr>
          <w:rFonts w:asciiTheme="majorBidi" w:hAnsiTheme="majorBidi" w:cstheme="majorBidi"/>
          <w:sz w:val="24"/>
          <w:szCs w:val="24"/>
        </w:rPr>
        <w:t>Text S2 provides details about Movie S1, which shows the response of the magnetosphere-ionosphere coupled system</w:t>
      </w:r>
      <w:r w:rsidR="00417CBF" w:rsidRPr="007A5B6C">
        <w:rPr>
          <w:rFonts w:asciiTheme="majorBidi" w:hAnsiTheme="majorBidi" w:cstheme="majorBidi"/>
          <w:sz w:val="24"/>
          <w:szCs w:val="24"/>
        </w:rPr>
        <w:t xml:space="preserve"> to </w:t>
      </w:r>
      <w:r w:rsidR="00EF2B86" w:rsidRPr="007A5B6C">
        <w:rPr>
          <w:rFonts w:asciiTheme="majorBidi" w:hAnsiTheme="majorBidi" w:cstheme="majorBidi"/>
          <w:sz w:val="24"/>
          <w:szCs w:val="24"/>
        </w:rPr>
        <w:t>many plasma bubble injections.</w:t>
      </w:r>
    </w:p>
    <w:p w14:paraId="3E871CA8" w14:textId="768EC8B7" w:rsidR="00E51BF1" w:rsidRPr="007A5B6C" w:rsidRDefault="00E51BF1" w:rsidP="00C7795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A5B6C">
        <w:rPr>
          <w:rFonts w:asciiTheme="majorBidi" w:hAnsiTheme="majorBidi" w:cstheme="majorBidi"/>
          <w:b/>
          <w:bCs/>
          <w:sz w:val="24"/>
          <w:szCs w:val="24"/>
        </w:rPr>
        <w:t>Text S1.</w:t>
      </w:r>
    </w:p>
    <w:p w14:paraId="5EB71162" w14:textId="095118F6" w:rsidR="00E51BF1" w:rsidRPr="007A5B6C" w:rsidRDefault="00B613FF" w:rsidP="00EE75EC">
      <w:pPr>
        <w:spacing w:line="360" w:lineRule="auto"/>
        <w:jc w:val="both"/>
        <w:rPr>
          <w:sz w:val="24"/>
          <w:szCs w:val="24"/>
        </w:rPr>
      </w:pPr>
      <w:r w:rsidRPr="007A5B6C">
        <w:rPr>
          <w:rFonts w:asciiTheme="majorBidi" w:hAnsiTheme="majorBidi" w:cstheme="majorBidi"/>
          <w:sz w:val="24"/>
          <w:szCs w:val="24"/>
        </w:rPr>
        <w:t xml:space="preserve">The reason for choosing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=300 </m:t>
        </m:r>
        <m:r>
          <w:rPr>
            <w:rFonts w:ascii="Cambria Math" w:hAnsi="Cambria Math" w:cstheme="majorBidi"/>
            <w:sz w:val="24"/>
            <w:szCs w:val="24"/>
          </w:rPr>
          <m:t>eV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/nT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2/3</m:t>
            </m:r>
          </m:sup>
        </m:sSup>
      </m:oMath>
      <w:r w:rsidRPr="007A5B6C">
        <w:rPr>
          <w:rFonts w:asciiTheme="majorBidi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=4000 </m:t>
        </m:r>
        <m:r>
          <w:rPr>
            <w:rFonts w:ascii="Cambria Math" w:hAnsi="Cambria Math" w:cstheme="majorBidi"/>
            <w:sz w:val="24"/>
            <w:szCs w:val="24"/>
          </w:rPr>
          <m:t>eV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/nT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2/3</m:t>
            </m:r>
          </m:sup>
        </m:sSup>
      </m:oMath>
      <w:r w:rsidRPr="007A5B6C">
        <w:rPr>
          <w:rFonts w:asciiTheme="majorBidi" w:hAnsiTheme="majorBidi" w:cstheme="majorBidi"/>
          <w:sz w:val="24"/>
          <w:szCs w:val="24"/>
        </w:rPr>
        <w:t xml:space="preserve"> is </w:t>
      </w:r>
      <w:r w:rsidR="007B6D09">
        <w:rPr>
          <w:rFonts w:asciiTheme="majorBidi" w:hAnsiTheme="majorBidi" w:cstheme="majorBidi"/>
          <w:sz w:val="24"/>
          <w:szCs w:val="24"/>
        </w:rPr>
        <w:t>to improve the accuracy of</w:t>
      </w:r>
      <w:r w:rsidRPr="007A5B6C">
        <w:rPr>
          <w:rFonts w:asciiTheme="majorBidi" w:hAnsiTheme="majorBidi" w:cstheme="majorBidi"/>
          <w:sz w:val="24"/>
          <w:szCs w:val="24"/>
        </w:rPr>
        <w:t xml:space="preserve"> </w:t>
      </w:r>
      <w:r w:rsidR="007B6D09">
        <w:rPr>
          <w:rFonts w:asciiTheme="majorBidi" w:hAnsiTheme="majorBidi" w:cstheme="majorBidi"/>
          <w:sz w:val="24"/>
          <w:szCs w:val="24"/>
        </w:rPr>
        <w:t xml:space="preserve">the </w:t>
      </w:r>
      <w:r w:rsidRPr="007A5B6C">
        <w:rPr>
          <w:rFonts w:asciiTheme="majorBidi" w:hAnsiTheme="majorBidi" w:cstheme="majorBidi"/>
          <w:sz w:val="24"/>
          <w:szCs w:val="24"/>
        </w:rPr>
        <w:t>moment profiles (temperature, density, and pressure) of the electrons and protons. Figure</w:t>
      </w:r>
      <w:r w:rsidR="00C06D26" w:rsidRPr="007A5B6C">
        <w:rPr>
          <w:rFonts w:asciiTheme="majorBidi" w:hAnsiTheme="majorBidi" w:cstheme="majorBidi"/>
          <w:sz w:val="24"/>
          <w:szCs w:val="24"/>
        </w:rPr>
        <w:t xml:space="preserve"> S1</w:t>
      </w:r>
      <w:r w:rsidRPr="007A5B6C">
        <w:rPr>
          <w:rFonts w:asciiTheme="majorBidi" w:hAnsiTheme="majorBidi" w:cstheme="majorBidi"/>
          <w:sz w:val="24"/>
          <w:szCs w:val="24"/>
        </w:rPr>
        <w:t xml:space="preserve"> shows the density and temperature of electrons and protons calculated in our simulation (panels </w:t>
      </w:r>
      <w:r w:rsidR="007A5B6C">
        <w:rPr>
          <w:rFonts w:asciiTheme="majorBidi" w:hAnsiTheme="majorBidi" w:cstheme="majorBidi"/>
          <w:sz w:val="24"/>
          <w:szCs w:val="24"/>
        </w:rPr>
        <w:t>C</w:t>
      </w:r>
      <w:r w:rsidRPr="007A5B6C">
        <w:rPr>
          <w:rFonts w:asciiTheme="majorBidi" w:hAnsiTheme="majorBidi" w:cstheme="majorBidi"/>
          <w:sz w:val="24"/>
          <w:szCs w:val="24"/>
        </w:rPr>
        <w:t>-</w:t>
      </w:r>
      <w:r w:rsidR="007A5B6C">
        <w:rPr>
          <w:rFonts w:asciiTheme="majorBidi" w:hAnsiTheme="majorBidi" w:cstheme="majorBidi"/>
          <w:sz w:val="24"/>
          <w:szCs w:val="24"/>
        </w:rPr>
        <w:t>F</w:t>
      </w:r>
      <w:r w:rsidRPr="007A5B6C">
        <w:rPr>
          <w:rFonts w:asciiTheme="majorBidi" w:hAnsiTheme="majorBidi" w:cstheme="majorBidi"/>
          <w:sz w:val="24"/>
          <w:szCs w:val="24"/>
        </w:rPr>
        <w:t xml:space="preserve">) and the statistics given by Runov et al. (2015) (panels </w:t>
      </w:r>
      <w:r w:rsidR="007A5B6C">
        <w:rPr>
          <w:rFonts w:asciiTheme="majorBidi" w:hAnsiTheme="majorBidi" w:cstheme="majorBidi"/>
          <w:sz w:val="24"/>
          <w:szCs w:val="24"/>
        </w:rPr>
        <w:t>G</w:t>
      </w:r>
      <w:r w:rsidRPr="007A5B6C">
        <w:rPr>
          <w:rFonts w:asciiTheme="majorBidi" w:hAnsiTheme="majorBidi" w:cstheme="majorBidi"/>
          <w:sz w:val="24"/>
          <w:szCs w:val="24"/>
        </w:rPr>
        <w:t xml:space="preserve"> and </w:t>
      </w:r>
      <w:r w:rsidR="007A5B6C">
        <w:rPr>
          <w:rFonts w:asciiTheme="majorBidi" w:hAnsiTheme="majorBidi" w:cstheme="majorBidi"/>
          <w:sz w:val="24"/>
          <w:szCs w:val="24"/>
        </w:rPr>
        <w:t>H</w:t>
      </w:r>
      <w:r w:rsidRPr="007A5B6C">
        <w:rPr>
          <w:rFonts w:asciiTheme="majorBidi" w:hAnsiTheme="majorBidi" w:cstheme="majorBidi"/>
          <w:sz w:val="24"/>
          <w:szCs w:val="24"/>
        </w:rPr>
        <w:t>). The density (</w:t>
      </w:r>
      <w:r w:rsidR="007A5B6C">
        <w:rPr>
          <w:rFonts w:asciiTheme="majorBidi" w:hAnsiTheme="majorBidi" w:cstheme="majorBidi"/>
          <w:sz w:val="24"/>
          <w:szCs w:val="24"/>
        </w:rPr>
        <w:t>C</w:t>
      </w:r>
      <w:r w:rsidRPr="007A5B6C">
        <w:rPr>
          <w:rFonts w:asciiTheme="majorBidi" w:hAnsiTheme="majorBidi" w:cstheme="majorBidi"/>
          <w:sz w:val="24"/>
          <w:szCs w:val="24"/>
        </w:rPr>
        <w:t xml:space="preserve"> and </w:t>
      </w:r>
      <w:r w:rsidR="007A5B6C">
        <w:rPr>
          <w:rFonts w:asciiTheme="majorBidi" w:hAnsiTheme="majorBidi" w:cstheme="majorBidi"/>
          <w:sz w:val="24"/>
          <w:szCs w:val="24"/>
        </w:rPr>
        <w:t>E</w:t>
      </w:r>
      <w:r w:rsidRPr="007A5B6C">
        <w:rPr>
          <w:rFonts w:asciiTheme="majorBidi" w:hAnsiTheme="majorBidi" w:cstheme="majorBidi"/>
          <w:sz w:val="24"/>
          <w:szCs w:val="24"/>
        </w:rPr>
        <w:t>) and temperature (</w:t>
      </w:r>
      <w:r w:rsidR="007A5B6C">
        <w:rPr>
          <w:rFonts w:asciiTheme="majorBidi" w:hAnsiTheme="majorBidi" w:cstheme="majorBidi"/>
          <w:sz w:val="24"/>
          <w:szCs w:val="24"/>
        </w:rPr>
        <w:t>D</w:t>
      </w:r>
      <w:r w:rsidRPr="007A5B6C">
        <w:rPr>
          <w:rFonts w:asciiTheme="majorBidi" w:hAnsiTheme="majorBidi" w:cstheme="majorBidi"/>
          <w:sz w:val="24"/>
          <w:szCs w:val="24"/>
        </w:rPr>
        <w:t xml:space="preserve"> and </w:t>
      </w:r>
      <w:r w:rsidR="007A5B6C">
        <w:rPr>
          <w:rFonts w:asciiTheme="majorBidi" w:hAnsiTheme="majorBidi" w:cstheme="majorBidi"/>
          <w:sz w:val="24"/>
          <w:szCs w:val="24"/>
        </w:rPr>
        <w:t>F</w:t>
      </w:r>
      <w:r w:rsidRPr="007A5B6C">
        <w:rPr>
          <w:rFonts w:asciiTheme="majorBidi" w:hAnsiTheme="majorBidi" w:cstheme="majorBidi"/>
          <w:sz w:val="24"/>
          <w:szCs w:val="24"/>
        </w:rPr>
        <w:t xml:space="preserve">) profiles of plasma at a </w:t>
      </w:r>
      <w:r w:rsidR="0029606D" w:rsidRPr="007A5B6C">
        <w:rPr>
          <w:rFonts w:asciiTheme="majorBidi" w:hAnsiTheme="majorBidi" w:cstheme="majorBidi"/>
          <w:sz w:val="24"/>
          <w:szCs w:val="24"/>
        </w:rPr>
        <w:t>fixed-point</w:t>
      </w:r>
      <w:r w:rsidR="006C0CF2" w:rsidRPr="007A5B6C">
        <w:rPr>
          <w:rFonts w:asciiTheme="majorBidi" w:hAnsiTheme="majorBidi" w:cstheme="majorBidi"/>
          <w:sz w:val="24"/>
          <w:szCs w:val="24"/>
        </w:rPr>
        <w:t xml:space="preserve"> </w:t>
      </w:r>
      <w:r w:rsidR="006C0CF2" w:rsidRPr="007A5B6C">
        <w:rPr>
          <w:rFonts w:ascii="Lucida Handwriting" w:hAnsi="Lucida Handwriting" w:cstheme="majorBidi"/>
          <w:sz w:val="24"/>
          <w:szCs w:val="24"/>
        </w:rPr>
        <w:t>A</w:t>
      </w:r>
      <w:r w:rsidRPr="007A5B6C">
        <w:rPr>
          <w:rFonts w:asciiTheme="majorBidi" w:hAnsiTheme="majorBidi" w:cstheme="majorBidi"/>
          <w:sz w:val="24"/>
          <w:szCs w:val="24"/>
        </w:rPr>
        <w:t xml:space="preserve"> (</w:t>
      </w:r>
      <m:oMath>
        <m:r>
          <w:rPr>
            <w:rFonts w:ascii="Cambria Math" w:hAnsi="Cambria Math" w:cstheme="majorBid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∼-14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Pr="007A5B6C">
        <w:rPr>
          <w:rFonts w:asciiTheme="majorBidi" w:hAnsiTheme="majorBidi" w:cstheme="majorBidi"/>
          <w:sz w:val="24"/>
          <w:szCs w:val="24"/>
        </w:rPr>
        <w:t xml:space="preserve">, </w:t>
      </w:r>
      <m:oMath>
        <m:r>
          <w:rPr>
            <w:rFonts w:ascii="Cambria Math" w:hAnsi="Cambria Math" w:cstheme="majorBidi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∼-10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Pr="007A5B6C">
        <w:rPr>
          <w:rFonts w:asciiTheme="majorBidi" w:hAnsiTheme="majorBidi" w:cstheme="majorBidi"/>
          <w:sz w:val="24"/>
          <w:szCs w:val="24"/>
        </w:rPr>
        <w:t xml:space="preserve">) in the equatorial plane are obtained </w:t>
      </w:r>
      <w:r w:rsidR="006C0CF2" w:rsidRPr="007A5B6C">
        <w:rPr>
          <w:rFonts w:asciiTheme="majorBidi" w:hAnsiTheme="majorBidi" w:cstheme="majorBidi"/>
          <w:sz w:val="24"/>
          <w:szCs w:val="24"/>
        </w:rPr>
        <w:t xml:space="preserve">at time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=00:06:00</m:t>
        </m:r>
      </m:oMath>
      <w:r w:rsidR="006C0CF2" w:rsidRPr="007A5B6C">
        <w:rPr>
          <w:rFonts w:asciiTheme="majorBidi" w:hAnsiTheme="majorBidi" w:cstheme="majorBidi"/>
          <w:sz w:val="24"/>
          <w:szCs w:val="24"/>
        </w:rPr>
        <w:t xml:space="preserve"> before a bubble reaches point </w:t>
      </w:r>
      <w:r w:rsidR="006C0CF2" w:rsidRPr="007A5B6C">
        <w:rPr>
          <w:rFonts w:ascii="Lucida Handwriting" w:hAnsi="Lucida Handwriting" w:cstheme="majorBidi"/>
          <w:sz w:val="24"/>
          <w:szCs w:val="24"/>
        </w:rPr>
        <w:t>A</w:t>
      </w:r>
      <w:r w:rsidR="006C0CF2" w:rsidRPr="007A5B6C">
        <w:rPr>
          <w:rFonts w:asciiTheme="majorBidi" w:hAnsiTheme="majorBidi" w:cstheme="majorBidi"/>
          <w:sz w:val="24"/>
          <w:szCs w:val="24"/>
        </w:rPr>
        <w:t xml:space="preserve"> and at time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=00:11:00</m:t>
        </m:r>
      </m:oMath>
      <w:r w:rsidR="006C0CF2" w:rsidRPr="007A5B6C">
        <w:rPr>
          <w:rFonts w:asciiTheme="majorBidi" w:hAnsiTheme="majorBidi" w:cstheme="majorBidi"/>
          <w:sz w:val="24"/>
          <w:szCs w:val="24"/>
        </w:rPr>
        <w:t xml:space="preserve"> after the bubble reaches point </w:t>
      </w:r>
      <w:r w:rsidR="006C0CF2" w:rsidRPr="007A5B6C">
        <w:rPr>
          <w:rFonts w:ascii="Lucida Handwriting" w:hAnsi="Lucida Handwriting" w:cstheme="majorBidi"/>
          <w:sz w:val="24"/>
          <w:szCs w:val="24"/>
        </w:rPr>
        <w:t>A</w:t>
      </w:r>
      <w:r w:rsidR="006C0CF2" w:rsidRPr="007A5B6C">
        <w:rPr>
          <w:rFonts w:asciiTheme="majorBidi" w:hAnsiTheme="majorBidi" w:cstheme="majorBidi"/>
          <w:sz w:val="24"/>
          <w:szCs w:val="24"/>
        </w:rPr>
        <w:t xml:space="preserve">. </w:t>
      </w:r>
      <w:r w:rsidR="00B50251" w:rsidRPr="007A5B6C">
        <w:rPr>
          <w:rFonts w:asciiTheme="majorBidi" w:hAnsiTheme="majorBidi" w:cstheme="majorBidi"/>
          <w:sz w:val="24"/>
          <w:szCs w:val="24"/>
        </w:rPr>
        <w:t>In general, the density and temperature profiles retrieved from RCM are consistent with trends in background and intruding populations (i.e., dipolarizing flux bundles), as observed</w:t>
      </w:r>
      <w:r w:rsidRPr="007A5B6C">
        <w:rPr>
          <w:rFonts w:asciiTheme="majorBidi" w:hAnsiTheme="majorBidi" w:cstheme="majorBidi"/>
          <w:sz w:val="24"/>
          <w:szCs w:val="24"/>
        </w:rPr>
        <w:t>.</w:t>
      </w:r>
      <w:r w:rsidR="00817794" w:rsidRPr="007A5B6C">
        <w:rPr>
          <w:rFonts w:asciiTheme="majorBidi" w:hAnsiTheme="majorBidi" w:cstheme="majorBidi"/>
          <w:sz w:val="24"/>
          <w:szCs w:val="24"/>
        </w:rPr>
        <w:t xml:space="preserve"> According to Runov et al. (2015), bubble</w:t>
      </w:r>
      <w:r w:rsidR="009C34A3" w:rsidRPr="007A5B6C">
        <w:rPr>
          <w:rFonts w:asciiTheme="majorBidi" w:hAnsiTheme="majorBidi" w:cstheme="majorBidi"/>
          <w:sz w:val="24"/>
          <w:szCs w:val="24"/>
        </w:rPr>
        <w:t>s</w:t>
      </w:r>
      <w:r w:rsidR="00817794" w:rsidRPr="007A5B6C">
        <w:rPr>
          <w:rFonts w:asciiTheme="majorBidi" w:hAnsiTheme="majorBidi" w:cstheme="majorBidi"/>
          <w:sz w:val="24"/>
          <w:szCs w:val="24"/>
        </w:rPr>
        <w:t xml:space="preserve"> show drop of density but increase of temperature inside the bubble</w:t>
      </w:r>
      <w:r w:rsidR="009C34A3" w:rsidRPr="007A5B6C">
        <w:rPr>
          <w:rFonts w:asciiTheme="majorBidi" w:hAnsiTheme="majorBidi" w:cstheme="majorBidi"/>
          <w:sz w:val="24"/>
          <w:szCs w:val="24"/>
        </w:rPr>
        <w:t>s</w:t>
      </w:r>
      <w:r w:rsidR="00817794" w:rsidRPr="007A5B6C">
        <w:rPr>
          <w:rFonts w:asciiTheme="majorBidi" w:hAnsiTheme="majorBidi" w:cstheme="majorBidi"/>
          <w:sz w:val="24"/>
          <w:szCs w:val="24"/>
        </w:rPr>
        <w:t xml:space="preserve"> corroborat</w:t>
      </w:r>
      <w:r w:rsidR="00B37824" w:rsidRPr="007A5B6C">
        <w:rPr>
          <w:rFonts w:asciiTheme="majorBidi" w:hAnsiTheme="majorBidi" w:cstheme="majorBidi"/>
          <w:sz w:val="24"/>
          <w:szCs w:val="24"/>
        </w:rPr>
        <w:t>ing</w:t>
      </w:r>
      <w:r w:rsidR="00817794" w:rsidRPr="007A5B6C">
        <w:rPr>
          <w:rFonts w:asciiTheme="majorBidi" w:hAnsiTheme="majorBidi" w:cstheme="majorBidi"/>
          <w:sz w:val="24"/>
          <w:szCs w:val="24"/>
        </w:rPr>
        <w:t xml:space="preserve"> the existence of type-1 bubbles</w:t>
      </w:r>
      <w:r w:rsidR="00074E55" w:rsidRPr="007A5B6C">
        <w:rPr>
          <w:rFonts w:asciiTheme="majorBidi" w:hAnsiTheme="majorBidi" w:cstheme="majorBidi"/>
          <w:sz w:val="24"/>
          <w:szCs w:val="24"/>
        </w:rPr>
        <w:t xml:space="preserve"> (see Figure 1 of Wang et al., 2020)</w:t>
      </w:r>
      <w:r w:rsidR="00817794" w:rsidRPr="007A5B6C">
        <w:rPr>
          <w:rFonts w:asciiTheme="majorBidi" w:hAnsiTheme="majorBidi" w:cstheme="majorBidi"/>
          <w:sz w:val="24"/>
          <w:szCs w:val="24"/>
        </w:rPr>
        <w:t>.</w:t>
      </w:r>
      <w:r w:rsidR="00817794" w:rsidRPr="007A5B6C">
        <w:rPr>
          <w:sz w:val="24"/>
          <w:szCs w:val="24"/>
        </w:rPr>
        <w:t xml:space="preserve"> </w:t>
      </w:r>
    </w:p>
    <w:p w14:paraId="3D0FDC1E" w14:textId="46244C76" w:rsidR="00ED29E4" w:rsidRDefault="00705DC8" w:rsidP="00B613FF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79962BE5" wp14:editId="454E53D0">
            <wp:extent cx="5943600" cy="2759710"/>
            <wp:effectExtent l="0" t="0" r="0" b="0"/>
            <wp:docPr id="3" name="Picture 3" descr="Chart,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4930A" w14:textId="254DE843" w:rsidR="00E51BF1" w:rsidRPr="00AC6D71" w:rsidRDefault="00E51BF1" w:rsidP="001B74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D71">
        <w:rPr>
          <w:rFonts w:asciiTheme="majorBidi" w:hAnsiTheme="majorBidi" w:cstheme="majorBidi"/>
          <w:b/>
          <w:bCs/>
          <w:sz w:val="24"/>
          <w:szCs w:val="24"/>
        </w:rPr>
        <w:t>Figure S1.</w:t>
      </w:r>
      <w:r w:rsidR="00ED29E4" w:rsidRPr="00AC6D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D3EB0" w:rsidRPr="00AC6D71">
        <w:rPr>
          <w:rFonts w:asciiTheme="majorBidi" w:hAnsiTheme="majorBidi" w:cstheme="majorBidi"/>
          <w:sz w:val="24"/>
          <w:szCs w:val="24"/>
        </w:rPr>
        <w:t>(</w:t>
      </w:r>
      <w:r w:rsidR="00AC6D71">
        <w:rPr>
          <w:rFonts w:asciiTheme="majorBidi" w:hAnsiTheme="majorBidi" w:cstheme="majorBidi"/>
          <w:sz w:val="24"/>
          <w:szCs w:val="24"/>
        </w:rPr>
        <w:t>A</w:t>
      </w:r>
      <w:r w:rsidR="00ED3EB0" w:rsidRPr="00AC6D71">
        <w:rPr>
          <w:rFonts w:asciiTheme="majorBidi" w:hAnsiTheme="majorBidi" w:cstheme="majorBidi"/>
          <w:sz w:val="24"/>
          <w:szCs w:val="24"/>
        </w:rPr>
        <w:t>) T</w:t>
      </w:r>
      <w:r w:rsidR="003C2C7C" w:rsidRPr="00AC6D71">
        <w:rPr>
          <w:rFonts w:asciiTheme="majorBidi" w:hAnsiTheme="majorBidi" w:cstheme="majorBidi"/>
          <w:sz w:val="24"/>
          <w:szCs w:val="24"/>
        </w:rPr>
        <w:t xml:space="preserve">he equatorial distribution of </w:t>
      </w:r>
      <w:r w:rsidR="00ED3EB0" w:rsidRPr="00AC6D71">
        <w:rPr>
          <w:rFonts w:asciiTheme="majorBidi" w:hAnsiTheme="majorBidi" w:cstheme="majorBidi"/>
          <w:sz w:val="24"/>
          <w:szCs w:val="24"/>
        </w:rPr>
        <w:t>entropy parameter (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5/3</m:t>
            </m:r>
          </m:sup>
        </m:sSup>
      </m:oMath>
      <w:r w:rsidR="00ED3EB0" w:rsidRPr="00AC6D71">
        <w:rPr>
          <w:rFonts w:asciiTheme="majorBidi" w:hAnsiTheme="majorBidi" w:cstheme="majorBidi"/>
          <w:sz w:val="24"/>
          <w:szCs w:val="24"/>
        </w:rPr>
        <w:t>)</w:t>
      </w:r>
      <w:r w:rsidR="00474182" w:rsidRPr="00AC6D71">
        <w:rPr>
          <w:rFonts w:asciiTheme="majorBidi" w:hAnsiTheme="majorBidi" w:cstheme="majorBidi"/>
          <w:sz w:val="24"/>
          <w:szCs w:val="24"/>
        </w:rPr>
        <w:t xml:space="preserve"> in units of </w:t>
      </w:r>
      <m:oMath>
        <m:r>
          <w:rPr>
            <w:rFonts w:ascii="Cambria Math" w:hAnsi="Cambria Math" w:cstheme="majorBidi"/>
            <w:sz w:val="24"/>
            <w:szCs w:val="24"/>
          </w:rPr>
          <m:t>nPa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/nT</m:t>
                </m:r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5/3</m:t>
            </m:r>
          </m:sup>
        </m:sSup>
      </m:oMath>
      <w:r w:rsidR="00ED3EB0" w:rsidRPr="00AC6D71">
        <w:rPr>
          <w:rFonts w:asciiTheme="majorBidi" w:hAnsiTheme="majorBidi" w:cstheme="majorBidi"/>
          <w:sz w:val="24"/>
          <w:szCs w:val="24"/>
        </w:rPr>
        <w:t xml:space="preserve"> at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=00:06:00</m:t>
        </m:r>
      </m:oMath>
      <w:r w:rsidR="00ED3EB0" w:rsidRPr="00AC6D71">
        <w:rPr>
          <w:rFonts w:asciiTheme="majorBidi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=00:11:00</m:t>
        </m:r>
      </m:oMath>
      <w:r w:rsidR="00ED3EB0" w:rsidRPr="00AC6D71">
        <w:rPr>
          <w:rFonts w:asciiTheme="majorBidi" w:hAnsiTheme="majorBidi" w:cstheme="majorBidi"/>
          <w:sz w:val="24"/>
          <w:szCs w:val="24"/>
        </w:rPr>
        <w:t>.</w:t>
      </w:r>
      <w:r w:rsidR="00474182" w:rsidRPr="00AC6D71">
        <w:rPr>
          <w:rFonts w:asciiTheme="majorBidi" w:hAnsiTheme="majorBidi" w:cstheme="majorBidi"/>
          <w:sz w:val="24"/>
          <w:szCs w:val="24"/>
        </w:rPr>
        <w:t xml:space="preserve"> </w:t>
      </w:r>
      <w:r w:rsidR="009D73A7" w:rsidRPr="00AC6D71">
        <w:rPr>
          <w:rFonts w:asciiTheme="majorBidi" w:hAnsiTheme="majorBidi" w:cstheme="majorBidi"/>
          <w:sz w:val="24"/>
          <w:szCs w:val="24"/>
        </w:rPr>
        <w:t>The time-dependent (</w:t>
      </w:r>
      <w:r w:rsidR="00AC6D71">
        <w:rPr>
          <w:rFonts w:asciiTheme="majorBidi" w:hAnsiTheme="majorBidi" w:cstheme="majorBidi"/>
          <w:sz w:val="24"/>
          <w:szCs w:val="24"/>
        </w:rPr>
        <w:t>B</w:t>
      </w:r>
      <w:r w:rsidR="009D73A7" w:rsidRPr="00AC6D71">
        <w:rPr>
          <w:rFonts w:asciiTheme="majorBidi" w:hAnsiTheme="majorBidi" w:cstheme="majorBidi"/>
          <w:sz w:val="24"/>
          <w:szCs w:val="24"/>
        </w:rPr>
        <w:t>) entropy (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5/3</m:t>
            </m:r>
          </m:sup>
        </m:sSup>
      </m:oMath>
      <w:r w:rsidR="009D73A7" w:rsidRPr="00AC6D71">
        <w:rPr>
          <w:rFonts w:asciiTheme="majorBidi" w:hAnsiTheme="majorBidi" w:cstheme="majorBidi"/>
          <w:sz w:val="24"/>
          <w:szCs w:val="24"/>
        </w:rPr>
        <w:t>), (</w:t>
      </w:r>
      <w:r w:rsidR="00AC6D71">
        <w:rPr>
          <w:rFonts w:asciiTheme="majorBidi" w:hAnsiTheme="majorBidi" w:cstheme="majorBidi"/>
          <w:sz w:val="24"/>
          <w:szCs w:val="24"/>
        </w:rPr>
        <w:t>C</w:t>
      </w:r>
      <w:r w:rsidR="009D73A7" w:rsidRPr="00AC6D71">
        <w:rPr>
          <w:rFonts w:asciiTheme="majorBidi" w:hAnsiTheme="majorBidi" w:cstheme="majorBidi"/>
          <w:sz w:val="24"/>
          <w:szCs w:val="24"/>
        </w:rPr>
        <w:t xml:space="preserve">) proton density (in units of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</m:t>
            </m:r>
          </m:sup>
        </m:sSup>
      </m:oMath>
      <w:r w:rsidR="009D73A7" w:rsidRPr="00AC6D71">
        <w:rPr>
          <w:rFonts w:asciiTheme="majorBidi" w:hAnsiTheme="majorBidi" w:cstheme="majorBidi"/>
          <w:sz w:val="24"/>
          <w:szCs w:val="24"/>
        </w:rPr>
        <w:t>), (</w:t>
      </w:r>
      <w:r w:rsidR="00AC6D71">
        <w:rPr>
          <w:rFonts w:asciiTheme="majorBidi" w:hAnsiTheme="majorBidi" w:cstheme="majorBidi"/>
          <w:sz w:val="24"/>
          <w:szCs w:val="24"/>
        </w:rPr>
        <w:t>D</w:t>
      </w:r>
      <w:r w:rsidR="009D73A7" w:rsidRPr="00AC6D71">
        <w:rPr>
          <w:rFonts w:asciiTheme="majorBidi" w:hAnsiTheme="majorBidi" w:cstheme="majorBidi"/>
          <w:sz w:val="24"/>
          <w:szCs w:val="24"/>
        </w:rPr>
        <w:t xml:space="preserve">) proton temperature (in units of </w:t>
      </w:r>
      <m:oMath>
        <m:r>
          <w:rPr>
            <w:rFonts w:ascii="Cambria Math" w:hAnsi="Cambria Math" w:cstheme="majorBidi"/>
            <w:sz w:val="24"/>
            <w:szCs w:val="24"/>
          </w:rPr>
          <m:t>eV</m:t>
        </m:r>
      </m:oMath>
      <w:r w:rsidR="009D73A7" w:rsidRPr="00AC6D71">
        <w:rPr>
          <w:rFonts w:asciiTheme="majorBidi" w:hAnsiTheme="majorBidi" w:cstheme="majorBidi"/>
          <w:sz w:val="24"/>
          <w:szCs w:val="24"/>
        </w:rPr>
        <w:t>), (</w:t>
      </w:r>
      <w:r w:rsidR="00AC6D71">
        <w:rPr>
          <w:rFonts w:asciiTheme="majorBidi" w:hAnsiTheme="majorBidi" w:cstheme="majorBidi"/>
          <w:sz w:val="24"/>
          <w:szCs w:val="24"/>
        </w:rPr>
        <w:t>E</w:t>
      </w:r>
      <w:r w:rsidR="009D73A7" w:rsidRPr="00AC6D71">
        <w:rPr>
          <w:rFonts w:asciiTheme="majorBidi" w:hAnsiTheme="majorBidi" w:cstheme="majorBidi"/>
          <w:sz w:val="24"/>
          <w:szCs w:val="24"/>
        </w:rPr>
        <w:t xml:space="preserve">) electron density (in units of </w:t>
      </w:r>
      <m:oMath>
        <m:r>
          <w:rPr>
            <w:rFonts w:ascii="Cambria Math" w:hAnsi="Cambria Math" w:cstheme="majorBidi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</m:t>
            </m:r>
          </m:sup>
        </m:sSup>
      </m:oMath>
      <w:r w:rsidR="009D73A7" w:rsidRPr="00AC6D71">
        <w:rPr>
          <w:rFonts w:asciiTheme="majorBidi" w:hAnsiTheme="majorBidi" w:cstheme="majorBidi"/>
          <w:sz w:val="24"/>
          <w:szCs w:val="24"/>
        </w:rPr>
        <w:t>)</w:t>
      </w:r>
      <w:r w:rsidR="00771B6F" w:rsidRPr="00AC6D71">
        <w:rPr>
          <w:rFonts w:asciiTheme="majorBidi" w:hAnsiTheme="majorBidi" w:cstheme="majorBidi"/>
          <w:sz w:val="24"/>
          <w:szCs w:val="24"/>
        </w:rPr>
        <w:t xml:space="preserve">, </w:t>
      </w:r>
      <w:r w:rsidR="00B712C7" w:rsidRPr="00AC6D71">
        <w:rPr>
          <w:rFonts w:asciiTheme="majorBidi" w:hAnsiTheme="majorBidi" w:cstheme="majorBidi"/>
          <w:sz w:val="24"/>
          <w:szCs w:val="24"/>
        </w:rPr>
        <w:t xml:space="preserve">and </w:t>
      </w:r>
      <w:r w:rsidR="00771B6F" w:rsidRPr="00AC6D71">
        <w:rPr>
          <w:rFonts w:asciiTheme="majorBidi" w:hAnsiTheme="majorBidi" w:cstheme="majorBidi"/>
          <w:sz w:val="24"/>
          <w:szCs w:val="24"/>
        </w:rPr>
        <w:t>(</w:t>
      </w:r>
      <w:r w:rsidR="00AC6D71">
        <w:rPr>
          <w:rFonts w:asciiTheme="majorBidi" w:hAnsiTheme="majorBidi" w:cstheme="majorBidi"/>
          <w:sz w:val="24"/>
          <w:szCs w:val="24"/>
        </w:rPr>
        <w:t>F</w:t>
      </w:r>
      <w:r w:rsidR="00771B6F" w:rsidRPr="00AC6D71">
        <w:rPr>
          <w:rFonts w:asciiTheme="majorBidi" w:hAnsiTheme="majorBidi" w:cstheme="majorBidi"/>
          <w:sz w:val="24"/>
          <w:szCs w:val="24"/>
        </w:rPr>
        <w:t xml:space="preserve">) electron temperature (in units of </w:t>
      </w:r>
      <m:oMath>
        <m:r>
          <w:rPr>
            <w:rFonts w:ascii="Cambria Math" w:hAnsi="Cambria Math" w:cstheme="majorBidi"/>
            <w:sz w:val="24"/>
            <w:szCs w:val="24"/>
          </w:rPr>
          <m:t>eV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)</m:t>
        </m:r>
      </m:oMath>
      <w:r w:rsidR="00B712C7" w:rsidRPr="00AC6D71">
        <w:rPr>
          <w:rFonts w:asciiTheme="majorBidi" w:hAnsiTheme="majorBidi" w:cstheme="majorBidi"/>
          <w:sz w:val="24"/>
          <w:szCs w:val="24"/>
        </w:rPr>
        <w:t xml:space="preserve"> at </w:t>
      </w:r>
      <w:r w:rsidR="00453D27" w:rsidRPr="00AC6D71">
        <w:rPr>
          <w:rFonts w:asciiTheme="majorBidi" w:hAnsiTheme="majorBidi" w:cstheme="majorBidi"/>
          <w:sz w:val="24"/>
          <w:szCs w:val="24"/>
        </w:rPr>
        <w:t>(</w:t>
      </w:r>
      <m:oMath>
        <m:r>
          <w:rPr>
            <w:rFonts w:ascii="Cambria Math" w:hAnsi="Cambria Math" w:cstheme="majorBid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∼-14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, </m:t>
        </m:r>
        <m:r>
          <w:rPr>
            <w:rFonts w:ascii="Cambria Math" w:hAnsi="Cambria Math" w:cstheme="majorBidi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∼-10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</m:oMath>
      <w:r w:rsidR="00453D27" w:rsidRPr="00AC6D71">
        <w:rPr>
          <w:rFonts w:asciiTheme="majorBidi" w:hAnsiTheme="majorBidi" w:cstheme="majorBidi"/>
          <w:sz w:val="24"/>
          <w:szCs w:val="24"/>
        </w:rPr>
        <w:t>)</w:t>
      </w:r>
      <w:r w:rsidR="002503EF" w:rsidRPr="00AC6D71">
        <w:rPr>
          <w:rFonts w:asciiTheme="majorBidi" w:hAnsiTheme="majorBidi" w:cstheme="majorBidi"/>
          <w:sz w:val="24"/>
          <w:szCs w:val="24"/>
        </w:rPr>
        <w:t>. Panel (</w:t>
      </w:r>
      <w:r w:rsidR="00AC6D71">
        <w:rPr>
          <w:rFonts w:asciiTheme="majorBidi" w:hAnsiTheme="majorBidi" w:cstheme="majorBidi"/>
          <w:sz w:val="24"/>
          <w:szCs w:val="24"/>
        </w:rPr>
        <w:t>G</w:t>
      </w:r>
      <w:r w:rsidR="002503EF" w:rsidRPr="00AC6D71">
        <w:rPr>
          <w:rFonts w:asciiTheme="majorBidi" w:hAnsiTheme="majorBidi" w:cstheme="majorBidi"/>
          <w:sz w:val="24"/>
          <w:szCs w:val="24"/>
        </w:rPr>
        <w:t xml:space="preserve">) shows </w:t>
      </w:r>
      <m:oMath>
        <m:r>
          <w:rPr>
            <w:rFonts w:ascii="Cambria Math" w:hAnsi="Cambria Math" w:cstheme="majorBidi"/>
            <w:sz w:val="24"/>
            <w:szCs w:val="24"/>
          </w:rPr>
          <m:t>X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GSM</m:t>
            </m:r>
          </m:sub>
        </m:sSub>
      </m:oMath>
      <w:r w:rsidR="002503EF" w:rsidRPr="00AC6D71">
        <w:rPr>
          <w:rFonts w:asciiTheme="majorBidi" w:hAnsiTheme="majorBidi" w:cstheme="majorBidi"/>
          <w:sz w:val="24"/>
          <w:szCs w:val="24"/>
        </w:rPr>
        <w:t xml:space="preserve"> distribution of bubble</w:t>
      </w:r>
      <w:r w:rsidR="001B7482" w:rsidRPr="00AC6D71">
        <w:rPr>
          <w:rFonts w:asciiTheme="majorBidi" w:hAnsiTheme="majorBidi" w:cstheme="majorBidi"/>
          <w:sz w:val="24"/>
          <w:szCs w:val="24"/>
        </w:rPr>
        <w:t xml:space="preserve"> events detected by THEMIS between 2008-2009 (</w:t>
      </w:r>
      <w:r w:rsidR="00424164" w:rsidRPr="00AC6D71">
        <w:rPr>
          <w:rFonts w:asciiTheme="majorBidi" w:hAnsiTheme="majorBidi" w:cstheme="majorBidi"/>
          <w:sz w:val="24"/>
          <w:szCs w:val="24"/>
        </w:rPr>
        <w:t xml:space="preserve">adapted from Figure 1 in </w:t>
      </w:r>
      <w:r w:rsidR="001B7482" w:rsidRPr="00AC6D71">
        <w:rPr>
          <w:rFonts w:asciiTheme="majorBidi" w:hAnsiTheme="majorBidi" w:cstheme="majorBidi"/>
          <w:sz w:val="24"/>
          <w:szCs w:val="24"/>
        </w:rPr>
        <w:t>Runov et al. 201</w:t>
      </w:r>
      <w:r w:rsidR="008265CF" w:rsidRPr="00AC6D71">
        <w:rPr>
          <w:rFonts w:asciiTheme="majorBidi" w:hAnsiTheme="majorBidi" w:cstheme="majorBidi"/>
          <w:sz w:val="24"/>
          <w:szCs w:val="24"/>
        </w:rPr>
        <w:t>5</w:t>
      </w:r>
      <w:r w:rsidR="001B7482" w:rsidRPr="00AC6D71">
        <w:rPr>
          <w:rFonts w:asciiTheme="majorBidi" w:hAnsiTheme="majorBidi" w:cstheme="majorBidi"/>
          <w:sz w:val="24"/>
          <w:szCs w:val="24"/>
        </w:rPr>
        <w:t>). Panel (</w:t>
      </w:r>
      <w:r w:rsidR="00AC6D71">
        <w:rPr>
          <w:rFonts w:asciiTheme="majorBidi" w:hAnsiTheme="majorBidi" w:cstheme="majorBidi"/>
          <w:sz w:val="24"/>
          <w:szCs w:val="24"/>
        </w:rPr>
        <w:t>H</w:t>
      </w:r>
      <w:r w:rsidR="001B7482" w:rsidRPr="00AC6D71">
        <w:rPr>
          <w:rFonts w:asciiTheme="majorBidi" w:hAnsiTheme="majorBidi" w:cstheme="majorBidi"/>
          <w:sz w:val="24"/>
          <w:szCs w:val="24"/>
        </w:rPr>
        <w:t xml:space="preserve">) shows </w:t>
      </w:r>
      <w:r w:rsidR="00341FF8" w:rsidRPr="00AC6D71">
        <w:rPr>
          <w:rFonts w:asciiTheme="majorBidi" w:hAnsiTheme="majorBidi" w:cstheme="majorBidi"/>
          <w:sz w:val="24"/>
          <w:szCs w:val="24"/>
        </w:rPr>
        <w:t>s</w:t>
      </w:r>
      <w:r w:rsidR="001B7482" w:rsidRPr="00AC6D71">
        <w:rPr>
          <w:rFonts w:asciiTheme="majorBidi" w:hAnsiTheme="majorBidi" w:cstheme="majorBidi"/>
          <w:sz w:val="24"/>
          <w:szCs w:val="24"/>
        </w:rPr>
        <w:t xml:space="preserve">uperposed mean values of number density, </w:t>
      </w:r>
      <w:proofErr w:type="gramStart"/>
      <w:r w:rsidR="001B7482" w:rsidRPr="00AC6D71">
        <w:rPr>
          <w:rFonts w:asciiTheme="majorBidi" w:hAnsiTheme="majorBidi" w:cstheme="majorBidi"/>
          <w:sz w:val="24"/>
          <w:szCs w:val="24"/>
        </w:rPr>
        <w:t>electron</w:t>
      </w:r>
      <w:proofErr w:type="gramEnd"/>
      <w:r w:rsidR="001B7482" w:rsidRPr="00AC6D71">
        <w:rPr>
          <w:rFonts w:asciiTheme="majorBidi" w:hAnsiTheme="majorBidi" w:cstheme="majorBidi"/>
          <w:sz w:val="24"/>
          <w:szCs w:val="24"/>
        </w:rPr>
        <w:t xml:space="preserve"> and ion temperatures</w:t>
      </w:r>
      <w:r w:rsidR="00424164" w:rsidRPr="00AC6D71">
        <w:rPr>
          <w:rFonts w:asciiTheme="majorBidi" w:hAnsiTheme="majorBidi" w:cstheme="majorBidi"/>
          <w:sz w:val="24"/>
          <w:szCs w:val="24"/>
        </w:rPr>
        <w:t xml:space="preserve"> inside and outside of bubbles (adapted from Figure 2 in Runov et al. 2015)</w:t>
      </w:r>
      <w:r w:rsidR="001B7482" w:rsidRPr="00AC6D71">
        <w:rPr>
          <w:rFonts w:asciiTheme="majorBidi" w:hAnsiTheme="majorBidi" w:cstheme="majorBidi"/>
          <w:sz w:val="24"/>
          <w:szCs w:val="24"/>
        </w:rPr>
        <w:t>. Colors correspond to geocentric distances</w:t>
      </w:r>
      <w:r w:rsidR="00341FF8" w:rsidRPr="00AC6D71">
        <w:rPr>
          <w:rFonts w:asciiTheme="majorBidi" w:hAnsiTheme="majorBidi" w:cstheme="majorBidi"/>
          <w:sz w:val="24"/>
          <w:szCs w:val="24"/>
        </w:rPr>
        <w:t>.</w:t>
      </w:r>
    </w:p>
    <w:p w14:paraId="61AA23EC" w14:textId="3D24347E" w:rsidR="004A4777" w:rsidRDefault="004A4777" w:rsidP="001B74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30FE87A3" w14:textId="24475922" w:rsidR="004A4777" w:rsidRPr="00AC6D71" w:rsidRDefault="004A4777" w:rsidP="001B74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C6D71">
        <w:rPr>
          <w:rFonts w:asciiTheme="majorBidi" w:hAnsiTheme="majorBidi" w:cstheme="majorBidi"/>
          <w:b/>
          <w:bCs/>
          <w:sz w:val="24"/>
          <w:szCs w:val="24"/>
        </w:rPr>
        <w:t>Text S2.</w:t>
      </w:r>
    </w:p>
    <w:p w14:paraId="643A6E22" w14:textId="5E805D27" w:rsidR="00B52457" w:rsidRPr="0076526C" w:rsidRDefault="0012086B" w:rsidP="0076526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D71">
        <w:rPr>
          <w:rFonts w:asciiTheme="majorBidi" w:hAnsiTheme="majorBidi" w:cstheme="majorBidi"/>
          <w:sz w:val="24"/>
          <w:szCs w:val="24"/>
        </w:rPr>
        <w:t>Movie S1</w:t>
      </w:r>
      <w:r w:rsidR="0064793D" w:rsidRPr="00AC6D71">
        <w:rPr>
          <w:rFonts w:asciiTheme="majorBidi" w:hAnsiTheme="majorBidi" w:cstheme="majorBidi"/>
          <w:sz w:val="24"/>
          <w:szCs w:val="24"/>
        </w:rPr>
        <w:t xml:space="preserve"> </w:t>
      </w:r>
      <w:r w:rsidRPr="00AC6D71">
        <w:rPr>
          <w:rFonts w:asciiTheme="majorBidi" w:hAnsiTheme="majorBidi" w:cstheme="majorBidi"/>
          <w:sz w:val="24"/>
          <w:szCs w:val="24"/>
        </w:rPr>
        <w:t xml:space="preserve">shows the response of the coupled magnetosphere-ionosphere to random plasma bubble injections. </w:t>
      </w:r>
      <w:r w:rsidR="0047164A" w:rsidRPr="00AC6D71">
        <w:rPr>
          <w:rFonts w:asciiTheme="majorBidi" w:hAnsiTheme="majorBidi" w:cstheme="majorBidi"/>
          <w:sz w:val="24"/>
          <w:szCs w:val="24"/>
        </w:rPr>
        <w:t>In this file, p</w:t>
      </w:r>
      <w:r w:rsidR="00E804E8" w:rsidRPr="00AC6D71">
        <w:rPr>
          <w:rFonts w:asciiTheme="majorBidi" w:hAnsiTheme="majorBidi" w:cstheme="majorBidi"/>
          <w:sz w:val="24"/>
          <w:szCs w:val="24"/>
        </w:rPr>
        <w:t>anels</w:t>
      </w:r>
      <w:r w:rsidR="0064793D" w:rsidRPr="00AC6D71">
        <w:rPr>
          <w:rFonts w:asciiTheme="majorBidi" w:hAnsiTheme="majorBidi" w:cstheme="majorBidi"/>
          <w:sz w:val="24"/>
          <w:szCs w:val="24"/>
        </w:rPr>
        <w:t xml:space="preserve"> (</w:t>
      </w:r>
      <w:r w:rsidR="00AC6D71">
        <w:rPr>
          <w:rFonts w:asciiTheme="majorBidi" w:hAnsiTheme="majorBidi" w:cstheme="majorBidi"/>
          <w:sz w:val="24"/>
          <w:szCs w:val="24"/>
        </w:rPr>
        <w:t>A</w:t>
      </w:r>
      <w:r w:rsidR="0064793D" w:rsidRPr="00AC6D71">
        <w:rPr>
          <w:rFonts w:asciiTheme="majorBidi" w:hAnsiTheme="majorBidi" w:cstheme="majorBidi"/>
          <w:sz w:val="24"/>
          <w:szCs w:val="24"/>
        </w:rPr>
        <w:t>)-(</w:t>
      </w:r>
      <w:r w:rsidR="00AC6D71">
        <w:rPr>
          <w:rFonts w:asciiTheme="majorBidi" w:hAnsiTheme="majorBidi" w:cstheme="majorBidi"/>
          <w:sz w:val="24"/>
          <w:szCs w:val="24"/>
        </w:rPr>
        <w:t>D</w:t>
      </w:r>
      <w:r w:rsidR="0064793D" w:rsidRPr="00AC6D71">
        <w:rPr>
          <w:rFonts w:asciiTheme="majorBidi" w:hAnsiTheme="majorBidi" w:cstheme="majorBidi"/>
          <w:sz w:val="24"/>
          <w:szCs w:val="24"/>
        </w:rPr>
        <w:t xml:space="preserve">) show the equatorial view of evolution of 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5/3</m:t>
            </m:r>
          </m:sup>
        </m:sSup>
      </m:oMath>
      <w:r w:rsidR="0064793D" w:rsidRPr="00AC6D71">
        <w:rPr>
          <w:rFonts w:asciiTheme="majorBidi" w:hAnsiTheme="majorBidi" w:cstheme="majorBidi"/>
          <w:sz w:val="24"/>
          <w:szCs w:val="24"/>
        </w:rPr>
        <w:t xml:space="preserve"> (in units of </w:t>
      </w:r>
      <m:oMath>
        <m:r>
          <w:rPr>
            <w:rFonts w:ascii="Cambria Math" w:hAnsi="Cambria Math" w:cstheme="majorBidi"/>
            <w:sz w:val="24"/>
            <w:szCs w:val="24"/>
          </w:rPr>
          <m:t>nPa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nT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5/3</m:t>
            </m:r>
          </m:sup>
        </m:sSup>
      </m:oMath>
      <w:r w:rsidR="0064793D" w:rsidRPr="00AC6D71">
        <w:rPr>
          <w:rFonts w:asciiTheme="majorBidi" w:hAnsiTheme="majorBidi" w:cstheme="majorBidi"/>
          <w:sz w:val="24"/>
          <w:szCs w:val="24"/>
        </w:rPr>
        <w:t xml:space="preserve">), 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</m:oMath>
      <w:r w:rsidR="0064793D" w:rsidRPr="00AC6D71">
        <w:rPr>
          <w:rFonts w:asciiTheme="majorBidi" w:hAnsiTheme="majorBidi" w:cstheme="majorBidi"/>
          <w:sz w:val="24"/>
          <w:szCs w:val="24"/>
        </w:rPr>
        <w:t xml:space="preserve"> (in units of </w:t>
      </w:r>
      <m:oMath>
        <m:r>
          <w:rPr>
            <w:rFonts w:ascii="Cambria Math" w:hAnsi="Cambria Math" w:cstheme="majorBidi"/>
            <w:sz w:val="24"/>
            <w:szCs w:val="24"/>
          </w:rPr>
          <m:t>nPa</m:t>
        </m:r>
      </m:oMath>
      <w:r w:rsidR="0064793D" w:rsidRPr="00AC6D71">
        <w:rPr>
          <w:rFonts w:asciiTheme="majorBidi" w:hAnsiTheme="majorBidi" w:cstheme="majorBidi"/>
          <w:sz w:val="24"/>
          <w:szCs w:val="24"/>
        </w:rPr>
        <w:t xml:space="preserve">), </w:t>
      </w:r>
      <m:oMath>
        <m:r>
          <w:rPr>
            <w:rFonts w:ascii="Cambria Math" w:hAnsi="Cambria Math" w:cstheme="majorBidi"/>
            <w:sz w:val="24"/>
            <w:szCs w:val="24"/>
          </w:rPr>
          <m:t>FAC</m:t>
        </m:r>
      </m:oMath>
      <w:r w:rsidR="0064793D" w:rsidRPr="00AC6D71">
        <w:rPr>
          <w:rFonts w:asciiTheme="majorBidi" w:hAnsiTheme="majorBidi" w:cstheme="majorBidi"/>
          <w:sz w:val="24"/>
          <w:szCs w:val="24"/>
        </w:rPr>
        <w:t xml:space="preserve"> (in units of </w:t>
      </w:r>
      <m:oMath>
        <m:r>
          <w:rPr>
            <w:rFonts w:ascii="Cambria Math" w:hAnsi="Cambria Math" w:cstheme="majorBidi"/>
            <w:sz w:val="24"/>
            <w:szCs w:val="24"/>
          </w:rPr>
          <m:t>μA/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64793D" w:rsidRPr="00AC6D71">
        <w:rPr>
          <w:rFonts w:asciiTheme="majorBidi" w:hAnsiTheme="majorBidi" w:cstheme="majorBidi"/>
          <w:sz w:val="24"/>
          <w:szCs w:val="24"/>
        </w:rPr>
        <w:t xml:space="preserve">), and </w:t>
      </w:r>
      <m:oMath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en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⋆</m:t>
            </m:r>
          </m:sup>
        </m:sSubSup>
      </m:oMath>
      <w:r w:rsidR="0064793D" w:rsidRPr="00AC6D71">
        <w:rPr>
          <w:rFonts w:asciiTheme="majorBidi" w:hAnsiTheme="majorBidi" w:cstheme="majorBidi"/>
          <w:sz w:val="24"/>
          <w:szCs w:val="24"/>
        </w:rPr>
        <w:t xml:space="preserve"> (in units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erg 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</m:oMath>
      <w:r w:rsidR="0064793D" w:rsidRPr="00AC6D71">
        <w:rPr>
          <w:rFonts w:asciiTheme="majorBidi" w:hAnsiTheme="majorBidi" w:cstheme="majorBidi"/>
          <w:sz w:val="24"/>
          <w:szCs w:val="24"/>
        </w:rPr>
        <w:t>)</w:t>
      </w:r>
      <w:r w:rsidR="00B548D8" w:rsidRPr="00AC6D71">
        <w:rPr>
          <w:rFonts w:asciiTheme="majorBidi" w:hAnsiTheme="majorBidi" w:cstheme="majorBidi"/>
          <w:sz w:val="24"/>
          <w:szCs w:val="24"/>
        </w:rPr>
        <w:t xml:space="preserve">. </w:t>
      </w:r>
      <w:r w:rsidR="00F8016D" w:rsidRPr="00AC6D71">
        <w:rPr>
          <w:rFonts w:asciiTheme="majorBidi" w:hAnsiTheme="majorBidi" w:cstheme="majorBidi"/>
          <w:sz w:val="24"/>
          <w:szCs w:val="24"/>
        </w:rPr>
        <w:t>Panels (</w:t>
      </w:r>
      <w:r w:rsidR="00AC6D71">
        <w:rPr>
          <w:rFonts w:asciiTheme="majorBidi" w:hAnsiTheme="majorBidi" w:cstheme="majorBidi"/>
          <w:sz w:val="24"/>
          <w:szCs w:val="24"/>
        </w:rPr>
        <w:t>E</w:t>
      </w:r>
      <w:r w:rsidR="00F8016D" w:rsidRPr="00AC6D71">
        <w:rPr>
          <w:rFonts w:asciiTheme="majorBidi" w:hAnsiTheme="majorBidi" w:cstheme="majorBidi"/>
          <w:sz w:val="24"/>
          <w:szCs w:val="24"/>
        </w:rPr>
        <w:t>) and (</w:t>
      </w:r>
      <w:r w:rsidR="00AC6D71">
        <w:rPr>
          <w:rFonts w:asciiTheme="majorBidi" w:hAnsiTheme="majorBidi" w:cstheme="majorBidi"/>
          <w:sz w:val="24"/>
          <w:szCs w:val="24"/>
        </w:rPr>
        <w:t>F</w:t>
      </w:r>
      <w:r w:rsidR="00F8016D" w:rsidRPr="00AC6D71">
        <w:rPr>
          <w:rFonts w:asciiTheme="majorBidi" w:hAnsiTheme="majorBidi" w:cstheme="majorBidi"/>
          <w:sz w:val="24"/>
          <w:szCs w:val="24"/>
        </w:rPr>
        <w:t xml:space="preserve">) show the ionospheric distribution of </w:t>
      </w:r>
      <m:oMath>
        <m:r>
          <w:rPr>
            <w:rFonts w:ascii="Cambria Math" w:hAnsi="Cambria Math" w:cstheme="majorBidi"/>
            <w:sz w:val="24"/>
            <w:szCs w:val="24"/>
          </w:rPr>
          <m:t>FAC</m:t>
        </m:r>
      </m:oMath>
      <w:r w:rsidR="00F8016D" w:rsidRPr="00AC6D71">
        <w:rPr>
          <w:rFonts w:asciiTheme="majorBidi" w:hAnsiTheme="majorBidi" w:cstheme="majorBidi"/>
          <w:sz w:val="24"/>
          <w:szCs w:val="24"/>
        </w:rPr>
        <w:t xml:space="preserve"> (in units of </w:t>
      </w:r>
      <m:oMath>
        <m:r>
          <w:rPr>
            <w:rFonts w:ascii="Cambria Math" w:hAnsi="Cambria Math" w:cstheme="majorBidi"/>
            <w:sz w:val="24"/>
            <w:szCs w:val="24"/>
          </w:rPr>
          <m:t>μA/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F8016D" w:rsidRPr="00AC6D71">
        <w:rPr>
          <w:rFonts w:asciiTheme="majorBidi" w:hAnsiTheme="majorBidi" w:cstheme="majorBidi"/>
          <w:sz w:val="24"/>
          <w:szCs w:val="24"/>
        </w:rPr>
        <w:t xml:space="preserve">), and </w:t>
      </w:r>
      <m:oMath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en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⋆</m:t>
            </m:r>
          </m:sup>
        </m:sSubSup>
      </m:oMath>
      <w:r w:rsidR="00F8016D" w:rsidRPr="00AC6D71">
        <w:rPr>
          <w:rFonts w:asciiTheme="majorBidi" w:hAnsiTheme="majorBidi" w:cstheme="majorBidi"/>
          <w:sz w:val="24"/>
          <w:szCs w:val="24"/>
        </w:rPr>
        <w:t xml:space="preserve"> (in units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erg 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p>
      </m:oMath>
      <w:r w:rsidR="00F8016D" w:rsidRPr="00AC6D71">
        <w:rPr>
          <w:rFonts w:asciiTheme="majorBidi" w:hAnsiTheme="majorBidi" w:cstheme="majorBidi"/>
          <w:sz w:val="24"/>
          <w:szCs w:val="24"/>
        </w:rPr>
        <w:t>).</w:t>
      </w:r>
    </w:p>
    <w:sectPr w:rsidR="00B52457" w:rsidRPr="007652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FB2D" w14:textId="77777777" w:rsidR="00D049A7" w:rsidRDefault="00D049A7" w:rsidP="00C335A2">
      <w:pPr>
        <w:spacing w:after="0" w:line="240" w:lineRule="auto"/>
      </w:pPr>
      <w:r>
        <w:separator/>
      </w:r>
    </w:p>
  </w:endnote>
  <w:endnote w:type="continuationSeparator" w:id="0">
    <w:p w14:paraId="04C9EB99" w14:textId="77777777" w:rsidR="00D049A7" w:rsidRDefault="00D049A7" w:rsidP="00C3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796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837B4" w14:textId="55CF7285" w:rsidR="00C335A2" w:rsidRDefault="00C33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DF955" w14:textId="77777777" w:rsidR="00C335A2" w:rsidRDefault="00C3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D608" w14:textId="77777777" w:rsidR="00D049A7" w:rsidRDefault="00D049A7" w:rsidP="00C335A2">
      <w:pPr>
        <w:spacing w:after="0" w:line="240" w:lineRule="auto"/>
      </w:pPr>
      <w:r>
        <w:separator/>
      </w:r>
    </w:p>
  </w:footnote>
  <w:footnote w:type="continuationSeparator" w:id="0">
    <w:p w14:paraId="5930C7AD" w14:textId="77777777" w:rsidR="00D049A7" w:rsidRDefault="00D049A7" w:rsidP="00C3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9172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DA6"/>
    <w:rsid w:val="000021F7"/>
    <w:rsid w:val="00005B4D"/>
    <w:rsid w:val="00016DF0"/>
    <w:rsid w:val="0002282F"/>
    <w:rsid w:val="00041B47"/>
    <w:rsid w:val="000471F9"/>
    <w:rsid w:val="000512B3"/>
    <w:rsid w:val="00060EC9"/>
    <w:rsid w:val="000615FE"/>
    <w:rsid w:val="00074E55"/>
    <w:rsid w:val="00080EDA"/>
    <w:rsid w:val="000868E0"/>
    <w:rsid w:val="00086FC2"/>
    <w:rsid w:val="00090A16"/>
    <w:rsid w:val="000A738B"/>
    <w:rsid w:val="000C0515"/>
    <w:rsid w:val="000C5D5B"/>
    <w:rsid w:val="000D0B42"/>
    <w:rsid w:val="000D578B"/>
    <w:rsid w:val="000E4DAD"/>
    <w:rsid w:val="0010641A"/>
    <w:rsid w:val="00110034"/>
    <w:rsid w:val="0012086B"/>
    <w:rsid w:val="00120AA4"/>
    <w:rsid w:val="001312C9"/>
    <w:rsid w:val="00141905"/>
    <w:rsid w:val="00150BE8"/>
    <w:rsid w:val="001758E5"/>
    <w:rsid w:val="0018384D"/>
    <w:rsid w:val="00183E2D"/>
    <w:rsid w:val="00193531"/>
    <w:rsid w:val="001B33E6"/>
    <w:rsid w:val="001B7482"/>
    <w:rsid w:val="001E258A"/>
    <w:rsid w:val="001F55F3"/>
    <w:rsid w:val="001F6884"/>
    <w:rsid w:val="002002D8"/>
    <w:rsid w:val="00206095"/>
    <w:rsid w:val="00217142"/>
    <w:rsid w:val="002244F1"/>
    <w:rsid w:val="00226166"/>
    <w:rsid w:val="00230FBA"/>
    <w:rsid w:val="0024296F"/>
    <w:rsid w:val="00243D1A"/>
    <w:rsid w:val="002477E4"/>
    <w:rsid w:val="002503EF"/>
    <w:rsid w:val="00260F7D"/>
    <w:rsid w:val="002623F0"/>
    <w:rsid w:val="00266EC0"/>
    <w:rsid w:val="00277793"/>
    <w:rsid w:val="00282B34"/>
    <w:rsid w:val="00282C4C"/>
    <w:rsid w:val="0029606D"/>
    <w:rsid w:val="002A0F8A"/>
    <w:rsid w:val="002D71A5"/>
    <w:rsid w:val="002F68F3"/>
    <w:rsid w:val="003037BA"/>
    <w:rsid w:val="003213A5"/>
    <w:rsid w:val="00321CB2"/>
    <w:rsid w:val="00341FF8"/>
    <w:rsid w:val="003511DB"/>
    <w:rsid w:val="0036170E"/>
    <w:rsid w:val="00363418"/>
    <w:rsid w:val="00367680"/>
    <w:rsid w:val="003718A6"/>
    <w:rsid w:val="003830AA"/>
    <w:rsid w:val="00393E12"/>
    <w:rsid w:val="003C2C7C"/>
    <w:rsid w:val="003C6FAC"/>
    <w:rsid w:val="003F176B"/>
    <w:rsid w:val="003F75BA"/>
    <w:rsid w:val="00405E52"/>
    <w:rsid w:val="00417CBF"/>
    <w:rsid w:val="00424164"/>
    <w:rsid w:val="004241F1"/>
    <w:rsid w:val="00427771"/>
    <w:rsid w:val="00427C0B"/>
    <w:rsid w:val="00453D27"/>
    <w:rsid w:val="00454F43"/>
    <w:rsid w:val="004644BE"/>
    <w:rsid w:val="00465615"/>
    <w:rsid w:val="0047164A"/>
    <w:rsid w:val="00474182"/>
    <w:rsid w:val="00474CC1"/>
    <w:rsid w:val="004776B3"/>
    <w:rsid w:val="004A271C"/>
    <w:rsid w:val="004A4777"/>
    <w:rsid w:val="004B006F"/>
    <w:rsid w:val="004B5955"/>
    <w:rsid w:val="004D1025"/>
    <w:rsid w:val="004E6AB8"/>
    <w:rsid w:val="00500C0F"/>
    <w:rsid w:val="00515664"/>
    <w:rsid w:val="00521E18"/>
    <w:rsid w:val="00532927"/>
    <w:rsid w:val="005330BB"/>
    <w:rsid w:val="00534586"/>
    <w:rsid w:val="00557B18"/>
    <w:rsid w:val="00561750"/>
    <w:rsid w:val="00565562"/>
    <w:rsid w:val="00565B3F"/>
    <w:rsid w:val="00581EA1"/>
    <w:rsid w:val="00583799"/>
    <w:rsid w:val="00584C89"/>
    <w:rsid w:val="00585B51"/>
    <w:rsid w:val="005B02F9"/>
    <w:rsid w:val="005B1F65"/>
    <w:rsid w:val="005C3660"/>
    <w:rsid w:val="005D04D9"/>
    <w:rsid w:val="005F045C"/>
    <w:rsid w:val="005F046A"/>
    <w:rsid w:val="0060776E"/>
    <w:rsid w:val="006303D3"/>
    <w:rsid w:val="00637C13"/>
    <w:rsid w:val="00641BC8"/>
    <w:rsid w:val="00642FC4"/>
    <w:rsid w:val="0064793D"/>
    <w:rsid w:val="00655DB9"/>
    <w:rsid w:val="00664229"/>
    <w:rsid w:val="0066501C"/>
    <w:rsid w:val="006743A4"/>
    <w:rsid w:val="006C0CF2"/>
    <w:rsid w:val="006F0327"/>
    <w:rsid w:val="006F6526"/>
    <w:rsid w:val="006F7AC5"/>
    <w:rsid w:val="00705DC8"/>
    <w:rsid w:val="00733884"/>
    <w:rsid w:val="00733926"/>
    <w:rsid w:val="00734183"/>
    <w:rsid w:val="00740897"/>
    <w:rsid w:val="007636E4"/>
    <w:rsid w:val="0076526C"/>
    <w:rsid w:val="00765EF4"/>
    <w:rsid w:val="00771B6F"/>
    <w:rsid w:val="00780C11"/>
    <w:rsid w:val="00781409"/>
    <w:rsid w:val="00784E15"/>
    <w:rsid w:val="0078636B"/>
    <w:rsid w:val="007A4DE4"/>
    <w:rsid w:val="007A5B6C"/>
    <w:rsid w:val="007B0F90"/>
    <w:rsid w:val="007B2874"/>
    <w:rsid w:val="007B6D09"/>
    <w:rsid w:val="007D170A"/>
    <w:rsid w:val="007E1DE0"/>
    <w:rsid w:val="007E445D"/>
    <w:rsid w:val="00810966"/>
    <w:rsid w:val="00810DEC"/>
    <w:rsid w:val="00817794"/>
    <w:rsid w:val="008213BC"/>
    <w:rsid w:val="008219DA"/>
    <w:rsid w:val="00823A08"/>
    <w:rsid w:val="00824B27"/>
    <w:rsid w:val="0082610C"/>
    <w:rsid w:val="008265CF"/>
    <w:rsid w:val="00831AA6"/>
    <w:rsid w:val="00831E11"/>
    <w:rsid w:val="00842B5A"/>
    <w:rsid w:val="008607A6"/>
    <w:rsid w:val="00865F8C"/>
    <w:rsid w:val="00873A0A"/>
    <w:rsid w:val="008835B3"/>
    <w:rsid w:val="00885EF2"/>
    <w:rsid w:val="008864B7"/>
    <w:rsid w:val="008A27B2"/>
    <w:rsid w:val="008A5A6E"/>
    <w:rsid w:val="008A5C58"/>
    <w:rsid w:val="008F490E"/>
    <w:rsid w:val="008F71AF"/>
    <w:rsid w:val="00903CB1"/>
    <w:rsid w:val="00910935"/>
    <w:rsid w:val="0092109A"/>
    <w:rsid w:val="0092428C"/>
    <w:rsid w:val="009245D5"/>
    <w:rsid w:val="00931930"/>
    <w:rsid w:val="00937C81"/>
    <w:rsid w:val="00940B83"/>
    <w:rsid w:val="009461DC"/>
    <w:rsid w:val="009509AE"/>
    <w:rsid w:val="00966F98"/>
    <w:rsid w:val="0097204E"/>
    <w:rsid w:val="009726F9"/>
    <w:rsid w:val="009905DD"/>
    <w:rsid w:val="009A2111"/>
    <w:rsid w:val="009A474D"/>
    <w:rsid w:val="009B0D3E"/>
    <w:rsid w:val="009B54FB"/>
    <w:rsid w:val="009C1243"/>
    <w:rsid w:val="009C34A3"/>
    <w:rsid w:val="009D086F"/>
    <w:rsid w:val="009D73A7"/>
    <w:rsid w:val="00A031E7"/>
    <w:rsid w:val="00A05006"/>
    <w:rsid w:val="00A208B8"/>
    <w:rsid w:val="00A260F0"/>
    <w:rsid w:val="00A36504"/>
    <w:rsid w:val="00A44737"/>
    <w:rsid w:val="00A54BA4"/>
    <w:rsid w:val="00A83549"/>
    <w:rsid w:val="00A84E3B"/>
    <w:rsid w:val="00A85CA1"/>
    <w:rsid w:val="00A9346B"/>
    <w:rsid w:val="00AA23DB"/>
    <w:rsid w:val="00AA49A9"/>
    <w:rsid w:val="00AA6CFF"/>
    <w:rsid w:val="00AA79AE"/>
    <w:rsid w:val="00AB26B6"/>
    <w:rsid w:val="00AB48F6"/>
    <w:rsid w:val="00AC3472"/>
    <w:rsid w:val="00AC6D71"/>
    <w:rsid w:val="00AC74AD"/>
    <w:rsid w:val="00AD72DF"/>
    <w:rsid w:val="00B010AF"/>
    <w:rsid w:val="00B10D6D"/>
    <w:rsid w:val="00B37824"/>
    <w:rsid w:val="00B50251"/>
    <w:rsid w:val="00B50407"/>
    <w:rsid w:val="00B50EC0"/>
    <w:rsid w:val="00B52457"/>
    <w:rsid w:val="00B548D8"/>
    <w:rsid w:val="00B56366"/>
    <w:rsid w:val="00B613FF"/>
    <w:rsid w:val="00B644F9"/>
    <w:rsid w:val="00B712C7"/>
    <w:rsid w:val="00B77DCA"/>
    <w:rsid w:val="00B84997"/>
    <w:rsid w:val="00B84B24"/>
    <w:rsid w:val="00B90639"/>
    <w:rsid w:val="00B9597E"/>
    <w:rsid w:val="00BA1D1B"/>
    <w:rsid w:val="00BA40C7"/>
    <w:rsid w:val="00BA5474"/>
    <w:rsid w:val="00BC5A09"/>
    <w:rsid w:val="00BD5613"/>
    <w:rsid w:val="00BD6BBA"/>
    <w:rsid w:val="00BD7F22"/>
    <w:rsid w:val="00BE0F67"/>
    <w:rsid w:val="00BE5C3B"/>
    <w:rsid w:val="00C05F9B"/>
    <w:rsid w:val="00C06D26"/>
    <w:rsid w:val="00C13F5B"/>
    <w:rsid w:val="00C1553F"/>
    <w:rsid w:val="00C173B5"/>
    <w:rsid w:val="00C326A1"/>
    <w:rsid w:val="00C335A2"/>
    <w:rsid w:val="00C50249"/>
    <w:rsid w:val="00C553CA"/>
    <w:rsid w:val="00C568D0"/>
    <w:rsid w:val="00C62A9F"/>
    <w:rsid w:val="00C62D2E"/>
    <w:rsid w:val="00C63531"/>
    <w:rsid w:val="00C64085"/>
    <w:rsid w:val="00C70109"/>
    <w:rsid w:val="00C7119C"/>
    <w:rsid w:val="00C77951"/>
    <w:rsid w:val="00C938AA"/>
    <w:rsid w:val="00C96FD6"/>
    <w:rsid w:val="00CA095F"/>
    <w:rsid w:val="00CB1154"/>
    <w:rsid w:val="00CB3F4C"/>
    <w:rsid w:val="00CC434B"/>
    <w:rsid w:val="00CD4305"/>
    <w:rsid w:val="00CE59C5"/>
    <w:rsid w:val="00CF2574"/>
    <w:rsid w:val="00CF3E90"/>
    <w:rsid w:val="00D049A7"/>
    <w:rsid w:val="00D206B4"/>
    <w:rsid w:val="00D23E02"/>
    <w:rsid w:val="00D24DA4"/>
    <w:rsid w:val="00D2641D"/>
    <w:rsid w:val="00D37920"/>
    <w:rsid w:val="00D57289"/>
    <w:rsid w:val="00D61439"/>
    <w:rsid w:val="00D61523"/>
    <w:rsid w:val="00D64EE4"/>
    <w:rsid w:val="00D654B6"/>
    <w:rsid w:val="00D801C3"/>
    <w:rsid w:val="00D96505"/>
    <w:rsid w:val="00DA3B29"/>
    <w:rsid w:val="00DA7AA7"/>
    <w:rsid w:val="00DC1344"/>
    <w:rsid w:val="00DC2E77"/>
    <w:rsid w:val="00DD7B66"/>
    <w:rsid w:val="00DE381B"/>
    <w:rsid w:val="00DE4CA6"/>
    <w:rsid w:val="00DF1EB3"/>
    <w:rsid w:val="00DF3D86"/>
    <w:rsid w:val="00DF3DAE"/>
    <w:rsid w:val="00E36DC4"/>
    <w:rsid w:val="00E40784"/>
    <w:rsid w:val="00E45775"/>
    <w:rsid w:val="00E51BF1"/>
    <w:rsid w:val="00E54D75"/>
    <w:rsid w:val="00E552A4"/>
    <w:rsid w:val="00E64FDF"/>
    <w:rsid w:val="00E804E8"/>
    <w:rsid w:val="00E87910"/>
    <w:rsid w:val="00E90CB7"/>
    <w:rsid w:val="00EA2378"/>
    <w:rsid w:val="00EA4E6E"/>
    <w:rsid w:val="00EA61EF"/>
    <w:rsid w:val="00EB7E3A"/>
    <w:rsid w:val="00EC14D7"/>
    <w:rsid w:val="00EC1505"/>
    <w:rsid w:val="00EC4B86"/>
    <w:rsid w:val="00ED29E4"/>
    <w:rsid w:val="00ED2CD8"/>
    <w:rsid w:val="00ED3EB0"/>
    <w:rsid w:val="00ED6D1D"/>
    <w:rsid w:val="00EE121C"/>
    <w:rsid w:val="00EE309C"/>
    <w:rsid w:val="00EE75EC"/>
    <w:rsid w:val="00EF2B86"/>
    <w:rsid w:val="00EF7D01"/>
    <w:rsid w:val="00F135C6"/>
    <w:rsid w:val="00F21589"/>
    <w:rsid w:val="00F26DA6"/>
    <w:rsid w:val="00F34BAC"/>
    <w:rsid w:val="00F35785"/>
    <w:rsid w:val="00F4645D"/>
    <w:rsid w:val="00F728BF"/>
    <w:rsid w:val="00F8016D"/>
    <w:rsid w:val="00F85CC6"/>
    <w:rsid w:val="00F87087"/>
    <w:rsid w:val="00F90666"/>
    <w:rsid w:val="00FA59A4"/>
    <w:rsid w:val="00FB1CD5"/>
    <w:rsid w:val="00FB1DE1"/>
    <w:rsid w:val="00FB2D27"/>
    <w:rsid w:val="00FD7E21"/>
    <w:rsid w:val="00FE400C"/>
    <w:rsid w:val="00FE478E"/>
    <w:rsid w:val="00FE5C32"/>
    <w:rsid w:val="00FF1D07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F3EB"/>
  <w15:chartTrackingRefBased/>
  <w15:docId w15:val="{07260A04-0AB5-4C54-B4D8-D23563E0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7A5B6C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A5B6C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7A5B6C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7A5B6C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7A5B6C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F26DA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A1D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A2"/>
  </w:style>
  <w:style w:type="paragraph" w:styleId="Footer">
    <w:name w:val="footer"/>
    <w:basedOn w:val="Normal"/>
    <w:link w:val="FooterChar"/>
    <w:uiPriority w:val="99"/>
    <w:unhideWhenUsed/>
    <w:rsid w:val="00C3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A2"/>
  </w:style>
  <w:style w:type="table" w:styleId="TableGrid">
    <w:name w:val="Table Grid"/>
    <w:basedOn w:val="TableNormal"/>
    <w:uiPriority w:val="39"/>
    <w:rsid w:val="0047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6FC2"/>
    <w:pPr>
      <w:spacing w:after="0" w:line="240" w:lineRule="auto"/>
    </w:pPr>
  </w:style>
  <w:style w:type="paragraph" w:customStyle="1" w:styleId="SupplementaryMaterial">
    <w:name w:val="Supplementary Material"/>
    <w:basedOn w:val="Title"/>
    <w:next w:val="Title"/>
    <w:qFormat/>
    <w:rsid w:val="007A5B6C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A5B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A5B6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7A5B6C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A5B6C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A5B6C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A5B6C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A5B6C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numbering" w:customStyle="1" w:styleId="Headings">
    <w:name w:val="Headings"/>
    <w:uiPriority w:val="99"/>
    <w:rsid w:val="007A5B6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A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angj36@suste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2ADD15E-42C2-4B43-B96B-41A767540E1C}">
  <we:reference id="wa200003478" version="1.0.0.0" store="en-US" storeType="OMEX"/>
  <we:alternateReferences>
    <we:reference id="wa200003478" version="1.0.0.0" store="en-US" storeType="OMEX"/>
  </we:alternateReferences>
  <we:properties>
    <we:property name="draftId" value="&quot;ac34b772-3bd6-4847-82ac-50c828034fc1&quot;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869CEF5-84B8-424B-9EE8-ACABD6F16E8B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Sina Sadeghzadeh</cp:lastModifiedBy>
  <cp:revision>108</cp:revision>
  <dcterms:created xsi:type="dcterms:W3CDTF">2022-05-10T09:02:00Z</dcterms:created>
  <dcterms:modified xsi:type="dcterms:W3CDTF">2023-05-08T19:41:00Z</dcterms:modified>
</cp:coreProperties>
</file>