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EEE6" w14:textId="292FF6D1" w:rsidR="00654E8F" w:rsidRDefault="00654E8F" w:rsidP="00680917">
      <w:pPr>
        <w:pStyle w:val="SupplementaryMaterial"/>
        <w:jc w:val="both"/>
      </w:pPr>
      <w:r w:rsidRPr="001549D3">
        <w:t>Supplementary Material</w:t>
      </w:r>
    </w:p>
    <w:p w14:paraId="301C7C6E" w14:textId="43416D62" w:rsidR="00BF4479" w:rsidRDefault="00A226CC" w:rsidP="00680917">
      <w:pPr>
        <w:jc w:val="both"/>
      </w:pPr>
      <w:r w:rsidRPr="00A226CC">
        <w:t xml:space="preserve">This section relies on </w:t>
      </w:r>
      <w:r>
        <w:t xml:space="preserve">the Annex 1 and 2 </w:t>
      </w:r>
      <w:r w:rsidRPr="00A226CC">
        <w:t xml:space="preserve">in </w:t>
      </w:r>
      <w:r>
        <w:t>Schiavo et al.</w:t>
      </w:r>
      <w:r w:rsidRPr="00A226CC">
        <w:t xml:space="preserve"> (20</w:t>
      </w:r>
      <w:r>
        <w:t>21</w:t>
      </w:r>
      <w:r w:rsidRPr="00A226CC">
        <w:t>)</w:t>
      </w:r>
      <w:r>
        <w:t>, and on the Supplementary Materials in Mora et al. (202</w:t>
      </w:r>
      <w:r w:rsidR="00EE4A87">
        <w:t>0</w:t>
      </w:r>
      <w:r>
        <w:t>)</w:t>
      </w:r>
      <w:r w:rsidR="000B5D20">
        <w:t>.</w:t>
      </w:r>
    </w:p>
    <w:p w14:paraId="038B2A6C" w14:textId="57B99404" w:rsidR="00BF4479" w:rsidRDefault="00BF4479" w:rsidP="00680917">
      <w:pPr>
        <w:jc w:val="both"/>
        <w:rPr>
          <w:b/>
          <w:bCs/>
          <w:lang w:val="en-GB"/>
        </w:rPr>
      </w:pPr>
      <w:bookmarkStart w:id="0" w:name="_Toc46743568"/>
      <w:bookmarkStart w:id="1" w:name="_Toc73545182"/>
      <w:r w:rsidRPr="00BF4479">
        <w:rPr>
          <w:b/>
          <w:bCs/>
          <w:lang w:val="en-GB"/>
        </w:rPr>
        <w:t>DETAILED AGRIMONDE TERRA SCENARIOS</w:t>
      </w:r>
      <w:bookmarkEnd w:id="0"/>
      <w:bookmarkEnd w:id="1"/>
    </w:p>
    <w:p w14:paraId="3929486F" w14:textId="61457A46" w:rsidR="002919BF" w:rsidRDefault="002919BF" w:rsidP="002919BF">
      <w:pPr>
        <w:jc w:val="both"/>
        <w:rPr>
          <w:b/>
          <w:bCs/>
          <w:lang w:val="en-GB"/>
        </w:rPr>
      </w:pPr>
      <w:bookmarkStart w:id="2" w:name="_Ref68793508"/>
      <w:bookmarkStart w:id="3" w:name="_Toc73545228"/>
      <w:r>
        <w:t xml:space="preserve">Table S1 </w:t>
      </w:r>
      <w:r w:rsidRPr="00A44E2F">
        <w:t>presents the qualitative hypotheses of change of drivers to 2050 involved in the Metropolization_Ultrap and the Healthy_AE scenarios.</w:t>
      </w:r>
      <w:r>
        <w:t xml:space="preserve"> </w:t>
      </w:r>
      <w:r w:rsidRPr="00A44E2F">
        <w:t>Ea</w:t>
      </w:r>
      <w:r>
        <w:t>ch component of both scenarios is</w:t>
      </w:r>
      <w:r w:rsidRPr="00A44E2F">
        <w:t xml:space="preserve"> presented in more details</w:t>
      </w:r>
      <w:r>
        <w:t xml:space="preserve"> in the following sections.</w:t>
      </w:r>
    </w:p>
    <w:p w14:paraId="042F9467" w14:textId="7FC81061" w:rsidR="002919BF" w:rsidRPr="00DA77D2" w:rsidRDefault="002919BF" w:rsidP="002919BF">
      <w:pPr>
        <w:jc w:val="both"/>
        <w:rPr>
          <w:b/>
          <w:bCs/>
          <w:lang w:val="en-GB"/>
        </w:rPr>
      </w:pPr>
      <w:r w:rsidRPr="00DA77D2">
        <w:rPr>
          <w:b/>
          <w:bCs/>
          <w:lang w:val="en-GB"/>
        </w:rPr>
        <w:t xml:space="preserve">Table </w:t>
      </w:r>
      <w:r>
        <w:rPr>
          <w:b/>
          <w:bCs/>
          <w:lang w:val="en-GB"/>
        </w:rPr>
        <w:t>S</w:t>
      </w:r>
      <w:r w:rsidRPr="00DA77D2">
        <w:rPr>
          <w:b/>
          <w:bCs/>
          <w:lang w:val="en-GB"/>
        </w:rPr>
        <w:fldChar w:fldCharType="begin"/>
      </w:r>
      <w:r w:rsidRPr="00DA77D2">
        <w:rPr>
          <w:b/>
          <w:bCs/>
          <w:lang w:val="en-GB"/>
        </w:rPr>
        <w:instrText xml:space="preserve"> SEQ Table \* ARABIC </w:instrText>
      </w:r>
      <w:r w:rsidRPr="00DA77D2">
        <w:rPr>
          <w:b/>
          <w:bCs/>
          <w:lang w:val="en-GB"/>
        </w:rPr>
        <w:fldChar w:fldCharType="separate"/>
      </w:r>
      <w:r>
        <w:rPr>
          <w:b/>
          <w:bCs/>
          <w:noProof/>
          <w:lang w:val="en-GB"/>
        </w:rPr>
        <w:t>1</w:t>
      </w:r>
      <w:r w:rsidRPr="00DA77D2">
        <w:fldChar w:fldCharType="end"/>
      </w:r>
      <w:bookmarkEnd w:id="2"/>
      <w:r w:rsidRPr="00DA77D2">
        <w:rPr>
          <w:b/>
          <w:bCs/>
          <w:lang w:val="en-GB"/>
        </w:rPr>
        <w:t>. Hypotheses of change to 2050 of drivers in both Metropolization_Ultrap and Healthy_AE</w:t>
      </w:r>
      <w:bookmarkEnd w:id="3"/>
    </w:p>
    <w:tbl>
      <w:tblPr>
        <w:tblStyle w:val="Grilledutableau1"/>
        <w:tblW w:w="0" w:type="auto"/>
        <w:tblLook w:val="04A0" w:firstRow="1" w:lastRow="0" w:firstColumn="1" w:lastColumn="0" w:noHBand="0" w:noVBand="1"/>
      </w:tblPr>
      <w:tblGrid>
        <w:gridCol w:w="1980"/>
        <w:gridCol w:w="3402"/>
        <w:gridCol w:w="3680"/>
      </w:tblGrid>
      <w:tr w:rsidR="002919BF" w:rsidRPr="00DA77D2" w14:paraId="34DB8289" w14:textId="77777777" w:rsidTr="00C42B8A">
        <w:tc>
          <w:tcPr>
            <w:tcW w:w="1980" w:type="dxa"/>
          </w:tcPr>
          <w:p w14:paraId="305CF163" w14:textId="77777777" w:rsidR="002919BF" w:rsidRPr="00DA77D2" w:rsidRDefault="002919BF" w:rsidP="00C42B8A">
            <w:pPr>
              <w:rPr>
                <w:lang w:val="en-US"/>
              </w:rPr>
            </w:pPr>
          </w:p>
        </w:tc>
        <w:tc>
          <w:tcPr>
            <w:tcW w:w="3402" w:type="dxa"/>
          </w:tcPr>
          <w:p w14:paraId="78A51EC1" w14:textId="77777777" w:rsidR="002919BF" w:rsidRPr="00DA77D2" w:rsidRDefault="002919BF" w:rsidP="00C42B8A">
            <w:pPr>
              <w:rPr>
                <w:b/>
                <w:lang w:val="en-GB"/>
              </w:rPr>
            </w:pPr>
            <w:r w:rsidRPr="00DA77D2">
              <w:rPr>
                <w:b/>
                <w:lang w:val="en-GB"/>
              </w:rPr>
              <w:t>Metropolization_Ultrap</w:t>
            </w:r>
          </w:p>
        </w:tc>
        <w:tc>
          <w:tcPr>
            <w:tcW w:w="3680" w:type="dxa"/>
          </w:tcPr>
          <w:p w14:paraId="7199D05D" w14:textId="77777777" w:rsidR="002919BF" w:rsidRPr="00DA77D2" w:rsidRDefault="002919BF" w:rsidP="00C42B8A">
            <w:pPr>
              <w:rPr>
                <w:b/>
                <w:lang w:val="en-GB"/>
              </w:rPr>
            </w:pPr>
            <w:r w:rsidRPr="00DA77D2">
              <w:rPr>
                <w:b/>
                <w:lang w:val="en-GB"/>
              </w:rPr>
              <w:t>Healthy_AE</w:t>
            </w:r>
          </w:p>
        </w:tc>
      </w:tr>
      <w:tr w:rsidR="002919BF" w:rsidRPr="00DA77D2" w14:paraId="32CF8213" w14:textId="77777777" w:rsidTr="00C42B8A">
        <w:tc>
          <w:tcPr>
            <w:tcW w:w="1980" w:type="dxa"/>
          </w:tcPr>
          <w:p w14:paraId="642B9A42" w14:textId="77777777" w:rsidR="002919BF" w:rsidRPr="00DA77D2" w:rsidRDefault="002919BF" w:rsidP="00C42B8A">
            <w:pPr>
              <w:rPr>
                <w:lang w:val="en-US"/>
              </w:rPr>
            </w:pPr>
            <w:r w:rsidRPr="00DA77D2">
              <w:rPr>
                <w:lang w:val="en-US"/>
              </w:rPr>
              <w:t>Global context</w:t>
            </w:r>
          </w:p>
        </w:tc>
        <w:tc>
          <w:tcPr>
            <w:tcW w:w="3402" w:type="dxa"/>
          </w:tcPr>
          <w:p w14:paraId="77C9C3AB" w14:textId="77777777" w:rsidR="002919BF" w:rsidRPr="00DA77D2" w:rsidRDefault="002919BF" w:rsidP="00C42B8A">
            <w:pPr>
              <w:rPr>
                <w:lang w:val="en-GB"/>
              </w:rPr>
            </w:pPr>
            <w:r w:rsidRPr="00DA77D2">
              <w:rPr>
                <w:lang w:val="en-GB"/>
              </w:rPr>
              <w:t>Conventional development lead by market forces</w:t>
            </w:r>
          </w:p>
        </w:tc>
        <w:tc>
          <w:tcPr>
            <w:tcW w:w="3680" w:type="dxa"/>
          </w:tcPr>
          <w:p w14:paraId="12647454" w14:textId="77777777" w:rsidR="002919BF" w:rsidRPr="00DA77D2" w:rsidRDefault="002919BF" w:rsidP="00C42B8A">
            <w:pPr>
              <w:rPr>
                <w:lang w:val="en-GB"/>
              </w:rPr>
            </w:pPr>
            <w:r w:rsidRPr="00DA77D2">
              <w:rPr>
                <w:lang w:val="en-GB"/>
              </w:rPr>
              <w:t>Sustainable and cooperative world</w:t>
            </w:r>
          </w:p>
        </w:tc>
      </w:tr>
      <w:tr w:rsidR="002919BF" w:rsidRPr="00DA77D2" w14:paraId="100FC3F6" w14:textId="77777777" w:rsidTr="00C42B8A">
        <w:tc>
          <w:tcPr>
            <w:tcW w:w="1980" w:type="dxa"/>
          </w:tcPr>
          <w:p w14:paraId="5DBDD849" w14:textId="77777777" w:rsidR="002919BF" w:rsidRPr="00DA77D2" w:rsidRDefault="002919BF" w:rsidP="00C42B8A">
            <w:pPr>
              <w:rPr>
                <w:lang w:val="en-GB"/>
              </w:rPr>
            </w:pPr>
            <w:r w:rsidRPr="00DA77D2">
              <w:rPr>
                <w:lang w:val="en-GB"/>
              </w:rPr>
              <w:t>Climate change</w:t>
            </w:r>
          </w:p>
        </w:tc>
        <w:tc>
          <w:tcPr>
            <w:tcW w:w="3402" w:type="dxa"/>
          </w:tcPr>
          <w:p w14:paraId="571F4A00" w14:textId="77777777" w:rsidR="002919BF" w:rsidRPr="00DA77D2" w:rsidRDefault="002919BF" w:rsidP="00C42B8A">
            <w:pPr>
              <w:rPr>
                <w:lang w:val="en-GB"/>
              </w:rPr>
            </w:pPr>
            <w:r w:rsidRPr="00DA77D2">
              <w:rPr>
                <w:lang w:val="en-GB"/>
              </w:rPr>
              <w:t>Runaway climate change</w:t>
            </w:r>
          </w:p>
        </w:tc>
        <w:tc>
          <w:tcPr>
            <w:tcW w:w="3680" w:type="dxa"/>
          </w:tcPr>
          <w:p w14:paraId="6666C7E7" w14:textId="77777777" w:rsidR="002919BF" w:rsidRPr="00DA77D2" w:rsidRDefault="002919BF" w:rsidP="00C42B8A">
            <w:pPr>
              <w:rPr>
                <w:lang w:val="en-GB"/>
              </w:rPr>
            </w:pPr>
            <w:r w:rsidRPr="00DA77D2">
              <w:rPr>
                <w:lang w:val="en-GB"/>
              </w:rPr>
              <w:t>Stabilization of global warming</w:t>
            </w:r>
          </w:p>
        </w:tc>
      </w:tr>
      <w:tr w:rsidR="002919BF" w:rsidRPr="00DA77D2" w14:paraId="67DBD2FC" w14:textId="77777777" w:rsidTr="00C42B8A">
        <w:tc>
          <w:tcPr>
            <w:tcW w:w="1980" w:type="dxa"/>
          </w:tcPr>
          <w:p w14:paraId="47DD5C14" w14:textId="77777777" w:rsidR="002919BF" w:rsidRPr="00DA77D2" w:rsidRDefault="002919BF" w:rsidP="00C42B8A">
            <w:pPr>
              <w:rPr>
                <w:lang w:val="en-GB"/>
              </w:rPr>
            </w:pPr>
            <w:r w:rsidRPr="00DA77D2">
              <w:rPr>
                <w:lang w:val="en-GB"/>
              </w:rPr>
              <w:t>Food Diet</w:t>
            </w:r>
          </w:p>
        </w:tc>
        <w:tc>
          <w:tcPr>
            <w:tcW w:w="3402" w:type="dxa"/>
          </w:tcPr>
          <w:p w14:paraId="12224F73" w14:textId="77777777" w:rsidR="002919BF" w:rsidRPr="00DA77D2" w:rsidRDefault="002919BF" w:rsidP="00C42B8A">
            <w:pPr>
              <w:rPr>
                <w:lang w:val="en-GB"/>
              </w:rPr>
            </w:pPr>
            <w:r w:rsidRPr="00DA77D2">
              <w:rPr>
                <w:lang w:val="en-GB"/>
              </w:rPr>
              <w:t>Transition to diet based on ultra-processed products (</w:t>
            </w:r>
            <w:proofErr w:type="spellStart"/>
            <w:r w:rsidRPr="00DA77D2">
              <w:rPr>
                <w:lang w:val="en-GB"/>
              </w:rPr>
              <w:t>Ultrap</w:t>
            </w:r>
            <w:proofErr w:type="spellEnd"/>
            <w:r w:rsidRPr="00DA77D2">
              <w:rPr>
                <w:lang w:val="en-GB"/>
              </w:rPr>
              <w:t xml:space="preserve"> diet)</w:t>
            </w:r>
          </w:p>
        </w:tc>
        <w:tc>
          <w:tcPr>
            <w:tcW w:w="3680" w:type="dxa"/>
          </w:tcPr>
          <w:p w14:paraId="494E9CA2" w14:textId="77777777" w:rsidR="002919BF" w:rsidRPr="00DA77D2" w:rsidRDefault="002919BF" w:rsidP="00C42B8A">
            <w:pPr>
              <w:rPr>
                <w:lang w:val="en-GB"/>
              </w:rPr>
            </w:pPr>
            <w:r w:rsidRPr="00DA77D2">
              <w:rPr>
                <w:lang w:val="en-GB"/>
              </w:rPr>
              <w:t>Healthy diet based on food diversity (Healthy diet)</w:t>
            </w:r>
          </w:p>
        </w:tc>
      </w:tr>
      <w:tr w:rsidR="00102463" w:rsidRPr="00DA77D2" w14:paraId="59CE8BC2" w14:textId="77777777" w:rsidTr="00C42B8A">
        <w:tc>
          <w:tcPr>
            <w:tcW w:w="1980" w:type="dxa"/>
          </w:tcPr>
          <w:p w14:paraId="017F64D2" w14:textId="6511C8F4" w:rsidR="00102463" w:rsidRPr="00DA77D2" w:rsidRDefault="00102463" w:rsidP="00102463">
            <w:pPr>
              <w:rPr>
                <w:lang w:val="en-GB"/>
              </w:rPr>
            </w:pPr>
            <w:r w:rsidRPr="00DA77D2">
              <w:rPr>
                <w:lang w:val="en-GB"/>
              </w:rPr>
              <w:t>Cropping system</w:t>
            </w:r>
          </w:p>
        </w:tc>
        <w:tc>
          <w:tcPr>
            <w:tcW w:w="3402" w:type="dxa"/>
          </w:tcPr>
          <w:p w14:paraId="0F4B8FE1" w14:textId="76572E5A" w:rsidR="00102463" w:rsidRPr="00DA77D2" w:rsidRDefault="00102463" w:rsidP="00102463">
            <w:pPr>
              <w:rPr>
                <w:lang w:val="en-GB"/>
              </w:rPr>
            </w:pPr>
            <w:r w:rsidRPr="00DA77D2">
              <w:rPr>
                <w:lang w:val="en-GB"/>
              </w:rPr>
              <w:t>Conventional intensification</w:t>
            </w:r>
          </w:p>
        </w:tc>
        <w:tc>
          <w:tcPr>
            <w:tcW w:w="3680" w:type="dxa"/>
          </w:tcPr>
          <w:p w14:paraId="60DB5812" w14:textId="099A1A40" w:rsidR="00102463" w:rsidRPr="00DA77D2" w:rsidRDefault="00102463" w:rsidP="00102463">
            <w:pPr>
              <w:rPr>
                <w:lang w:val="en-GB"/>
              </w:rPr>
            </w:pPr>
            <w:r w:rsidRPr="00DA77D2">
              <w:rPr>
                <w:lang w:val="en-GB"/>
              </w:rPr>
              <w:t>Agroecology</w:t>
            </w:r>
          </w:p>
        </w:tc>
      </w:tr>
      <w:tr w:rsidR="00102463" w:rsidRPr="00DA77D2" w14:paraId="0D8B2D12" w14:textId="77777777" w:rsidTr="00C42B8A">
        <w:tc>
          <w:tcPr>
            <w:tcW w:w="1980" w:type="dxa"/>
          </w:tcPr>
          <w:p w14:paraId="7739E91B" w14:textId="77777777" w:rsidR="00102463" w:rsidRPr="00DA77D2" w:rsidRDefault="00102463" w:rsidP="00102463">
            <w:pPr>
              <w:rPr>
                <w:lang w:val="en-GB"/>
              </w:rPr>
            </w:pPr>
            <w:r w:rsidRPr="00DA77D2">
              <w:rPr>
                <w:lang w:val="en-GB"/>
              </w:rPr>
              <w:t>Livestock system</w:t>
            </w:r>
          </w:p>
        </w:tc>
        <w:tc>
          <w:tcPr>
            <w:tcW w:w="3402" w:type="dxa"/>
          </w:tcPr>
          <w:p w14:paraId="03B0AFAB" w14:textId="77777777" w:rsidR="00102463" w:rsidRPr="00DA77D2" w:rsidRDefault="00102463" w:rsidP="00102463">
            <w:pPr>
              <w:rPr>
                <w:lang w:val="en-GB"/>
              </w:rPr>
            </w:pPr>
            <w:r w:rsidRPr="00DA77D2">
              <w:rPr>
                <w:lang w:val="en-GB"/>
              </w:rPr>
              <w:t>Conventional intensive livestock</w:t>
            </w:r>
          </w:p>
        </w:tc>
        <w:tc>
          <w:tcPr>
            <w:tcW w:w="3680" w:type="dxa"/>
          </w:tcPr>
          <w:p w14:paraId="2C4FD42A" w14:textId="77777777" w:rsidR="00102463" w:rsidRPr="00DA77D2" w:rsidRDefault="00102463" w:rsidP="00102463">
            <w:pPr>
              <w:rPr>
                <w:lang w:val="en-GB"/>
              </w:rPr>
            </w:pPr>
            <w:r w:rsidRPr="00DA77D2">
              <w:rPr>
                <w:lang w:val="en-GB"/>
              </w:rPr>
              <w:t xml:space="preserve">Agroecological livestock </w:t>
            </w:r>
          </w:p>
        </w:tc>
      </w:tr>
    </w:tbl>
    <w:p w14:paraId="5AD54C8C" w14:textId="77777777" w:rsidR="002919BF" w:rsidRPr="00BF4479" w:rsidRDefault="002919BF" w:rsidP="00680917">
      <w:pPr>
        <w:jc w:val="both"/>
        <w:rPr>
          <w:b/>
          <w:bCs/>
          <w:lang w:val="en-GB"/>
        </w:rPr>
      </w:pPr>
    </w:p>
    <w:p w14:paraId="0CE72D08" w14:textId="77777777" w:rsidR="00BF4479" w:rsidRPr="00BF4479" w:rsidRDefault="00BF4479" w:rsidP="00680917">
      <w:pPr>
        <w:jc w:val="both"/>
        <w:rPr>
          <w:b/>
          <w:bCs/>
          <w:lang w:val="en-GB"/>
        </w:rPr>
      </w:pPr>
      <w:bookmarkStart w:id="4" w:name="_Toc73545183"/>
      <w:r w:rsidRPr="00BF4479">
        <w:rPr>
          <w:b/>
          <w:bCs/>
          <w:lang w:val="en-GB"/>
        </w:rPr>
        <w:t>Global context</w:t>
      </w:r>
      <w:bookmarkEnd w:id="4"/>
    </w:p>
    <w:p w14:paraId="1BB73D70" w14:textId="77777777" w:rsidR="00BF4479" w:rsidRPr="00BF4479" w:rsidRDefault="00BF4479" w:rsidP="00680917">
      <w:pPr>
        <w:jc w:val="both"/>
        <w:rPr>
          <w:lang w:val="en-GB"/>
        </w:rPr>
      </w:pPr>
      <w:r w:rsidRPr="00BF4479">
        <w:rPr>
          <w:lang w:val="en-GB"/>
        </w:rPr>
        <w:t xml:space="preserve">Regarding the global context, quantitative assumptions concern population change and change in trade conditions. Change in GDP (gross domestic product) per capita is implicitly </w:t>
      </w:r>
      <w:proofErr w:type="gramStart"/>
      <w:r w:rsidRPr="00BF4479">
        <w:rPr>
          <w:lang w:val="en-GB"/>
        </w:rPr>
        <w:t>taken into account</w:t>
      </w:r>
      <w:proofErr w:type="gramEnd"/>
      <w:r w:rsidRPr="00BF4479">
        <w:rPr>
          <w:lang w:val="en-GB"/>
        </w:rPr>
        <w:t xml:space="preserve"> through its impact on food diet change (see hereafter). The general rules for building these quantitative assumptions are the following:</w:t>
      </w:r>
    </w:p>
    <w:p w14:paraId="5FBCA7A2" w14:textId="77777777" w:rsidR="00BF4479" w:rsidRPr="00BF4479" w:rsidRDefault="00BF4479" w:rsidP="00680917">
      <w:pPr>
        <w:jc w:val="both"/>
        <w:rPr>
          <w:lang w:val="en-GB"/>
        </w:rPr>
      </w:pPr>
      <w:r w:rsidRPr="00BF4479">
        <w:rPr>
          <w:lang w:val="en-GB"/>
        </w:rPr>
        <w:t>- Changes in total world and regional population are the same in both global context pathways. The median projection up to 2050 provided by the United Nations (2015 revision) is used.</w:t>
      </w:r>
    </w:p>
    <w:p w14:paraId="6377E9A9" w14:textId="39EE3445" w:rsidR="00BF4479" w:rsidRPr="00BF4479" w:rsidRDefault="00BF4479" w:rsidP="00680917">
      <w:pPr>
        <w:jc w:val="both"/>
        <w:rPr>
          <w:lang w:val="en-GB"/>
        </w:rPr>
      </w:pPr>
      <w:r w:rsidRPr="00BF4479">
        <w:rPr>
          <w:lang w:val="en-GB"/>
        </w:rPr>
        <w:lastRenderedPageBreak/>
        <w:t>- Import coefficients</w:t>
      </w:r>
      <w:r w:rsidRPr="00BF4479">
        <w:rPr>
          <w:vertAlign w:val="superscript"/>
          <w:lang w:val="en-GB"/>
        </w:rPr>
        <w:footnoteReference w:id="1"/>
      </w:r>
      <w:r w:rsidRPr="00BF4479">
        <w:rPr>
          <w:lang w:val="en-GB"/>
        </w:rPr>
        <w:t xml:space="preserve"> and export shares</w:t>
      </w:r>
      <w:r w:rsidRPr="00BF4479">
        <w:rPr>
          <w:vertAlign w:val="superscript"/>
          <w:lang w:val="en-GB"/>
        </w:rPr>
        <w:footnoteReference w:id="2"/>
      </w:r>
      <w:r w:rsidRPr="00BF4479">
        <w:rPr>
          <w:lang w:val="en-GB"/>
        </w:rPr>
        <w:t xml:space="preserve"> of world regions are not changed exogenously whatever the global context pathway. They may change endogenously when a region reaches its maximum cultivable area.</w:t>
      </w:r>
    </w:p>
    <w:p w14:paraId="0A4BE33F" w14:textId="77777777" w:rsidR="00BF4479" w:rsidRPr="00BF4479" w:rsidRDefault="00BF4479" w:rsidP="00680917">
      <w:pPr>
        <w:jc w:val="both"/>
        <w:rPr>
          <w:b/>
          <w:bCs/>
          <w:lang w:val="en-GB"/>
        </w:rPr>
      </w:pPr>
      <w:bookmarkStart w:id="5" w:name="_Toc73545184"/>
      <w:r w:rsidRPr="00BF4479">
        <w:rPr>
          <w:b/>
          <w:bCs/>
          <w:lang w:val="en-GB"/>
        </w:rPr>
        <w:t>Climate change and mitigation</w:t>
      </w:r>
      <w:bookmarkEnd w:id="5"/>
    </w:p>
    <w:p w14:paraId="1C599C1D" w14:textId="77777777" w:rsidR="00BF4479" w:rsidRPr="00BF4479" w:rsidRDefault="00BF4479" w:rsidP="00680917">
      <w:pPr>
        <w:jc w:val="both"/>
        <w:rPr>
          <w:lang w:val="en-GB"/>
        </w:rPr>
      </w:pPr>
      <w:r w:rsidRPr="00BF4479">
        <w:rPr>
          <w:lang w:val="en-GB"/>
        </w:rPr>
        <w:t>Climate change patterns to 2050 are described through two pathways, inspired from the Representation Concentration Pathways (RCP) of the fifth assessment report of the IPCC (Intergovernmental Panel on Climate Change): ‘Runaway climate change’ (close to RCP 8.5) for Metropolization_Ultrap and ‘Stabilisation of global warming’ (close to RCP 2.6) for Healthy_AE.</w:t>
      </w:r>
    </w:p>
    <w:p w14:paraId="34C6CF2A" w14:textId="77777777" w:rsidR="00BF4479" w:rsidRPr="00BF4479" w:rsidRDefault="00BF4479" w:rsidP="00680917">
      <w:pPr>
        <w:jc w:val="both"/>
        <w:rPr>
          <w:lang w:val="en-GB"/>
        </w:rPr>
      </w:pPr>
      <w:r w:rsidRPr="00BF4479">
        <w:rPr>
          <w:lang w:val="en-GB"/>
        </w:rPr>
        <w:t>The general rules for building the corresponding quantitative assumptions are as follows:</w:t>
      </w:r>
    </w:p>
    <w:p w14:paraId="4A0654CD" w14:textId="77777777" w:rsidR="00BF4479" w:rsidRPr="00BF4479" w:rsidRDefault="00BF4479" w:rsidP="00680917">
      <w:pPr>
        <w:jc w:val="both"/>
        <w:rPr>
          <w:lang w:val="en-GB"/>
        </w:rPr>
      </w:pPr>
      <w:r w:rsidRPr="00BF4479">
        <w:rPr>
          <w:lang w:val="en-GB"/>
        </w:rPr>
        <w:t xml:space="preserve">- We assume that in the 2007-2009 (named ‘2010’ for simplicity) initial situation, the maximum cultivable area (i.e., the maximum area which can be devoted to arable and permanent crops) in each region equals the area under suitability indices 1 to 4 according to the Global Agroecological Zones (GAEZ) approach. </w:t>
      </w:r>
      <w:r w:rsidRPr="00BF4479">
        <w:rPr>
          <w:vertAlign w:val="superscript"/>
          <w:lang w:val="en-GB"/>
        </w:rPr>
        <w:footnoteReference w:id="3"/>
      </w:r>
      <w:r w:rsidRPr="00BF4479">
        <w:rPr>
          <w:lang w:val="en-GB"/>
        </w:rPr>
        <w:t xml:space="preserve"> </w:t>
      </w:r>
    </w:p>
    <w:p w14:paraId="6FF00E71" w14:textId="77777777" w:rsidR="00BF4479" w:rsidRPr="00BF4479" w:rsidRDefault="00BF4479" w:rsidP="00680917">
      <w:pPr>
        <w:jc w:val="both"/>
        <w:rPr>
          <w:lang w:val="en-GB"/>
        </w:rPr>
      </w:pPr>
      <w:r w:rsidRPr="00BF4479">
        <w:rPr>
          <w:lang w:val="en-GB"/>
        </w:rPr>
        <w:t xml:space="preserve">- We assume that up to 2050, this maximum cultivable area is affected by climate change. To quantify the climate change effects we use Zabel </w:t>
      </w:r>
      <w:r w:rsidRPr="00BF4479">
        <w:rPr>
          <w:i/>
          <w:iCs/>
          <w:lang w:val="en-GB"/>
        </w:rPr>
        <w:t>et al.</w:t>
      </w:r>
      <w:r w:rsidRPr="00BF4479">
        <w:rPr>
          <w:lang w:val="en-GB"/>
        </w:rPr>
        <w:t xml:space="preserve"> (2014)’s results and adopt the following assumptions: </w:t>
      </w:r>
      <w:proofErr w:type="spellStart"/>
      <w:r w:rsidRPr="00BF4479">
        <w:rPr>
          <w:lang w:val="en-GB"/>
        </w:rPr>
        <w:t>i</w:t>
      </w:r>
      <w:proofErr w:type="spellEnd"/>
      <w:r w:rsidRPr="00BF4479">
        <w:rPr>
          <w:lang w:val="en-GB"/>
        </w:rPr>
        <w:t xml:space="preserve">) change according to Zabel </w:t>
      </w:r>
      <w:r w:rsidRPr="00BF4479">
        <w:rPr>
          <w:i/>
          <w:iCs/>
          <w:lang w:val="en-GB"/>
        </w:rPr>
        <w:t>et al.</w:t>
      </w:r>
      <w:r w:rsidRPr="00BF4479">
        <w:rPr>
          <w:lang w:val="en-GB"/>
        </w:rPr>
        <w:t>’s results (RCP 8.5) in the ‘Runaway climate change’ pathway; ii) no change in the ‘Stabilization of global warming’ pathway.</w:t>
      </w:r>
    </w:p>
    <w:p w14:paraId="6766FA50" w14:textId="77777777" w:rsidR="00BF4479" w:rsidRPr="00BF4479" w:rsidRDefault="00BF4479" w:rsidP="00680917">
      <w:pPr>
        <w:jc w:val="both"/>
        <w:rPr>
          <w:lang w:val="en-GB"/>
        </w:rPr>
      </w:pPr>
      <w:r w:rsidRPr="00BF4479">
        <w:rPr>
          <w:lang w:val="en-GB"/>
        </w:rPr>
        <w:t xml:space="preserve">- We assume that climate change is likely to affect the evolution of crop yields induced by changes in cropping systems up to 2050. For quantifying the climate change effects on crop yield evolution, we use Müller and Robertson (2014)’s results and adopt the following hypotheses: </w:t>
      </w:r>
      <w:proofErr w:type="spellStart"/>
      <w:r w:rsidRPr="00BF4479">
        <w:rPr>
          <w:lang w:val="en-GB"/>
        </w:rPr>
        <w:t>i</w:t>
      </w:r>
      <w:proofErr w:type="spellEnd"/>
      <w:r w:rsidRPr="00BF4479">
        <w:rPr>
          <w:lang w:val="en-GB"/>
        </w:rPr>
        <w:t>) change according to Müller and Robertson’s results (RCP 8.5) in the ‘Runaway climate change’ pathway; ii) no change in the ‘Stabilization of global warming’ pathway.</w:t>
      </w:r>
    </w:p>
    <w:p w14:paraId="749DB33D" w14:textId="77777777" w:rsidR="00BF4479" w:rsidRPr="00BF4479" w:rsidRDefault="00BF4479" w:rsidP="00680917">
      <w:pPr>
        <w:jc w:val="both"/>
        <w:rPr>
          <w:lang w:val="en-GB"/>
        </w:rPr>
      </w:pPr>
      <w:r w:rsidRPr="00BF4479">
        <w:rPr>
          <w:lang w:val="en-GB"/>
        </w:rPr>
        <w:t>- Due to data uncertainties and absence of consensus in the literature, we did not establish quantitative hypotheses on the impact of climate change and mitigation pathways on grass and forage yield change, nor on livestock productivity change.</w:t>
      </w:r>
    </w:p>
    <w:p w14:paraId="60F225BE" w14:textId="6C240D01" w:rsidR="00BF4479" w:rsidRPr="00BF4479" w:rsidRDefault="00BF4479" w:rsidP="00680917">
      <w:pPr>
        <w:jc w:val="both"/>
        <w:rPr>
          <w:lang w:val="en-GB"/>
        </w:rPr>
      </w:pPr>
      <w:r w:rsidRPr="00BF4479">
        <w:rPr>
          <w:lang w:val="en-GB"/>
        </w:rPr>
        <w:t xml:space="preserve">- Quantitative mitigation </w:t>
      </w:r>
      <w:r w:rsidRPr="001C6176">
        <w:rPr>
          <w:lang w:val="en-GB"/>
        </w:rPr>
        <w:t>hypotheses (</w:t>
      </w:r>
      <w:r w:rsidRPr="001C6176">
        <w:rPr>
          <w:lang w:val="en-GB"/>
        </w:rPr>
        <w:fldChar w:fldCharType="begin"/>
      </w:r>
      <w:r w:rsidRPr="001C6176">
        <w:rPr>
          <w:lang w:val="en-GB"/>
        </w:rPr>
        <w:instrText xml:space="preserve"> REF _Ref68794186 \h </w:instrText>
      </w:r>
      <w:r w:rsidR="00680917" w:rsidRPr="001C6176">
        <w:rPr>
          <w:lang w:val="en-GB"/>
        </w:rPr>
        <w:instrText xml:space="preserve"> \* MERGEFORMAT </w:instrText>
      </w:r>
      <w:r w:rsidRPr="001C6176">
        <w:rPr>
          <w:lang w:val="en-GB"/>
        </w:rPr>
      </w:r>
      <w:r w:rsidRPr="001C6176">
        <w:rPr>
          <w:lang w:val="en-GB"/>
        </w:rPr>
        <w:fldChar w:fldCharType="separate"/>
      </w:r>
      <w:r w:rsidR="00DA77D2" w:rsidRPr="001C6176">
        <w:rPr>
          <w:lang w:val="en-GB"/>
        </w:rPr>
        <w:t>Table S2</w:t>
      </w:r>
      <w:r w:rsidRPr="001C6176">
        <w:fldChar w:fldCharType="end"/>
      </w:r>
      <w:r w:rsidRPr="001C6176">
        <w:rPr>
          <w:lang w:val="en-GB"/>
        </w:rPr>
        <w:t>) have been</w:t>
      </w:r>
      <w:r w:rsidRPr="00BF4479">
        <w:rPr>
          <w:lang w:val="en-GB"/>
        </w:rPr>
        <w:t xml:space="preserve"> established based on IPCC work (IPCC, 2014). In both the ‘Runaway climate change’ and the ‘Stabilization of global warming’ pathways, we assume that up to 2050, food, feed and energy crops are competing on the maximum cultivable area in each region: regional maximum areas available for food and feed crops equal regional maximum cultivable areas </w:t>
      </w:r>
      <w:r w:rsidRPr="00BF4479">
        <w:rPr>
          <w:i/>
          <w:iCs/>
          <w:lang w:val="en-GB"/>
        </w:rPr>
        <w:t>minus</w:t>
      </w:r>
      <w:r w:rsidRPr="00BF4479">
        <w:rPr>
          <w:lang w:val="en-GB"/>
        </w:rPr>
        <w:t xml:space="preserve"> areas devoted to energy crops. </w:t>
      </w:r>
    </w:p>
    <w:p w14:paraId="449ECA28" w14:textId="77777777" w:rsidR="00BF4479" w:rsidRPr="00BF4479" w:rsidRDefault="00BF4479" w:rsidP="00680917">
      <w:pPr>
        <w:jc w:val="both"/>
        <w:rPr>
          <w:lang w:val="en-GB"/>
        </w:rPr>
      </w:pPr>
    </w:p>
    <w:p w14:paraId="1ABE3C19" w14:textId="61496A81" w:rsidR="00BF4479" w:rsidRPr="00BF4479" w:rsidRDefault="00BF4479" w:rsidP="00680917">
      <w:pPr>
        <w:jc w:val="both"/>
        <w:rPr>
          <w:b/>
          <w:bCs/>
          <w:lang w:val="en-GB"/>
        </w:rPr>
      </w:pPr>
      <w:bookmarkStart w:id="6" w:name="_Ref68794186"/>
      <w:bookmarkStart w:id="7" w:name="_Toc73545232"/>
      <w:r w:rsidRPr="00BF4479">
        <w:rPr>
          <w:b/>
          <w:bCs/>
          <w:lang w:val="en-GB"/>
        </w:rPr>
        <w:lastRenderedPageBreak/>
        <w:t xml:space="preserve">Table </w:t>
      </w:r>
      <w:r w:rsidR="00F16531">
        <w:rPr>
          <w:b/>
          <w:bCs/>
          <w:lang w:val="en-GB"/>
        </w:rPr>
        <w:t>S</w:t>
      </w:r>
      <w:r w:rsidRPr="00BF4479">
        <w:rPr>
          <w:b/>
          <w:bCs/>
          <w:lang w:val="en-GB"/>
        </w:rPr>
        <w:fldChar w:fldCharType="begin"/>
      </w:r>
      <w:r w:rsidRPr="00BF4479">
        <w:rPr>
          <w:b/>
          <w:bCs/>
          <w:lang w:val="en-GB"/>
        </w:rPr>
        <w:instrText xml:space="preserve"> SEQ Table \* ARABIC </w:instrText>
      </w:r>
      <w:r w:rsidRPr="00BF4479">
        <w:rPr>
          <w:b/>
          <w:bCs/>
          <w:lang w:val="en-GB"/>
        </w:rPr>
        <w:fldChar w:fldCharType="separate"/>
      </w:r>
      <w:r w:rsidR="00DA77D2">
        <w:rPr>
          <w:b/>
          <w:bCs/>
          <w:noProof/>
          <w:lang w:val="en-GB"/>
        </w:rPr>
        <w:t>2</w:t>
      </w:r>
      <w:r w:rsidRPr="00BF4479">
        <w:fldChar w:fldCharType="end"/>
      </w:r>
      <w:bookmarkEnd w:id="6"/>
      <w:r w:rsidRPr="00BF4479">
        <w:rPr>
          <w:b/>
          <w:bCs/>
          <w:lang w:val="en-GB"/>
        </w:rPr>
        <w:t>. World production of energy from biomass (EJ) in 2050</w:t>
      </w:r>
      <w:bookmarkEnd w:id="7"/>
    </w:p>
    <w:tbl>
      <w:tblPr>
        <w:tblW w:w="8563" w:type="dxa"/>
        <w:tblInd w:w="53" w:type="dxa"/>
        <w:tblBorders>
          <w:top w:val="single" w:sz="2" w:space="0" w:color="000001"/>
          <w:left w:val="single" w:sz="2" w:space="0" w:color="000001"/>
          <w:bottom w:val="single" w:sz="2" w:space="0" w:color="000001"/>
          <w:insideH w:val="single" w:sz="2" w:space="0" w:color="000001"/>
        </w:tblBorders>
        <w:tblCellMar>
          <w:top w:w="55" w:type="dxa"/>
          <w:left w:w="51" w:type="dxa"/>
          <w:bottom w:w="55" w:type="dxa"/>
          <w:right w:w="55" w:type="dxa"/>
        </w:tblCellMar>
        <w:tblLook w:val="04A0" w:firstRow="1" w:lastRow="0" w:firstColumn="1" w:lastColumn="0" w:noHBand="0" w:noVBand="1"/>
      </w:tblPr>
      <w:tblGrid>
        <w:gridCol w:w="3761"/>
        <w:gridCol w:w="924"/>
        <w:gridCol w:w="1149"/>
        <w:gridCol w:w="1149"/>
        <w:gridCol w:w="1580"/>
      </w:tblGrid>
      <w:tr w:rsidR="00BF4479" w:rsidRPr="00BF4479" w14:paraId="6E0C2F26" w14:textId="77777777" w:rsidTr="00155FBE">
        <w:trPr>
          <w:trHeight w:val="451"/>
        </w:trPr>
        <w:tc>
          <w:tcPr>
            <w:tcW w:w="3761" w:type="dxa"/>
            <w:tcBorders>
              <w:top w:val="single" w:sz="2" w:space="0" w:color="000001"/>
              <w:left w:val="single" w:sz="2" w:space="0" w:color="000001"/>
              <w:bottom w:val="single" w:sz="2" w:space="0" w:color="000001"/>
            </w:tcBorders>
            <w:shd w:val="clear" w:color="auto" w:fill="auto"/>
            <w:tcMar>
              <w:left w:w="51" w:type="dxa"/>
            </w:tcMar>
          </w:tcPr>
          <w:p w14:paraId="0F143D36" w14:textId="77777777" w:rsidR="00BF4479" w:rsidRPr="00BF4479" w:rsidRDefault="00BF4479" w:rsidP="00936050"/>
        </w:tc>
        <w:tc>
          <w:tcPr>
            <w:tcW w:w="924" w:type="dxa"/>
            <w:tcBorders>
              <w:top w:val="single" w:sz="2" w:space="0" w:color="000001"/>
              <w:left w:val="single" w:sz="2" w:space="0" w:color="000001"/>
              <w:bottom w:val="single" w:sz="2" w:space="0" w:color="000001"/>
            </w:tcBorders>
            <w:shd w:val="clear" w:color="auto" w:fill="auto"/>
            <w:tcMar>
              <w:left w:w="51" w:type="dxa"/>
            </w:tcMar>
          </w:tcPr>
          <w:p w14:paraId="167D07F4" w14:textId="77777777" w:rsidR="00BF4479" w:rsidRPr="00BF4479" w:rsidRDefault="00BF4479" w:rsidP="00936050">
            <w:pPr>
              <w:rPr>
                <w:lang w:val="en-GB"/>
              </w:rPr>
            </w:pPr>
            <w:r w:rsidRPr="00BF4479">
              <w:rPr>
                <w:lang w:val="en-GB"/>
              </w:rPr>
              <w:t>Energy crops (2G)</w:t>
            </w:r>
          </w:p>
        </w:tc>
        <w:tc>
          <w:tcPr>
            <w:tcW w:w="1149" w:type="dxa"/>
            <w:tcBorders>
              <w:top w:val="single" w:sz="2" w:space="0" w:color="000001"/>
              <w:left w:val="single" w:sz="2" w:space="0" w:color="000001"/>
              <w:bottom w:val="single" w:sz="2" w:space="0" w:color="000001"/>
            </w:tcBorders>
            <w:shd w:val="clear" w:color="auto" w:fill="auto"/>
            <w:tcMar>
              <w:left w:w="51" w:type="dxa"/>
            </w:tcMar>
          </w:tcPr>
          <w:p w14:paraId="55A6CC1E" w14:textId="77777777" w:rsidR="00BF4479" w:rsidRPr="00BF4479" w:rsidRDefault="00BF4479" w:rsidP="00936050">
            <w:pPr>
              <w:rPr>
                <w:lang w:val="en-GB"/>
              </w:rPr>
            </w:pPr>
            <w:r w:rsidRPr="00BF4479">
              <w:rPr>
                <w:lang w:val="en-GB"/>
              </w:rPr>
              <w:t>Forest</w:t>
            </w:r>
          </w:p>
        </w:tc>
        <w:tc>
          <w:tcPr>
            <w:tcW w:w="1149" w:type="dxa"/>
            <w:tcBorders>
              <w:top w:val="single" w:sz="2" w:space="0" w:color="000001"/>
              <w:left w:val="single" w:sz="2" w:space="0" w:color="000001"/>
              <w:bottom w:val="single" w:sz="2" w:space="0" w:color="000001"/>
            </w:tcBorders>
            <w:shd w:val="clear" w:color="auto" w:fill="auto"/>
            <w:tcMar>
              <w:left w:w="51" w:type="dxa"/>
            </w:tcMar>
          </w:tcPr>
          <w:p w14:paraId="7AF188BD" w14:textId="77777777" w:rsidR="00BF4479" w:rsidRPr="00BF4479" w:rsidRDefault="00BF4479" w:rsidP="00936050">
            <w:pPr>
              <w:rPr>
                <w:lang w:val="en-GB"/>
              </w:rPr>
            </w:pPr>
            <w:r w:rsidRPr="00BF4479">
              <w:rPr>
                <w:lang w:val="en-GB"/>
              </w:rPr>
              <w:t>Residues</w:t>
            </w:r>
          </w:p>
        </w:tc>
        <w:tc>
          <w:tcPr>
            <w:tcW w:w="1580"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1F17C5CE" w14:textId="77777777" w:rsidR="00BF4479" w:rsidRPr="00BF4479" w:rsidRDefault="00BF4479" w:rsidP="00936050">
            <w:pPr>
              <w:rPr>
                <w:lang w:val="en-GB"/>
              </w:rPr>
            </w:pPr>
            <w:r w:rsidRPr="00BF4479">
              <w:rPr>
                <w:lang w:val="en-GB"/>
              </w:rPr>
              <w:t>Other (algae)</w:t>
            </w:r>
          </w:p>
        </w:tc>
      </w:tr>
      <w:tr w:rsidR="00BF4479" w:rsidRPr="00BF4479" w14:paraId="57121376" w14:textId="77777777" w:rsidTr="00155FBE">
        <w:trPr>
          <w:trHeight w:val="323"/>
        </w:trPr>
        <w:tc>
          <w:tcPr>
            <w:tcW w:w="3761" w:type="dxa"/>
            <w:tcBorders>
              <w:top w:val="single" w:sz="2" w:space="0" w:color="000001"/>
              <w:left w:val="single" w:sz="2" w:space="0" w:color="000001"/>
              <w:bottom w:val="single" w:sz="2" w:space="0" w:color="000001"/>
            </w:tcBorders>
            <w:shd w:val="clear" w:color="auto" w:fill="auto"/>
            <w:tcMar>
              <w:left w:w="51" w:type="dxa"/>
            </w:tcMar>
          </w:tcPr>
          <w:p w14:paraId="6479B14D" w14:textId="77777777" w:rsidR="00BF4479" w:rsidRPr="00BF4479" w:rsidRDefault="00BF4479" w:rsidP="00936050">
            <w:r w:rsidRPr="00BF4479">
              <w:t>Runaway climate change</w:t>
            </w:r>
          </w:p>
        </w:tc>
        <w:tc>
          <w:tcPr>
            <w:tcW w:w="924" w:type="dxa"/>
            <w:tcBorders>
              <w:top w:val="single" w:sz="2" w:space="0" w:color="000001"/>
              <w:left w:val="single" w:sz="2" w:space="0" w:color="000001"/>
              <w:bottom w:val="single" w:sz="2" w:space="0" w:color="000001"/>
            </w:tcBorders>
            <w:shd w:val="clear" w:color="auto" w:fill="auto"/>
            <w:tcMar>
              <w:left w:w="51" w:type="dxa"/>
            </w:tcMar>
          </w:tcPr>
          <w:p w14:paraId="2B93B16A" w14:textId="77777777" w:rsidR="00BF4479" w:rsidRPr="00BF4479" w:rsidRDefault="00BF4479" w:rsidP="00936050">
            <w:r w:rsidRPr="00BF4479">
              <w:t>30</w:t>
            </w:r>
          </w:p>
        </w:tc>
        <w:tc>
          <w:tcPr>
            <w:tcW w:w="1149" w:type="dxa"/>
            <w:tcBorders>
              <w:top w:val="single" w:sz="2" w:space="0" w:color="000001"/>
              <w:left w:val="single" w:sz="2" w:space="0" w:color="000001"/>
              <w:bottom w:val="single" w:sz="2" w:space="0" w:color="000001"/>
            </w:tcBorders>
            <w:shd w:val="clear" w:color="auto" w:fill="auto"/>
            <w:tcMar>
              <w:left w:w="51" w:type="dxa"/>
            </w:tcMar>
          </w:tcPr>
          <w:p w14:paraId="5C09EC33" w14:textId="77777777" w:rsidR="00BF4479" w:rsidRPr="00BF4479" w:rsidRDefault="00BF4479" w:rsidP="00936050">
            <w:r w:rsidRPr="00BF4479">
              <w:t>0</w:t>
            </w:r>
          </w:p>
        </w:tc>
        <w:tc>
          <w:tcPr>
            <w:tcW w:w="1149" w:type="dxa"/>
            <w:tcBorders>
              <w:top w:val="single" w:sz="2" w:space="0" w:color="000001"/>
              <w:left w:val="single" w:sz="2" w:space="0" w:color="000001"/>
              <w:bottom w:val="single" w:sz="2" w:space="0" w:color="000001"/>
            </w:tcBorders>
            <w:shd w:val="clear" w:color="auto" w:fill="auto"/>
            <w:tcMar>
              <w:left w:w="51" w:type="dxa"/>
            </w:tcMar>
          </w:tcPr>
          <w:p w14:paraId="03B73F51" w14:textId="77777777" w:rsidR="00BF4479" w:rsidRPr="00BF4479" w:rsidRDefault="00BF4479" w:rsidP="00936050">
            <w:r w:rsidRPr="00BF4479">
              <w:t>30</w:t>
            </w:r>
          </w:p>
        </w:tc>
        <w:tc>
          <w:tcPr>
            <w:tcW w:w="1580"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2804B149" w14:textId="77777777" w:rsidR="00BF4479" w:rsidRPr="00BF4479" w:rsidRDefault="00BF4479" w:rsidP="00936050">
            <w:r w:rsidRPr="00BF4479">
              <w:t>0</w:t>
            </w:r>
          </w:p>
        </w:tc>
      </w:tr>
      <w:tr w:rsidR="00BF4479" w:rsidRPr="00BF4479" w14:paraId="55735866" w14:textId="77777777" w:rsidTr="00155FBE">
        <w:trPr>
          <w:trHeight w:val="451"/>
        </w:trPr>
        <w:tc>
          <w:tcPr>
            <w:tcW w:w="3761" w:type="dxa"/>
            <w:tcBorders>
              <w:top w:val="single" w:sz="2" w:space="0" w:color="000001"/>
              <w:left w:val="single" w:sz="2" w:space="0" w:color="000001"/>
              <w:bottom w:val="single" w:sz="2" w:space="0" w:color="000001"/>
            </w:tcBorders>
            <w:shd w:val="clear" w:color="auto" w:fill="auto"/>
            <w:tcMar>
              <w:left w:w="51" w:type="dxa"/>
            </w:tcMar>
          </w:tcPr>
          <w:p w14:paraId="6B817CD1" w14:textId="77777777" w:rsidR="00BF4479" w:rsidRPr="00BF4479" w:rsidRDefault="00BF4479" w:rsidP="00936050">
            <w:r w:rsidRPr="00BF4479">
              <w:t>Stabilization of global warming</w:t>
            </w:r>
          </w:p>
        </w:tc>
        <w:tc>
          <w:tcPr>
            <w:tcW w:w="924" w:type="dxa"/>
            <w:tcBorders>
              <w:top w:val="single" w:sz="2" w:space="0" w:color="000001"/>
              <w:left w:val="single" w:sz="2" w:space="0" w:color="000001"/>
              <w:bottom w:val="single" w:sz="2" w:space="0" w:color="000001"/>
            </w:tcBorders>
            <w:shd w:val="clear" w:color="auto" w:fill="auto"/>
            <w:tcMar>
              <w:left w:w="51" w:type="dxa"/>
            </w:tcMar>
          </w:tcPr>
          <w:p w14:paraId="619E4DCB" w14:textId="77777777" w:rsidR="00BF4479" w:rsidRPr="00BF4479" w:rsidRDefault="00BF4479" w:rsidP="00936050">
            <w:r w:rsidRPr="00BF4479">
              <w:t>30</w:t>
            </w:r>
          </w:p>
        </w:tc>
        <w:tc>
          <w:tcPr>
            <w:tcW w:w="1149" w:type="dxa"/>
            <w:tcBorders>
              <w:top w:val="single" w:sz="2" w:space="0" w:color="000001"/>
              <w:left w:val="single" w:sz="2" w:space="0" w:color="000001"/>
              <w:bottom w:val="single" w:sz="2" w:space="0" w:color="000001"/>
            </w:tcBorders>
            <w:shd w:val="clear" w:color="auto" w:fill="auto"/>
            <w:tcMar>
              <w:left w:w="51" w:type="dxa"/>
            </w:tcMar>
          </w:tcPr>
          <w:p w14:paraId="111B45EE" w14:textId="77777777" w:rsidR="00BF4479" w:rsidRPr="00BF4479" w:rsidRDefault="00BF4479" w:rsidP="00936050">
            <w:r w:rsidRPr="00BF4479">
              <w:t>30</w:t>
            </w:r>
          </w:p>
        </w:tc>
        <w:tc>
          <w:tcPr>
            <w:tcW w:w="1149" w:type="dxa"/>
            <w:tcBorders>
              <w:top w:val="single" w:sz="2" w:space="0" w:color="000001"/>
              <w:left w:val="single" w:sz="2" w:space="0" w:color="000001"/>
              <w:bottom w:val="single" w:sz="2" w:space="0" w:color="000001"/>
            </w:tcBorders>
            <w:shd w:val="clear" w:color="auto" w:fill="auto"/>
            <w:tcMar>
              <w:left w:w="51" w:type="dxa"/>
            </w:tcMar>
          </w:tcPr>
          <w:p w14:paraId="5E56857D" w14:textId="77777777" w:rsidR="00BF4479" w:rsidRPr="00BF4479" w:rsidRDefault="00BF4479" w:rsidP="00936050">
            <w:r w:rsidRPr="00BF4479">
              <w:t>30</w:t>
            </w:r>
          </w:p>
        </w:tc>
        <w:tc>
          <w:tcPr>
            <w:tcW w:w="1580" w:type="dxa"/>
            <w:tcBorders>
              <w:top w:val="single" w:sz="2" w:space="0" w:color="000001"/>
              <w:left w:val="single" w:sz="2" w:space="0" w:color="000001"/>
              <w:bottom w:val="single" w:sz="2" w:space="0" w:color="000001"/>
              <w:right w:val="single" w:sz="2" w:space="0" w:color="000001"/>
            </w:tcBorders>
            <w:shd w:val="clear" w:color="auto" w:fill="auto"/>
            <w:tcMar>
              <w:left w:w="51" w:type="dxa"/>
            </w:tcMar>
          </w:tcPr>
          <w:p w14:paraId="384BF7EF" w14:textId="77777777" w:rsidR="00BF4479" w:rsidRPr="00BF4479" w:rsidRDefault="00BF4479" w:rsidP="00936050">
            <w:r w:rsidRPr="00BF4479">
              <w:t>12</w:t>
            </w:r>
          </w:p>
        </w:tc>
      </w:tr>
    </w:tbl>
    <w:p w14:paraId="7554BB9C" w14:textId="77777777" w:rsidR="0060574F" w:rsidRDefault="0060574F" w:rsidP="00680917">
      <w:pPr>
        <w:jc w:val="both"/>
        <w:rPr>
          <w:b/>
          <w:bCs/>
          <w:lang w:val="en-GB"/>
        </w:rPr>
      </w:pPr>
      <w:bookmarkStart w:id="8" w:name="_Toc73545185"/>
    </w:p>
    <w:p w14:paraId="0CA4AAB5" w14:textId="3787F1D1" w:rsidR="00BF4479" w:rsidRPr="00BF4479" w:rsidRDefault="00BF4479" w:rsidP="00680917">
      <w:pPr>
        <w:jc w:val="both"/>
        <w:rPr>
          <w:b/>
          <w:bCs/>
          <w:lang w:val="en-GB"/>
        </w:rPr>
      </w:pPr>
      <w:r w:rsidRPr="00BF4479">
        <w:rPr>
          <w:b/>
          <w:bCs/>
          <w:lang w:val="en-GB"/>
        </w:rPr>
        <w:t>Food diets</w:t>
      </w:r>
      <w:bookmarkEnd w:id="8"/>
    </w:p>
    <w:p w14:paraId="24359408" w14:textId="43031D28" w:rsidR="00BF4479" w:rsidRPr="00B168E4" w:rsidRDefault="00BF4479" w:rsidP="00680917">
      <w:pPr>
        <w:jc w:val="both"/>
        <w:rPr>
          <w:lang w:val="en-GB"/>
        </w:rPr>
      </w:pPr>
      <w:r w:rsidRPr="00BF4479">
        <w:rPr>
          <w:lang w:val="en-GB"/>
        </w:rPr>
        <w:t>Two food diet pathways are considered: ‘Transition to diet based on ultra-processed products’ (</w:t>
      </w:r>
      <w:proofErr w:type="spellStart"/>
      <w:r w:rsidRPr="00BF4479">
        <w:rPr>
          <w:lang w:val="en-GB"/>
        </w:rPr>
        <w:t>Ultrap</w:t>
      </w:r>
      <w:proofErr w:type="spellEnd"/>
      <w:r w:rsidRPr="00BF4479">
        <w:rPr>
          <w:lang w:val="en-GB"/>
        </w:rPr>
        <w:t xml:space="preserve"> diet) and ‘Healthy diet based on food diversity’ (Healthy diet). The general rules that we established for building our quantitative hypotheses for both food diet pathways relate to both the change in the daily </w:t>
      </w:r>
      <w:proofErr w:type="gramStart"/>
      <w:r w:rsidRPr="00BF4479">
        <w:rPr>
          <w:lang w:val="en-GB"/>
        </w:rPr>
        <w:t>calories</w:t>
      </w:r>
      <w:proofErr w:type="gramEnd"/>
      <w:r w:rsidRPr="00BF4479">
        <w:rPr>
          <w:lang w:val="en-GB"/>
        </w:rPr>
        <w:t xml:space="preserve"> availability per capita and the share of the various groups of food in the diet. They are </w:t>
      </w:r>
      <w:r w:rsidRPr="00B168E4">
        <w:rPr>
          <w:lang w:val="en-GB"/>
        </w:rPr>
        <w:t xml:space="preserve">reported in </w:t>
      </w:r>
      <w:r w:rsidRPr="00B168E4">
        <w:rPr>
          <w:lang w:val="en-GB"/>
        </w:rPr>
        <w:fldChar w:fldCharType="begin"/>
      </w:r>
      <w:r w:rsidRPr="00B168E4">
        <w:rPr>
          <w:lang w:val="en-GB"/>
        </w:rPr>
        <w:instrText xml:space="preserve"> REF _Ref68794196 \h </w:instrText>
      </w:r>
      <w:r w:rsidR="00680917" w:rsidRPr="00B168E4">
        <w:rPr>
          <w:lang w:val="en-GB"/>
        </w:rPr>
        <w:instrText xml:space="preserve"> \* MERGEFORMAT </w:instrText>
      </w:r>
      <w:r w:rsidRPr="00B168E4">
        <w:rPr>
          <w:lang w:val="en-GB"/>
        </w:rPr>
      </w:r>
      <w:r w:rsidRPr="00B168E4">
        <w:rPr>
          <w:lang w:val="en-GB"/>
        </w:rPr>
        <w:fldChar w:fldCharType="separate"/>
      </w:r>
      <w:r w:rsidR="00DA77D2" w:rsidRPr="00B168E4">
        <w:rPr>
          <w:lang w:val="en-GB"/>
        </w:rPr>
        <w:t>Table S3</w:t>
      </w:r>
      <w:r w:rsidRPr="00B168E4">
        <w:fldChar w:fldCharType="end"/>
      </w:r>
      <w:r w:rsidRPr="00B168E4">
        <w:rPr>
          <w:lang w:val="en-GB"/>
        </w:rPr>
        <w:t>.</w:t>
      </w:r>
    </w:p>
    <w:p w14:paraId="6CB1A8F2" w14:textId="006EA0CE" w:rsidR="00BF4479" w:rsidRPr="00BF4479" w:rsidRDefault="00BF4479" w:rsidP="00680917">
      <w:pPr>
        <w:jc w:val="both"/>
        <w:rPr>
          <w:b/>
          <w:bCs/>
          <w:lang w:val="en-GB"/>
        </w:rPr>
      </w:pPr>
      <w:bookmarkStart w:id="9" w:name="_Ref68794196"/>
      <w:bookmarkStart w:id="10" w:name="_Toc73545233"/>
      <w:r w:rsidRPr="00BF4479">
        <w:rPr>
          <w:b/>
          <w:bCs/>
          <w:lang w:val="en-GB"/>
        </w:rPr>
        <w:t xml:space="preserve">Table </w:t>
      </w:r>
      <w:r w:rsidR="00370B2D">
        <w:rPr>
          <w:b/>
          <w:bCs/>
          <w:lang w:val="en-GB"/>
        </w:rPr>
        <w:t>S</w:t>
      </w:r>
      <w:r w:rsidRPr="00BF4479">
        <w:rPr>
          <w:b/>
          <w:bCs/>
          <w:lang w:val="en-GB"/>
        </w:rPr>
        <w:fldChar w:fldCharType="begin"/>
      </w:r>
      <w:r w:rsidRPr="00BF4479">
        <w:rPr>
          <w:b/>
          <w:bCs/>
          <w:lang w:val="en-GB"/>
        </w:rPr>
        <w:instrText xml:space="preserve"> SEQ Table \* ARABIC </w:instrText>
      </w:r>
      <w:r w:rsidRPr="00BF4479">
        <w:rPr>
          <w:b/>
          <w:bCs/>
          <w:lang w:val="en-GB"/>
        </w:rPr>
        <w:fldChar w:fldCharType="separate"/>
      </w:r>
      <w:r w:rsidR="00DA77D2">
        <w:rPr>
          <w:b/>
          <w:bCs/>
          <w:noProof/>
          <w:lang w:val="en-GB"/>
        </w:rPr>
        <w:t>3</w:t>
      </w:r>
      <w:r w:rsidRPr="00BF4479">
        <w:fldChar w:fldCharType="end"/>
      </w:r>
      <w:bookmarkEnd w:id="9"/>
      <w:r w:rsidRPr="00BF4479">
        <w:rPr>
          <w:b/>
          <w:bCs/>
          <w:lang w:val="en-GB"/>
        </w:rPr>
        <w:t>. General rules for the changes in food diets over 2010-2050 under both diet pathways</w:t>
      </w:r>
      <w:bookmarkEnd w:id="10"/>
    </w:p>
    <w:tbl>
      <w:tblPr>
        <w:tblW w:w="48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4205"/>
        <w:gridCol w:w="4126"/>
      </w:tblGrid>
      <w:tr w:rsidR="00BF4479" w:rsidRPr="00BF4479" w14:paraId="18AC6869" w14:textId="77777777" w:rsidTr="00C42B8A">
        <w:tc>
          <w:tcPr>
            <w:tcW w:w="600" w:type="pct"/>
            <w:shd w:val="clear" w:color="auto" w:fill="auto"/>
          </w:tcPr>
          <w:p w14:paraId="76AB3A81" w14:textId="77777777" w:rsidR="00BF4479" w:rsidRPr="00BF4479" w:rsidRDefault="00BF4479" w:rsidP="00680917">
            <w:pPr>
              <w:jc w:val="both"/>
              <w:rPr>
                <w:b/>
              </w:rPr>
            </w:pPr>
          </w:p>
        </w:tc>
        <w:tc>
          <w:tcPr>
            <w:tcW w:w="2220" w:type="pct"/>
            <w:shd w:val="clear" w:color="auto" w:fill="auto"/>
          </w:tcPr>
          <w:p w14:paraId="21F06AF7" w14:textId="77777777" w:rsidR="00BF4479" w:rsidRPr="00BF4479" w:rsidRDefault="00BF4479" w:rsidP="00680917">
            <w:pPr>
              <w:jc w:val="both"/>
              <w:rPr>
                <w:b/>
                <w:lang w:val="en-GB"/>
              </w:rPr>
            </w:pPr>
            <w:proofErr w:type="spellStart"/>
            <w:r w:rsidRPr="00BF4479">
              <w:rPr>
                <w:b/>
                <w:lang w:val="en-GB"/>
              </w:rPr>
              <w:t>Ultrap</w:t>
            </w:r>
            <w:proofErr w:type="spellEnd"/>
            <w:r w:rsidRPr="00BF4479">
              <w:rPr>
                <w:b/>
                <w:lang w:val="en-GB"/>
              </w:rPr>
              <w:t xml:space="preserve"> diet</w:t>
            </w:r>
          </w:p>
        </w:tc>
        <w:tc>
          <w:tcPr>
            <w:tcW w:w="2179" w:type="pct"/>
            <w:shd w:val="clear" w:color="auto" w:fill="auto"/>
          </w:tcPr>
          <w:p w14:paraId="1F444233" w14:textId="77777777" w:rsidR="00BF4479" w:rsidRPr="00BF4479" w:rsidRDefault="00BF4479" w:rsidP="00680917">
            <w:pPr>
              <w:jc w:val="both"/>
              <w:rPr>
                <w:b/>
                <w:lang w:val="en-GB"/>
              </w:rPr>
            </w:pPr>
            <w:r w:rsidRPr="00BF4479">
              <w:rPr>
                <w:b/>
                <w:lang w:val="en-GB"/>
              </w:rPr>
              <w:t>Healthy diet</w:t>
            </w:r>
          </w:p>
        </w:tc>
      </w:tr>
      <w:tr w:rsidR="00BF4479" w:rsidRPr="00BF4479" w14:paraId="53C2E897" w14:textId="77777777" w:rsidTr="00C42B8A">
        <w:tc>
          <w:tcPr>
            <w:tcW w:w="600" w:type="pct"/>
            <w:shd w:val="clear" w:color="auto" w:fill="auto"/>
          </w:tcPr>
          <w:p w14:paraId="292E3B5E" w14:textId="77777777" w:rsidR="00BF4479" w:rsidRPr="00BF4479" w:rsidRDefault="00BF4479" w:rsidP="00680917">
            <w:pPr>
              <w:jc w:val="both"/>
            </w:pPr>
            <w:r w:rsidRPr="00BF4479">
              <w:t>Diet energy</w:t>
            </w:r>
            <w:r w:rsidRPr="00BF4479">
              <w:br/>
              <w:t>(Daily calories available per capita)</w:t>
            </w:r>
          </w:p>
        </w:tc>
        <w:tc>
          <w:tcPr>
            <w:tcW w:w="2220" w:type="pct"/>
            <w:shd w:val="clear" w:color="auto" w:fill="auto"/>
          </w:tcPr>
          <w:p w14:paraId="6DA859F7" w14:textId="77777777" w:rsidR="00BF4479" w:rsidRPr="00BF4479" w:rsidRDefault="00BF4479" w:rsidP="00A36442">
            <w:r w:rsidRPr="00BF4479">
              <w:t>- Regions over 3,300 kcal/cap/day in 2010: unchanged up to 2050</w:t>
            </w:r>
          </w:p>
          <w:p w14:paraId="6E904A3F" w14:textId="77777777" w:rsidR="00BF4479" w:rsidRPr="00BF4479" w:rsidRDefault="00BF4479" w:rsidP="00A36442">
            <w:r w:rsidRPr="00BF4479">
              <w:t>- Regions between 3,000 and 3,300 kcal/cap/day in 2010: increase to 3300 in 2050</w:t>
            </w:r>
          </w:p>
          <w:p w14:paraId="307D33EC" w14:textId="77777777" w:rsidR="00BF4479" w:rsidRPr="00BF4479" w:rsidRDefault="00BF4479" w:rsidP="00A36442">
            <w:r w:rsidRPr="00BF4479">
              <w:t xml:space="preserve"> - Regions under 3,000 kcal/cap/day in 2010: increase to 3,000 kcal/cap/day in 2050</w:t>
            </w:r>
          </w:p>
          <w:p w14:paraId="4E3DA0E7" w14:textId="77777777" w:rsidR="00BF4479" w:rsidRPr="00BF4479" w:rsidRDefault="00BF4479" w:rsidP="00A36442"/>
        </w:tc>
        <w:tc>
          <w:tcPr>
            <w:tcW w:w="2179" w:type="pct"/>
            <w:shd w:val="clear" w:color="auto" w:fill="auto"/>
          </w:tcPr>
          <w:p w14:paraId="2D52924A" w14:textId="77777777" w:rsidR="00BF4479" w:rsidRPr="00BF4479" w:rsidRDefault="00BF4479" w:rsidP="00A36442">
            <w:r w:rsidRPr="00BF4479">
              <w:t>- Regions over 3,000 kcal/cap/day in 2010: decrease to 3,000</w:t>
            </w:r>
            <w:r w:rsidRPr="00BF4479">
              <w:br/>
              <w:t>- Regions under 2,750 kcal/cap/day in 2010: increase to 2,750</w:t>
            </w:r>
            <w:r w:rsidRPr="00BF4479">
              <w:br/>
              <w:t>- Regions between 2,750 and 3,000 kcal/cap/day in 2010: unchanged</w:t>
            </w:r>
          </w:p>
        </w:tc>
      </w:tr>
      <w:tr w:rsidR="00BF4479" w:rsidRPr="00BF4479" w14:paraId="78A1521F" w14:textId="77777777" w:rsidTr="00C42B8A">
        <w:tc>
          <w:tcPr>
            <w:tcW w:w="600" w:type="pct"/>
            <w:shd w:val="clear" w:color="auto" w:fill="auto"/>
          </w:tcPr>
          <w:p w14:paraId="7761BC2C" w14:textId="77777777" w:rsidR="00BF4479" w:rsidRPr="00BF4479" w:rsidRDefault="00BF4479" w:rsidP="00680917">
            <w:pPr>
              <w:jc w:val="both"/>
              <w:rPr>
                <w:lang w:val="en-GB"/>
              </w:rPr>
            </w:pPr>
            <w:r w:rsidRPr="00BF4479">
              <w:rPr>
                <w:lang w:val="en-GB"/>
              </w:rPr>
              <w:t>Diet pattern</w:t>
            </w:r>
          </w:p>
        </w:tc>
        <w:tc>
          <w:tcPr>
            <w:tcW w:w="2220" w:type="pct"/>
            <w:shd w:val="clear" w:color="auto" w:fill="auto"/>
          </w:tcPr>
          <w:p w14:paraId="7B7CE395" w14:textId="77777777" w:rsidR="00BF4479" w:rsidRPr="00BF4479" w:rsidRDefault="00BF4479" w:rsidP="00A36442">
            <w:r w:rsidRPr="00BF4479">
              <w:t>- Change according to 1998/2008 trends in Brazil. In all regions except Canada/USA: no change relative to 2010</w:t>
            </w:r>
            <w:r w:rsidRPr="00BF4479">
              <w:br/>
              <w:t>- 2 diet share minimum thresholds: 13.5% for vegetable oils; 10% for animal products</w:t>
            </w:r>
          </w:p>
          <w:p w14:paraId="0133D839" w14:textId="77777777" w:rsidR="00BF4479" w:rsidRPr="00BF4479" w:rsidRDefault="00BF4479" w:rsidP="00A36442">
            <w:r w:rsidRPr="00BF4479">
              <w:lastRenderedPageBreak/>
              <w:t>- Within the meat group: strong substitution from ruminant meat to poultry meat</w:t>
            </w:r>
          </w:p>
        </w:tc>
        <w:tc>
          <w:tcPr>
            <w:tcW w:w="2179" w:type="pct"/>
            <w:shd w:val="clear" w:color="auto" w:fill="auto"/>
          </w:tcPr>
          <w:p w14:paraId="3CFAB762" w14:textId="77777777" w:rsidR="00BF4479" w:rsidRPr="00BF4479" w:rsidRDefault="00BF4479" w:rsidP="00A36442">
            <w:r w:rsidRPr="00BF4479">
              <w:lastRenderedPageBreak/>
              <w:t>- Diet share of animal products and pulses: 20%</w:t>
            </w:r>
            <w:r w:rsidRPr="00BF4479">
              <w:br/>
              <w:t>- Diet share of cereals: 50%, coarse grains accounting for 1/4 to 1/3</w:t>
            </w:r>
          </w:p>
          <w:p w14:paraId="7959F8AD" w14:textId="77777777" w:rsidR="00BF4479" w:rsidRPr="00BF4479" w:rsidRDefault="00BF4479" w:rsidP="00A36442">
            <w:r w:rsidRPr="00BF4479">
              <w:t>- Diet share of fruits and vegetables: 15%</w:t>
            </w:r>
            <w:r w:rsidRPr="00BF4479">
              <w:br/>
              <w:t xml:space="preserve">- Diet share maximum thresholds: 10% </w:t>
            </w:r>
            <w:r w:rsidRPr="00BF4479">
              <w:lastRenderedPageBreak/>
              <w:t>for vegetable oils, 2.5% for sugar and sweeteners</w:t>
            </w:r>
          </w:p>
          <w:p w14:paraId="0BA5F47F" w14:textId="77777777" w:rsidR="00BF4479" w:rsidRPr="00BF4479" w:rsidRDefault="00BF4479" w:rsidP="00A36442">
            <w:r w:rsidRPr="00BF4479">
              <w:t>- Within the meat group: substitution from ruminant meat to poultry meat</w:t>
            </w:r>
          </w:p>
        </w:tc>
      </w:tr>
    </w:tbl>
    <w:p w14:paraId="7081F8C5" w14:textId="77777777" w:rsidR="00AB75B8" w:rsidRDefault="00AB75B8" w:rsidP="00680917">
      <w:pPr>
        <w:jc w:val="both"/>
        <w:rPr>
          <w:lang w:val="en-GB"/>
        </w:rPr>
      </w:pPr>
    </w:p>
    <w:p w14:paraId="0DC013FA" w14:textId="52931B0F" w:rsidR="00BF4479" w:rsidRPr="00BF4479" w:rsidRDefault="00BF4479" w:rsidP="00AB75B8">
      <w:pPr>
        <w:jc w:val="both"/>
        <w:rPr>
          <w:lang w:val="en-GB"/>
        </w:rPr>
      </w:pPr>
      <w:r w:rsidRPr="00BF4479">
        <w:rPr>
          <w:lang w:val="en-GB"/>
        </w:rPr>
        <w:t>Under the ‘</w:t>
      </w:r>
      <w:proofErr w:type="spellStart"/>
      <w:r w:rsidRPr="00BF4479">
        <w:rPr>
          <w:lang w:val="en-GB"/>
        </w:rPr>
        <w:t>Ultrap</w:t>
      </w:r>
      <w:proofErr w:type="spellEnd"/>
      <w:r w:rsidRPr="00BF4479">
        <w:rPr>
          <w:lang w:val="en-GB"/>
        </w:rPr>
        <w:t xml:space="preserve">’ pathway, the average world diet becomes richer in daily calories per capita from 2010 to 2050, with more vegetable oils and sugar and sweeteners. On the contrary, the ‘Healthy’ pathway makes the average world diet in 2050 nearly unchanged in terms of daily calories per capita, but with more fruits and vegetables, coarse </w:t>
      </w:r>
      <w:proofErr w:type="gramStart"/>
      <w:r w:rsidRPr="00BF4479">
        <w:rPr>
          <w:lang w:val="en-GB"/>
        </w:rPr>
        <w:t>grains</w:t>
      </w:r>
      <w:proofErr w:type="gramEnd"/>
      <w:r w:rsidRPr="00BF4479">
        <w:rPr>
          <w:lang w:val="en-GB"/>
        </w:rPr>
        <w:t xml:space="preserve"> and pulses, and significantly less meat and sugar and sweeteners, relative to 2010. As shown </w:t>
      </w:r>
      <w:r w:rsidRPr="00AB75B8">
        <w:rPr>
          <w:lang w:val="en-GB"/>
        </w:rPr>
        <w:t xml:space="preserve">in </w:t>
      </w:r>
      <w:r w:rsidRPr="00AB75B8">
        <w:rPr>
          <w:lang w:val="en-GB"/>
        </w:rPr>
        <w:fldChar w:fldCharType="begin"/>
      </w:r>
      <w:r w:rsidRPr="00AB75B8">
        <w:rPr>
          <w:lang w:val="en-GB"/>
        </w:rPr>
        <w:instrText xml:space="preserve"> REF _Ref68794211 \h </w:instrText>
      </w:r>
      <w:r w:rsidR="00680917" w:rsidRPr="00AB75B8">
        <w:rPr>
          <w:lang w:val="en-GB"/>
        </w:rPr>
        <w:instrText xml:space="preserve"> \* MERGEFORMAT </w:instrText>
      </w:r>
      <w:r w:rsidRPr="00AB75B8">
        <w:rPr>
          <w:lang w:val="en-GB"/>
        </w:rPr>
      </w:r>
      <w:r w:rsidRPr="00AB75B8">
        <w:rPr>
          <w:lang w:val="en-GB"/>
        </w:rPr>
        <w:fldChar w:fldCharType="separate"/>
      </w:r>
      <w:r w:rsidRPr="00AB75B8">
        <w:rPr>
          <w:lang w:val="en-GB"/>
        </w:rPr>
        <w:t xml:space="preserve">Figure </w:t>
      </w:r>
      <w:r w:rsidR="00370B2D" w:rsidRPr="00AB75B8">
        <w:rPr>
          <w:lang w:val="en-GB"/>
        </w:rPr>
        <w:t>S</w:t>
      </w:r>
      <w:r w:rsidRPr="00AB75B8">
        <w:rPr>
          <w:noProof/>
          <w:lang w:val="en-GB"/>
        </w:rPr>
        <w:t>1</w:t>
      </w:r>
      <w:r w:rsidRPr="00AB75B8">
        <w:fldChar w:fldCharType="end"/>
      </w:r>
      <w:r w:rsidRPr="00AB75B8">
        <w:rPr>
          <w:lang w:val="en-GB"/>
        </w:rPr>
        <w:t>,</w:t>
      </w:r>
      <w:r w:rsidRPr="00BF4479">
        <w:rPr>
          <w:lang w:val="en-GB"/>
        </w:rPr>
        <w:t xml:space="preserve"> our assumptions induce very different changes in food diets from 2010 to 2050 across regions. For developed regions, such as Canada/USA, only the ‘Healthy’ pathway leads to significant change in food diets from 2010 to 2050. While both pathways imply moderate changes in food diets for emerging countries such as China. In contrast, our assumptions induce significant changes in food diets, whatever the pathway, in developing countries such as ECS (East, Central and South) Africa. </w:t>
      </w:r>
    </w:p>
    <w:p w14:paraId="1CCB1CEA" w14:textId="77777777" w:rsidR="00BF4479" w:rsidRPr="00BF4479" w:rsidRDefault="00BF4479" w:rsidP="00AB75B8">
      <w:pPr>
        <w:jc w:val="both"/>
        <w:rPr>
          <w:lang w:val="en-GB"/>
        </w:rPr>
      </w:pPr>
      <w:r w:rsidRPr="00BF4479">
        <w:rPr>
          <w:lang w:val="en-GB"/>
        </w:rPr>
        <w:t>It is worth noting that for ECS Africa, according to our assumptions:</w:t>
      </w:r>
    </w:p>
    <w:p w14:paraId="3720EE3D" w14:textId="77777777" w:rsidR="00BF4479" w:rsidRPr="00BF4479" w:rsidRDefault="00BF4479" w:rsidP="00AB75B8">
      <w:pPr>
        <w:jc w:val="both"/>
        <w:rPr>
          <w:lang w:val="en-GB"/>
        </w:rPr>
      </w:pPr>
      <w:r w:rsidRPr="00BF4479">
        <w:rPr>
          <w:lang w:val="en-GB"/>
        </w:rPr>
        <w:t xml:space="preserve">- Both pathways involve an increase in the daily </w:t>
      </w:r>
      <w:proofErr w:type="gramStart"/>
      <w:r w:rsidRPr="00BF4479">
        <w:rPr>
          <w:lang w:val="en-GB"/>
        </w:rPr>
        <w:t>calories</w:t>
      </w:r>
      <w:proofErr w:type="gramEnd"/>
      <w:r w:rsidRPr="00BF4479">
        <w:rPr>
          <w:lang w:val="en-GB"/>
        </w:rPr>
        <w:t xml:space="preserve"> availability per capita. As a sharp increase in population is also expected in ECS Africa, this means that food consumption will increase significantly under both pathways in this region (the same is observed for India).</w:t>
      </w:r>
    </w:p>
    <w:p w14:paraId="05605A9A" w14:textId="77777777" w:rsidR="00BF4479" w:rsidRPr="00BF4479" w:rsidRDefault="00BF4479" w:rsidP="00AB75B8">
      <w:pPr>
        <w:jc w:val="both"/>
        <w:rPr>
          <w:lang w:val="en-GB"/>
        </w:rPr>
      </w:pPr>
      <w:r w:rsidRPr="00BF4479">
        <w:rPr>
          <w:lang w:val="en-GB"/>
        </w:rPr>
        <w:t xml:space="preserve">- Both pathways result in a rise in the share of animal products in diets. Once again, joint with the expected population increase, this rising share of animal products in diets will lead to a huge increase in food consumption of meat, </w:t>
      </w:r>
      <w:proofErr w:type="gramStart"/>
      <w:r w:rsidRPr="00BF4479">
        <w:rPr>
          <w:lang w:val="en-GB"/>
        </w:rPr>
        <w:t>dairy</w:t>
      </w:r>
      <w:proofErr w:type="gramEnd"/>
      <w:r w:rsidRPr="00BF4479">
        <w:rPr>
          <w:lang w:val="en-GB"/>
        </w:rPr>
        <w:t xml:space="preserve"> and eggs under both food diet pathways in ECS Africa (even under the healthy diet assumption) (the same is observed in India and West Africa).</w:t>
      </w:r>
    </w:p>
    <w:p w14:paraId="5C808183" w14:textId="54BEC069" w:rsidR="00AB75B8" w:rsidRDefault="00AB75B8">
      <w:pPr>
        <w:spacing w:before="0" w:after="200" w:line="276" w:lineRule="auto"/>
        <w:rPr>
          <w:lang w:val="en-GB"/>
        </w:rPr>
      </w:pPr>
      <w:r>
        <w:rPr>
          <w:lang w:val="en-GB"/>
        </w:rPr>
        <w:br w:type="page"/>
      </w:r>
    </w:p>
    <w:p w14:paraId="48F567F0" w14:textId="1F61CB6D" w:rsidR="00BF4479" w:rsidRPr="00BF4479" w:rsidRDefault="00BF4479" w:rsidP="00680917">
      <w:pPr>
        <w:jc w:val="both"/>
        <w:rPr>
          <w:b/>
          <w:bCs/>
          <w:lang w:val="en-GB"/>
        </w:rPr>
      </w:pPr>
      <w:bookmarkStart w:id="11" w:name="_Ref68794211"/>
      <w:bookmarkStart w:id="12" w:name="_Toc73545225"/>
      <w:r w:rsidRPr="00BF4479">
        <w:rPr>
          <w:b/>
          <w:bCs/>
          <w:lang w:val="en-GB"/>
        </w:rPr>
        <w:lastRenderedPageBreak/>
        <w:t xml:space="preserve">Figure </w:t>
      </w:r>
      <w:r w:rsidR="00370B2D">
        <w:rPr>
          <w:b/>
          <w:bCs/>
          <w:lang w:val="en-GB"/>
        </w:rPr>
        <w:t>S</w:t>
      </w:r>
      <w:r w:rsidRPr="00BF4479">
        <w:rPr>
          <w:b/>
          <w:bCs/>
          <w:lang w:val="en-GB"/>
        </w:rPr>
        <w:fldChar w:fldCharType="begin"/>
      </w:r>
      <w:r w:rsidRPr="00BF4479">
        <w:rPr>
          <w:b/>
          <w:bCs/>
          <w:lang w:val="en-GB"/>
        </w:rPr>
        <w:instrText xml:space="preserve"> SEQ Figure \* ARABIC </w:instrText>
      </w:r>
      <w:r w:rsidRPr="00BF4479">
        <w:rPr>
          <w:b/>
          <w:bCs/>
          <w:lang w:val="en-GB"/>
        </w:rPr>
        <w:fldChar w:fldCharType="separate"/>
      </w:r>
      <w:r>
        <w:rPr>
          <w:b/>
          <w:bCs/>
          <w:noProof/>
          <w:lang w:val="en-GB"/>
        </w:rPr>
        <w:t>1</w:t>
      </w:r>
      <w:r w:rsidRPr="00BF4479">
        <w:fldChar w:fldCharType="end"/>
      </w:r>
      <w:bookmarkEnd w:id="11"/>
      <w:r w:rsidRPr="00BF4479">
        <w:rPr>
          <w:b/>
          <w:bCs/>
          <w:lang w:val="en-GB"/>
        </w:rPr>
        <w:t xml:space="preserve">. Food diets in 2010 and in 2050 under the </w:t>
      </w:r>
      <w:proofErr w:type="spellStart"/>
      <w:r w:rsidRPr="00BF4479">
        <w:rPr>
          <w:b/>
          <w:bCs/>
          <w:lang w:val="en-GB"/>
        </w:rPr>
        <w:t>Ultrap</w:t>
      </w:r>
      <w:proofErr w:type="spellEnd"/>
      <w:r w:rsidRPr="00BF4479">
        <w:rPr>
          <w:b/>
          <w:bCs/>
          <w:lang w:val="en-GB"/>
        </w:rPr>
        <w:t xml:space="preserve"> and Healthy pathways in various world regions</w:t>
      </w:r>
      <w:bookmarkEnd w:id="12"/>
    </w:p>
    <w:p w14:paraId="09A14ADE" w14:textId="77777777" w:rsidR="00BF4479" w:rsidRPr="00BF4479" w:rsidRDefault="00BF4479" w:rsidP="00680917">
      <w:pPr>
        <w:jc w:val="both"/>
        <w:rPr>
          <w:lang w:val="en-GB"/>
        </w:rPr>
      </w:pPr>
      <w:r w:rsidRPr="00BF4479">
        <w:rPr>
          <w:noProof/>
          <w:lang w:val="fr-FR" w:eastAsia="fr-FR"/>
        </w:rPr>
        <w:drawing>
          <wp:inline distT="0" distB="0" distL="0" distR="0" wp14:anchorId="51815540" wp14:editId="69B06A10">
            <wp:extent cx="3821233" cy="324000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1233" cy="3240000"/>
                    </a:xfrm>
                    <a:prstGeom prst="rect">
                      <a:avLst/>
                    </a:prstGeom>
                    <a:noFill/>
                  </pic:spPr>
                </pic:pic>
              </a:graphicData>
            </a:graphic>
          </wp:inline>
        </w:drawing>
      </w:r>
    </w:p>
    <w:p w14:paraId="0BC1D09D" w14:textId="77777777" w:rsidR="00BF4479" w:rsidRPr="00BF4479" w:rsidRDefault="00BF4479" w:rsidP="00680917">
      <w:pPr>
        <w:jc w:val="both"/>
        <w:rPr>
          <w:lang w:val="en-GB"/>
        </w:rPr>
      </w:pPr>
      <w:r w:rsidRPr="00BF4479">
        <w:rPr>
          <w:noProof/>
          <w:lang w:val="fr-FR" w:eastAsia="fr-FR"/>
        </w:rPr>
        <w:drawing>
          <wp:inline distT="0" distB="0" distL="0" distR="0" wp14:anchorId="2FE1E4A5" wp14:editId="080D58F3">
            <wp:extent cx="3826409" cy="324000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6409" cy="3240000"/>
                    </a:xfrm>
                    <a:prstGeom prst="rect">
                      <a:avLst/>
                    </a:prstGeom>
                    <a:noFill/>
                  </pic:spPr>
                </pic:pic>
              </a:graphicData>
            </a:graphic>
          </wp:inline>
        </w:drawing>
      </w:r>
    </w:p>
    <w:p w14:paraId="256CBFB9" w14:textId="77777777" w:rsidR="00BF4479" w:rsidRPr="00BF4479" w:rsidRDefault="00BF4479" w:rsidP="00680917">
      <w:pPr>
        <w:jc w:val="both"/>
        <w:rPr>
          <w:lang w:val="en-GB"/>
        </w:rPr>
      </w:pPr>
      <w:r w:rsidRPr="00BF4479">
        <w:rPr>
          <w:noProof/>
          <w:lang w:val="fr-FR" w:eastAsia="fr-FR"/>
        </w:rPr>
        <w:lastRenderedPageBreak/>
        <w:drawing>
          <wp:inline distT="0" distB="0" distL="0" distR="0" wp14:anchorId="031A0EF0" wp14:editId="19BBCA8E">
            <wp:extent cx="3832531" cy="3240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32531" cy="3240000"/>
                    </a:xfrm>
                    <a:prstGeom prst="rect">
                      <a:avLst/>
                    </a:prstGeom>
                    <a:noFill/>
                  </pic:spPr>
                </pic:pic>
              </a:graphicData>
            </a:graphic>
          </wp:inline>
        </w:drawing>
      </w:r>
    </w:p>
    <w:p w14:paraId="5803E7E2" w14:textId="77777777" w:rsidR="00BF4479" w:rsidRPr="00BF4479" w:rsidRDefault="00BF4479" w:rsidP="00680917">
      <w:pPr>
        <w:jc w:val="both"/>
        <w:rPr>
          <w:b/>
          <w:bCs/>
          <w:lang w:val="en-GB"/>
        </w:rPr>
      </w:pPr>
      <w:bookmarkStart w:id="13" w:name="_Toc73545186"/>
      <w:r w:rsidRPr="00BF4479">
        <w:rPr>
          <w:b/>
          <w:bCs/>
          <w:lang w:val="en-GB"/>
        </w:rPr>
        <w:t>Cropping systems</w:t>
      </w:r>
      <w:bookmarkEnd w:id="13"/>
    </w:p>
    <w:p w14:paraId="28E3B47A" w14:textId="77777777" w:rsidR="00BF4479" w:rsidRPr="00BF4479" w:rsidRDefault="00BF4479" w:rsidP="00680917">
      <w:pPr>
        <w:jc w:val="both"/>
      </w:pPr>
      <w:r w:rsidRPr="00BF4479">
        <w:t>Two pathways for the evolution of cropping systems are considered: ‘Conventional intensification’ and ‘Agroecology’.</w:t>
      </w:r>
    </w:p>
    <w:p w14:paraId="428F6AF6" w14:textId="3AC2B9D3" w:rsidR="00BF4479" w:rsidRPr="009367C8" w:rsidRDefault="00BF4479" w:rsidP="00680917">
      <w:pPr>
        <w:jc w:val="both"/>
      </w:pPr>
      <w:r w:rsidRPr="00BF4479">
        <w:t xml:space="preserve">We adopted </w:t>
      </w:r>
      <w:r w:rsidR="00E34C93">
        <w:t>four</w:t>
      </w:r>
      <w:r w:rsidRPr="00BF4479">
        <w:t xml:space="preserve"> general rules </w:t>
      </w:r>
      <w:proofErr w:type="gramStart"/>
      <w:r w:rsidRPr="00BF4479">
        <w:t>in order to</w:t>
      </w:r>
      <w:proofErr w:type="gramEnd"/>
      <w:r w:rsidRPr="00BF4479">
        <w:t xml:space="preserve"> translate the cropping systems pathways into quantitative hypotheses for regional per-hectare yield </w:t>
      </w:r>
      <w:r w:rsidRPr="009367C8">
        <w:t>changes (</w:t>
      </w:r>
      <w:r w:rsidRPr="009367C8">
        <w:fldChar w:fldCharType="begin"/>
      </w:r>
      <w:r w:rsidRPr="009367C8">
        <w:instrText xml:space="preserve"> REF _Ref68794244 \h </w:instrText>
      </w:r>
      <w:r w:rsidR="00680917" w:rsidRPr="009367C8">
        <w:instrText xml:space="preserve"> \* MERGEFORMAT </w:instrText>
      </w:r>
      <w:r w:rsidRPr="009367C8">
        <w:fldChar w:fldCharType="separate"/>
      </w:r>
      <w:r w:rsidR="00DA77D2" w:rsidRPr="009367C8">
        <w:rPr>
          <w:lang w:val="en-GB"/>
        </w:rPr>
        <w:t>Table S4</w:t>
      </w:r>
      <w:r w:rsidRPr="009367C8">
        <w:fldChar w:fldCharType="end"/>
      </w:r>
      <w:r w:rsidRPr="009367C8">
        <w:t>):</w:t>
      </w:r>
    </w:p>
    <w:p w14:paraId="13073384" w14:textId="77777777" w:rsidR="00BF4479" w:rsidRPr="00BF4479" w:rsidRDefault="00BF4479" w:rsidP="002B022E">
      <w:pPr>
        <w:numPr>
          <w:ilvl w:val="0"/>
          <w:numId w:val="4"/>
        </w:numPr>
        <w:jc w:val="both"/>
      </w:pPr>
      <w:r w:rsidRPr="00BF4479">
        <w:t>We calculated current yield gaps for Agrimonde-Terra’s crops and regions using potential and observed per-hectare yields provided by the GAEZ database portal.</w:t>
      </w:r>
      <w:r w:rsidRPr="00BF4479">
        <w:rPr>
          <w:vertAlign w:val="superscript"/>
        </w:rPr>
        <w:footnoteReference w:id="4"/>
      </w:r>
      <w:r w:rsidRPr="00BF4479">
        <w:t xml:space="preserve"> Then, we assumed a level of yield gap reduction between 2010 and 2050, which is differentiated according to cropping pathways, and which we applied uniformly to groups of crops (cereals, protein seeds and other crops) and grass and forages.</w:t>
      </w:r>
    </w:p>
    <w:p w14:paraId="165001C2" w14:textId="5D7AE37D" w:rsidR="00BF4479" w:rsidRPr="00BF4479" w:rsidRDefault="00BF4479" w:rsidP="002B022E">
      <w:pPr>
        <w:numPr>
          <w:ilvl w:val="0"/>
          <w:numId w:val="4"/>
        </w:numPr>
        <w:jc w:val="both"/>
      </w:pPr>
      <w:r w:rsidRPr="00BF4479">
        <w:t xml:space="preserve">We hypothesized that there is induced technical change together with induced change in the distribution of crops across land fertility classes, which results in greater rate of yield increase for crops which are the most demanded at the world level. If we consider a group of crops, such as cereals, the above-described yield gap reduction applies to the average cereal yield. Then, we assume that within the cereal group, cereal crops which are the most demanded will benefit from above-average yield gap reductions (H in </w:t>
      </w:r>
      <w:r w:rsidR="009367C8">
        <w:t>T</w:t>
      </w:r>
      <w:r w:rsidRPr="00BF4479">
        <w:t>able </w:t>
      </w:r>
      <w:r w:rsidR="009367C8">
        <w:t>S4</w:t>
      </w:r>
      <w:r w:rsidRPr="00BF4479">
        <w:t xml:space="preserve">), while cereal crops which are less demanded will experience below-average yield gap reductions (L in </w:t>
      </w:r>
      <w:r w:rsidR="009367C8">
        <w:t>T</w:t>
      </w:r>
      <w:r w:rsidRPr="00BF4479">
        <w:t xml:space="preserve">able </w:t>
      </w:r>
      <w:r w:rsidR="009367C8">
        <w:t>S4</w:t>
      </w:r>
      <w:r w:rsidRPr="00BF4479">
        <w:t xml:space="preserve">). The retained </w:t>
      </w:r>
      <w:r w:rsidRPr="00BF4479">
        <w:lastRenderedPageBreak/>
        <w:t>indicator for “most demanded/less demanded” crops is the change in the respective crop shares in the average world diet under the two food diet pathways.</w:t>
      </w:r>
    </w:p>
    <w:p w14:paraId="166028CD" w14:textId="3EAB8AFB" w:rsidR="00BF4479" w:rsidRDefault="00BF4479" w:rsidP="002B022E">
      <w:pPr>
        <w:numPr>
          <w:ilvl w:val="0"/>
          <w:numId w:val="4"/>
        </w:numPr>
        <w:jc w:val="both"/>
      </w:pPr>
      <w:r w:rsidRPr="00BF4479">
        <w:t>Grass and forage crops benefit from the same yield gap reduction than other crop groups.</w:t>
      </w:r>
    </w:p>
    <w:p w14:paraId="55FF9FEA" w14:textId="1B01C9EF" w:rsidR="00E34C93" w:rsidRPr="00BF4479" w:rsidRDefault="00E34C93" w:rsidP="002B022E">
      <w:pPr>
        <w:numPr>
          <w:ilvl w:val="0"/>
          <w:numId w:val="4"/>
        </w:numPr>
        <w:jc w:val="both"/>
      </w:pPr>
      <w:r>
        <w:t>In ‘Agroecology”</w:t>
      </w:r>
      <w:r w:rsidR="004736D3">
        <w:t>,</w:t>
      </w:r>
      <w:r>
        <w:t xml:space="preserve"> developed regions (Canada/USA, Rest of Europe, and Oceania) experience the same magnitude of crop yield reduction as the EU with the TYFA scenario. </w:t>
      </w:r>
      <w:r w:rsidRPr="00BC3514">
        <w:rPr>
          <w:lang w:val="en-GB"/>
        </w:rPr>
        <w:t xml:space="preserve">Following </w:t>
      </w:r>
      <w:proofErr w:type="spellStart"/>
      <w:r w:rsidRPr="00BC3514">
        <w:rPr>
          <w:lang w:val="en-GB"/>
        </w:rPr>
        <w:t>Ponisio</w:t>
      </w:r>
      <w:proofErr w:type="spellEnd"/>
      <w:r w:rsidRPr="00BC3514">
        <w:rPr>
          <w:lang w:val="en-GB"/>
        </w:rPr>
        <w:t xml:space="preserve"> et al. (2015) and </w:t>
      </w:r>
      <w:proofErr w:type="spellStart"/>
      <w:r w:rsidRPr="00BC3514">
        <w:rPr>
          <w:lang w:val="en-GB"/>
        </w:rPr>
        <w:t>Guyomard</w:t>
      </w:r>
      <w:proofErr w:type="spellEnd"/>
      <w:r w:rsidRPr="00BC3514">
        <w:rPr>
          <w:lang w:val="en-GB"/>
        </w:rPr>
        <w:t xml:space="preserve"> et al. (2013), the reduction</w:t>
      </w:r>
      <w:r>
        <w:rPr>
          <w:lang w:val="en-GB"/>
        </w:rPr>
        <w:t xml:space="preserve"> of</w:t>
      </w:r>
      <w:r w:rsidRPr="00BC3514">
        <w:rPr>
          <w:lang w:val="en-GB"/>
        </w:rPr>
        <w:t xml:space="preserve"> </w:t>
      </w:r>
      <w:r>
        <w:rPr>
          <w:lang w:val="en-GB"/>
        </w:rPr>
        <w:t>2010</w:t>
      </w:r>
      <w:r w:rsidRPr="00BC3514">
        <w:rPr>
          <w:lang w:val="en-GB"/>
        </w:rPr>
        <w:t xml:space="preserve"> yields in TYFA is in the order of -25% for cereals, between -20% and -45% for oilseeds and protein crops, -5% to -20% for fruits and vegetables and -10% to -15 % for fodder and grass </w:t>
      </w:r>
      <w:r>
        <w:rPr>
          <w:lang w:val="en-GB"/>
        </w:rPr>
        <w:t>(</w:t>
      </w:r>
      <w:r w:rsidRPr="00BC3514">
        <w:rPr>
          <w:lang w:val="en-GB"/>
        </w:rPr>
        <w:t>Poux and Aubert</w:t>
      </w:r>
      <w:r>
        <w:rPr>
          <w:lang w:val="en-GB"/>
        </w:rPr>
        <w:t xml:space="preserve">, </w:t>
      </w:r>
      <w:r w:rsidRPr="00BC3514">
        <w:rPr>
          <w:lang w:val="en-GB"/>
        </w:rPr>
        <w:t>2018</w:t>
      </w:r>
      <w:r>
        <w:rPr>
          <w:lang w:val="en-GB"/>
        </w:rPr>
        <w:t>).</w:t>
      </w:r>
    </w:p>
    <w:p w14:paraId="529E65EC" w14:textId="3D265F49" w:rsidR="00BF4479" w:rsidRPr="00BF4479" w:rsidRDefault="00BF4479" w:rsidP="00680917">
      <w:pPr>
        <w:jc w:val="both"/>
        <w:rPr>
          <w:b/>
          <w:bCs/>
          <w:lang w:val="en-GB"/>
        </w:rPr>
      </w:pPr>
      <w:bookmarkStart w:id="14" w:name="_Ref68794244"/>
      <w:bookmarkStart w:id="15" w:name="_Toc73545234"/>
      <w:r w:rsidRPr="00BF4479">
        <w:rPr>
          <w:b/>
          <w:bCs/>
          <w:lang w:val="en-GB"/>
        </w:rPr>
        <w:t xml:space="preserve">Table </w:t>
      </w:r>
      <w:r w:rsidR="00370B2D">
        <w:rPr>
          <w:b/>
          <w:bCs/>
          <w:lang w:val="en-GB"/>
        </w:rPr>
        <w:t>S</w:t>
      </w:r>
      <w:r w:rsidRPr="00BF4479">
        <w:rPr>
          <w:b/>
          <w:bCs/>
          <w:lang w:val="en-GB"/>
        </w:rPr>
        <w:fldChar w:fldCharType="begin"/>
      </w:r>
      <w:r w:rsidRPr="00BF4479">
        <w:rPr>
          <w:b/>
          <w:bCs/>
          <w:lang w:val="en-GB"/>
        </w:rPr>
        <w:instrText xml:space="preserve"> SEQ Table \* ARABIC </w:instrText>
      </w:r>
      <w:r w:rsidRPr="00BF4479">
        <w:rPr>
          <w:b/>
          <w:bCs/>
          <w:lang w:val="en-GB"/>
        </w:rPr>
        <w:fldChar w:fldCharType="separate"/>
      </w:r>
      <w:r w:rsidR="00DA77D2">
        <w:rPr>
          <w:b/>
          <w:bCs/>
          <w:noProof/>
          <w:lang w:val="en-GB"/>
        </w:rPr>
        <w:t>4</w:t>
      </w:r>
      <w:r w:rsidRPr="00BF4479">
        <w:fldChar w:fldCharType="end"/>
      </w:r>
      <w:bookmarkEnd w:id="14"/>
      <w:r w:rsidRPr="00BF4479">
        <w:rPr>
          <w:b/>
          <w:bCs/>
          <w:lang w:val="en-GB"/>
        </w:rPr>
        <w:t xml:space="preserve">. General rules for the changes in crop </w:t>
      </w:r>
      <w:proofErr w:type="gramStart"/>
      <w:r w:rsidRPr="00BF4479">
        <w:rPr>
          <w:b/>
          <w:bCs/>
          <w:lang w:val="en-GB"/>
        </w:rPr>
        <w:t>yields</w:t>
      </w:r>
      <w:proofErr w:type="gramEnd"/>
      <w:r w:rsidRPr="00BF4479">
        <w:rPr>
          <w:b/>
          <w:bCs/>
          <w:lang w:val="en-GB"/>
        </w:rPr>
        <w:t xml:space="preserve"> over 2010-2050 under both cropping systems pathways</w:t>
      </w:r>
      <w:bookmarkEnd w:id="15"/>
    </w:p>
    <w:tbl>
      <w:tblPr>
        <w:tblW w:w="90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560"/>
        <w:gridCol w:w="4218"/>
      </w:tblGrid>
      <w:tr w:rsidR="00BF4479" w:rsidRPr="00BF4479" w14:paraId="4F243A8E" w14:textId="77777777" w:rsidTr="00C42B8A">
        <w:tc>
          <w:tcPr>
            <w:tcW w:w="3260" w:type="dxa"/>
          </w:tcPr>
          <w:p w14:paraId="21B8FA30" w14:textId="77777777" w:rsidR="00BF4479" w:rsidRPr="00BF4479" w:rsidRDefault="00BF4479" w:rsidP="00680917">
            <w:pPr>
              <w:jc w:val="both"/>
              <w:rPr>
                <w:b/>
              </w:rPr>
            </w:pPr>
          </w:p>
        </w:tc>
        <w:tc>
          <w:tcPr>
            <w:tcW w:w="1560" w:type="dxa"/>
          </w:tcPr>
          <w:p w14:paraId="5062B9AF" w14:textId="77777777" w:rsidR="00BF4479" w:rsidRPr="00BF4479" w:rsidRDefault="00BF4479" w:rsidP="00680917">
            <w:pPr>
              <w:jc w:val="both"/>
            </w:pPr>
            <w:r w:rsidRPr="00BF4479">
              <w:t>Average yield gap reduction</w:t>
            </w:r>
          </w:p>
        </w:tc>
        <w:tc>
          <w:tcPr>
            <w:tcW w:w="4218" w:type="dxa"/>
          </w:tcPr>
          <w:p w14:paraId="767A5BE4" w14:textId="77777777" w:rsidR="00BF4479" w:rsidRPr="00BF4479" w:rsidRDefault="00BF4479" w:rsidP="00680917">
            <w:pPr>
              <w:jc w:val="both"/>
            </w:pPr>
            <w:r w:rsidRPr="00BF4479">
              <w:t>Higher (H)/Lower (L) yield gap reduction for specific crops</w:t>
            </w:r>
          </w:p>
        </w:tc>
      </w:tr>
      <w:tr w:rsidR="00BF4479" w:rsidRPr="00BF4479" w14:paraId="2A3BA5E3" w14:textId="77777777" w:rsidTr="00C42B8A">
        <w:trPr>
          <w:trHeight w:val="1056"/>
        </w:trPr>
        <w:tc>
          <w:tcPr>
            <w:tcW w:w="3260" w:type="dxa"/>
          </w:tcPr>
          <w:p w14:paraId="3BE735D3" w14:textId="77777777" w:rsidR="00BF4479" w:rsidRPr="00BF4479" w:rsidRDefault="00BF4479" w:rsidP="00680917">
            <w:pPr>
              <w:jc w:val="both"/>
              <w:rPr>
                <w:b/>
              </w:rPr>
            </w:pPr>
            <w:r w:rsidRPr="00BF4479">
              <w:rPr>
                <w:b/>
              </w:rPr>
              <w:t>‘Conventional intensification’</w:t>
            </w:r>
          </w:p>
          <w:p w14:paraId="3008AA22" w14:textId="77777777" w:rsidR="00BF4479" w:rsidRPr="00BF4479" w:rsidRDefault="00BF4479" w:rsidP="00680917">
            <w:pPr>
              <w:jc w:val="both"/>
              <w:rPr>
                <w:b/>
                <w:i/>
              </w:rPr>
            </w:pPr>
            <w:r w:rsidRPr="00BF4479">
              <w:rPr>
                <w:b/>
                <w:i/>
              </w:rPr>
              <w:t xml:space="preserve">with the </w:t>
            </w:r>
            <w:proofErr w:type="spellStart"/>
            <w:r w:rsidRPr="00BF4479">
              <w:rPr>
                <w:b/>
                <w:i/>
              </w:rPr>
              <w:t>Ultrap</w:t>
            </w:r>
            <w:proofErr w:type="spellEnd"/>
            <w:r w:rsidRPr="00BF4479">
              <w:rPr>
                <w:b/>
                <w:i/>
              </w:rPr>
              <w:t xml:space="preserve"> diet</w:t>
            </w:r>
          </w:p>
        </w:tc>
        <w:tc>
          <w:tcPr>
            <w:tcW w:w="1560" w:type="dxa"/>
          </w:tcPr>
          <w:p w14:paraId="5773A2F5" w14:textId="77777777" w:rsidR="00BF4479" w:rsidRPr="00BF4479" w:rsidRDefault="00BF4479" w:rsidP="00680917">
            <w:pPr>
              <w:jc w:val="both"/>
            </w:pPr>
            <w:r w:rsidRPr="00BF4479">
              <w:t>-50%</w:t>
            </w:r>
          </w:p>
        </w:tc>
        <w:tc>
          <w:tcPr>
            <w:tcW w:w="4218" w:type="dxa"/>
          </w:tcPr>
          <w:p w14:paraId="0A3F6B39" w14:textId="77777777" w:rsidR="00BF4479" w:rsidRPr="00BF4479" w:rsidRDefault="00BF4479" w:rsidP="00680917">
            <w:pPr>
              <w:jc w:val="both"/>
              <w:rPr>
                <w:lang w:val="fr-FR"/>
              </w:rPr>
            </w:pPr>
          </w:p>
          <w:p w14:paraId="3E01117F" w14:textId="77777777" w:rsidR="00BF4479" w:rsidRPr="00BF4479" w:rsidRDefault="00BF4479" w:rsidP="00680917">
            <w:pPr>
              <w:jc w:val="both"/>
              <w:rPr>
                <w:lang w:val="fr-FR"/>
              </w:rPr>
            </w:pPr>
            <w:proofErr w:type="gramStart"/>
            <w:r w:rsidRPr="00BF4479">
              <w:rPr>
                <w:lang w:val="fr-FR"/>
              </w:rPr>
              <w:t>Grains:</w:t>
            </w:r>
            <w:proofErr w:type="gramEnd"/>
            <w:r w:rsidRPr="00BF4479">
              <w:rPr>
                <w:lang w:val="fr-FR"/>
              </w:rPr>
              <w:t xml:space="preserve"> H </w:t>
            </w:r>
            <w:proofErr w:type="spellStart"/>
            <w:r w:rsidRPr="00BF4479">
              <w:rPr>
                <w:lang w:val="fr-FR"/>
              </w:rPr>
              <w:t>maize</w:t>
            </w:r>
            <w:proofErr w:type="spellEnd"/>
            <w:r w:rsidRPr="00BF4479">
              <w:rPr>
                <w:lang w:val="fr-FR"/>
              </w:rPr>
              <w:t xml:space="preserve">/L </w:t>
            </w:r>
            <w:proofErr w:type="spellStart"/>
            <w:r w:rsidRPr="00BF4479">
              <w:rPr>
                <w:lang w:val="fr-FR"/>
              </w:rPr>
              <w:t>coarse</w:t>
            </w:r>
            <w:proofErr w:type="spellEnd"/>
            <w:r w:rsidRPr="00BF4479">
              <w:rPr>
                <w:lang w:val="fr-FR"/>
              </w:rPr>
              <w:t xml:space="preserve"> grains</w:t>
            </w:r>
          </w:p>
          <w:p w14:paraId="4A08F9EC" w14:textId="77777777" w:rsidR="00BF4479" w:rsidRPr="00BF4479" w:rsidRDefault="00BF4479" w:rsidP="00680917">
            <w:pPr>
              <w:jc w:val="both"/>
            </w:pPr>
            <w:r w:rsidRPr="00BF4479">
              <w:t>Oilseeds and pulses: L pulses</w:t>
            </w:r>
          </w:p>
          <w:p w14:paraId="5568A2D5" w14:textId="77777777" w:rsidR="00BF4479" w:rsidRPr="00BF4479" w:rsidRDefault="00BF4479" w:rsidP="00680917">
            <w:pPr>
              <w:jc w:val="both"/>
              <w:rPr>
                <w:b/>
              </w:rPr>
            </w:pPr>
            <w:r w:rsidRPr="00BF4479">
              <w:t>Other products: H sugar crops</w:t>
            </w:r>
          </w:p>
        </w:tc>
      </w:tr>
      <w:tr w:rsidR="00BF4479" w:rsidRPr="00BF4479" w14:paraId="7953B259" w14:textId="77777777" w:rsidTr="00C42B8A">
        <w:trPr>
          <w:trHeight w:val="1270"/>
        </w:trPr>
        <w:tc>
          <w:tcPr>
            <w:tcW w:w="3260" w:type="dxa"/>
          </w:tcPr>
          <w:p w14:paraId="4D57CD81" w14:textId="6B364EA2" w:rsidR="00BF4479" w:rsidRPr="00BF4479" w:rsidRDefault="00BF4479" w:rsidP="00680917">
            <w:pPr>
              <w:jc w:val="both"/>
              <w:rPr>
                <w:b/>
              </w:rPr>
            </w:pPr>
            <w:r w:rsidRPr="00BF4479">
              <w:rPr>
                <w:b/>
              </w:rPr>
              <w:t>‘Agroecology’</w:t>
            </w:r>
            <w:r w:rsidR="00E34C93">
              <w:rPr>
                <w:b/>
              </w:rPr>
              <w:t xml:space="preserve"> (developing and emerging regions)</w:t>
            </w:r>
          </w:p>
          <w:p w14:paraId="3C73B81D" w14:textId="77777777" w:rsidR="00BF4479" w:rsidRPr="00BF4479" w:rsidRDefault="00BF4479" w:rsidP="00680917">
            <w:pPr>
              <w:jc w:val="both"/>
              <w:rPr>
                <w:b/>
                <w:i/>
              </w:rPr>
            </w:pPr>
            <w:r w:rsidRPr="00BF4479">
              <w:rPr>
                <w:b/>
                <w:i/>
              </w:rPr>
              <w:t>With the Healthy diet</w:t>
            </w:r>
          </w:p>
          <w:p w14:paraId="3E6AF9BE" w14:textId="77777777" w:rsidR="00BF4479" w:rsidRPr="00BF4479" w:rsidRDefault="00BF4479" w:rsidP="00680917">
            <w:pPr>
              <w:jc w:val="both"/>
              <w:rPr>
                <w:b/>
              </w:rPr>
            </w:pPr>
          </w:p>
        </w:tc>
        <w:tc>
          <w:tcPr>
            <w:tcW w:w="1560" w:type="dxa"/>
          </w:tcPr>
          <w:p w14:paraId="28FBB342" w14:textId="77777777" w:rsidR="00BF4479" w:rsidRPr="00BF4479" w:rsidRDefault="00BF4479" w:rsidP="00680917">
            <w:pPr>
              <w:jc w:val="both"/>
            </w:pPr>
            <w:r w:rsidRPr="00BF4479">
              <w:t>-30%</w:t>
            </w:r>
          </w:p>
        </w:tc>
        <w:tc>
          <w:tcPr>
            <w:tcW w:w="4218" w:type="dxa"/>
          </w:tcPr>
          <w:p w14:paraId="5B18BE85" w14:textId="77777777" w:rsidR="00BF4479" w:rsidRPr="00BF4479" w:rsidRDefault="00BF4479" w:rsidP="00680917">
            <w:pPr>
              <w:jc w:val="both"/>
            </w:pPr>
          </w:p>
          <w:p w14:paraId="5F51E276" w14:textId="77777777" w:rsidR="00BF4479" w:rsidRPr="00BF4479" w:rsidRDefault="00BF4479" w:rsidP="00680917">
            <w:pPr>
              <w:jc w:val="both"/>
            </w:pPr>
            <w:r w:rsidRPr="00BF4479">
              <w:t>Grains: H coarse grains/L others</w:t>
            </w:r>
          </w:p>
          <w:p w14:paraId="6369A327" w14:textId="77777777" w:rsidR="00BF4479" w:rsidRPr="00BF4479" w:rsidRDefault="00BF4479" w:rsidP="00680917">
            <w:pPr>
              <w:jc w:val="both"/>
            </w:pPr>
            <w:r w:rsidRPr="00BF4479">
              <w:t>Oilseeds and pulses: H pulses/L others</w:t>
            </w:r>
          </w:p>
          <w:p w14:paraId="66A50AA6" w14:textId="77777777" w:rsidR="00BF4479" w:rsidRPr="00BF4479" w:rsidRDefault="00BF4479" w:rsidP="00680917">
            <w:pPr>
              <w:jc w:val="both"/>
            </w:pPr>
            <w:r w:rsidRPr="00BF4479">
              <w:t>Other products: H fruit and vegetables/ L Others</w:t>
            </w:r>
          </w:p>
          <w:p w14:paraId="64966954" w14:textId="77777777" w:rsidR="00BF4479" w:rsidRPr="00BF4479" w:rsidRDefault="00BF4479" w:rsidP="00680917">
            <w:pPr>
              <w:jc w:val="both"/>
              <w:rPr>
                <w:b/>
              </w:rPr>
            </w:pPr>
            <w:r w:rsidRPr="00BF4479">
              <w:t>Grass and forage: 0</w:t>
            </w:r>
          </w:p>
        </w:tc>
      </w:tr>
    </w:tbl>
    <w:p w14:paraId="1AEE03AF" w14:textId="77777777" w:rsidR="00BF4479" w:rsidRPr="00BF4479" w:rsidRDefault="00BF4479" w:rsidP="00680917">
      <w:pPr>
        <w:jc w:val="both"/>
      </w:pPr>
    </w:p>
    <w:p w14:paraId="38101416" w14:textId="77777777" w:rsidR="00BF4479" w:rsidRPr="00BF4479" w:rsidRDefault="00BF4479" w:rsidP="00680917">
      <w:pPr>
        <w:jc w:val="both"/>
      </w:pPr>
      <w:r w:rsidRPr="00BF4479">
        <w:t>As far as cropping intensity ratios are concerned, our general rules imply that cropping intensity ratios in 2050 remain equivalent under ‘Conventional intensification’ and ’Agroecology’.</w:t>
      </w:r>
    </w:p>
    <w:p w14:paraId="5BDF5CB8" w14:textId="77777777" w:rsidR="00BF4479" w:rsidRPr="00BF4479" w:rsidRDefault="00BF4479" w:rsidP="00680917">
      <w:pPr>
        <w:jc w:val="both"/>
      </w:pPr>
      <w:r w:rsidRPr="00BF4479">
        <w:t xml:space="preserve">Following the above-described hypotheses, in average crop yield growth from 2010 to 2050 is greater in the ‘Conventional intensification’ than in the ‘Agroecology’ pathway. These hypotheses, which are key factors regarding the land-use change effects of the scenarios, are controversial and were extensively discussed with the Scenario Advisory Committee of Agrimonde-Terra (see Le Mouël </w:t>
      </w:r>
      <w:r w:rsidRPr="00BF4479">
        <w:rPr>
          <w:i/>
          <w:iCs/>
        </w:rPr>
        <w:t>et al.</w:t>
      </w:r>
      <w:r w:rsidRPr="00BF4479">
        <w:t xml:space="preserve">, 2018). </w:t>
      </w:r>
    </w:p>
    <w:p w14:paraId="22F4D8AF" w14:textId="77777777" w:rsidR="00BF4479" w:rsidRPr="00BF4479" w:rsidRDefault="00BF4479" w:rsidP="00680917">
      <w:pPr>
        <w:jc w:val="both"/>
      </w:pPr>
      <w:r w:rsidRPr="00BF4479">
        <w:lastRenderedPageBreak/>
        <w:t>It is noteworthy that when simulating the whole scenarios, the 2050 yields are those including both the impacts of changes in cropping systems and the impacts of climate change. Five main points may be underlined:</w:t>
      </w:r>
    </w:p>
    <w:p w14:paraId="2629833F" w14:textId="7C24C87E" w:rsidR="00BF4479" w:rsidRPr="00BF4479" w:rsidRDefault="00BF4479" w:rsidP="009C752D">
      <w:pPr>
        <w:numPr>
          <w:ilvl w:val="0"/>
          <w:numId w:val="4"/>
        </w:numPr>
        <w:jc w:val="both"/>
      </w:pPr>
      <w:r w:rsidRPr="00BF4479">
        <w:t>Following our general rules, per-hectare yields increase between 2010 and 2050 in both ‘Conventional intensification’ and ‘Agroecology’ pathways, for all crops in all regions, except those exhibiting initial zero yield gaps (such as rice in Rest of Asia for instance)</w:t>
      </w:r>
      <w:r w:rsidR="004736D3">
        <w:t xml:space="preserve"> and </w:t>
      </w:r>
      <w:r w:rsidR="006054FD">
        <w:t>except</w:t>
      </w:r>
      <w:r w:rsidR="004736D3">
        <w:t xml:space="preserve"> in developed </w:t>
      </w:r>
      <w:r w:rsidR="00774573">
        <w:t>regions</w:t>
      </w:r>
      <w:r w:rsidR="004736D3">
        <w:t xml:space="preserve"> in</w:t>
      </w:r>
      <w:r w:rsidR="00774573">
        <w:t xml:space="preserve"> the</w:t>
      </w:r>
      <w:r w:rsidR="004736D3">
        <w:t xml:space="preserve"> </w:t>
      </w:r>
      <w:r w:rsidR="004736D3" w:rsidRPr="00BF4479">
        <w:t>’Agroecology’</w:t>
      </w:r>
      <w:r w:rsidR="00774573">
        <w:t xml:space="preserve"> pathway</w:t>
      </w:r>
      <w:r w:rsidR="004736D3">
        <w:t xml:space="preserve">. </w:t>
      </w:r>
      <w:r w:rsidRPr="00BF4479">
        <w:t>In all other situations, whatever the cropping system pathways, the higher the initial yield gap, the higher the yield increase over 2010-2050.</w:t>
      </w:r>
    </w:p>
    <w:p w14:paraId="219CE147" w14:textId="77777777" w:rsidR="00BF4479" w:rsidRPr="00BF4479" w:rsidRDefault="00BF4479" w:rsidP="002B022E">
      <w:pPr>
        <w:numPr>
          <w:ilvl w:val="0"/>
          <w:numId w:val="4"/>
        </w:numPr>
        <w:jc w:val="both"/>
      </w:pPr>
      <w:r w:rsidRPr="00BF4479">
        <w:t xml:space="preserve">Following our general rules, for the main current cereals (maize, </w:t>
      </w:r>
      <w:proofErr w:type="gramStart"/>
      <w:r w:rsidRPr="00BF4479">
        <w:t>rice</w:t>
      </w:r>
      <w:proofErr w:type="gramEnd"/>
      <w:r w:rsidRPr="00BF4479">
        <w:t xml:space="preserve"> and wheat) and oilseeds (soybean) and for sugar crops, in all regions, yield increases over 2010-2050 are greater with the ‘Conventional intensification’ than with the ’Agroecology’ pathway.</w:t>
      </w:r>
    </w:p>
    <w:p w14:paraId="1A7B2F05" w14:textId="3E6B3F9F" w:rsidR="00BF4479" w:rsidRPr="00BF4479" w:rsidRDefault="00BF4479" w:rsidP="002B022E">
      <w:pPr>
        <w:numPr>
          <w:ilvl w:val="0"/>
          <w:numId w:val="4"/>
        </w:numPr>
        <w:jc w:val="both"/>
      </w:pPr>
      <w:r w:rsidRPr="00BF4479">
        <w:t xml:space="preserve">The situation is different for other crops such as other cereals, pulses, fruits and vegetables and roots and tubers, which consumption increases more with the ‘Healthy’ diets. For these crops, in </w:t>
      </w:r>
      <w:r w:rsidR="004736D3">
        <w:t>emerging and developing</w:t>
      </w:r>
      <w:r w:rsidRPr="00BF4479">
        <w:t xml:space="preserve"> regions, due to our induced technical change hypothesis, yield increases between 2010 and 2050 are higher with the ‘Agroecology’ pathways than with the ‘Conventional intensification pathway'”.</w:t>
      </w:r>
    </w:p>
    <w:p w14:paraId="3F1B1304" w14:textId="77777777" w:rsidR="00BF4479" w:rsidRPr="00BF4479" w:rsidRDefault="00BF4479" w:rsidP="00680917">
      <w:pPr>
        <w:jc w:val="both"/>
        <w:rPr>
          <w:b/>
          <w:bCs/>
          <w:lang w:val="en-GB"/>
        </w:rPr>
      </w:pPr>
      <w:bookmarkStart w:id="16" w:name="_Toc73545187"/>
      <w:r w:rsidRPr="00BF4479">
        <w:rPr>
          <w:b/>
          <w:bCs/>
          <w:lang w:val="en-GB"/>
        </w:rPr>
        <w:t>Livestock systems</w:t>
      </w:r>
      <w:bookmarkEnd w:id="16"/>
    </w:p>
    <w:p w14:paraId="0CB56157" w14:textId="77777777" w:rsidR="00BF4479" w:rsidRPr="00BF4479" w:rsidRDefault="00BF4479" w:rsidP="00680917">
      <w:pPr>
        <w:jc w:val="both"/>
        <w:rPr>
          <w:lang w:val="en-GB"/>
        </w:rPr>
      </w:pPr>
      <w:r w:rsidRPr="00BF4479">
        <w:rPr>
          <w:lang w:val="en-GB"/>
        </w:rPr>
        <w:t xml:space="preserve">Based on trends in </w:t>
      </w:r>
      <w:r w:rsidRPr="00BF4479">
        <w:rPr>
          <w:iCs/>
          <w:lang w:val="en-GB"/>
        </w:rPr>
        <w:t>a</w:t>
      </w:r>
      <w:r w:rsidRPr="00BF4479">
        <w:rPr>
          <w:lang w:val="en-GB"/>
        </w:rPr>
        <w:t>nimal feed, efficiency of animal systems, crop-livestock synergies, and herd mobility, two hypotheses for the future of livestock systems were produced: ‘Conventional i</w:t>
      </w:r>
      <w:r w:rsidRPr="00BF4479">
        <w:rPr>
          <w:iCs/>
          <w:lang w:val="en-GB"/>
        </w:rPr>
        <w:t>ntensive livestock’ and ‘Agroecological livestock’.</w:t>
      </w:r>
    </w:p>
    <w:p w14:paraId="25640BC4" w14:textId="03181D82" w:rsidR="00BF4479" w:rsidRPr="00BF4479" w:rsidRDefault="00BF4479" w:rsidP="00680917">
      <w:pPr>
        <w:jc w:val="both"/>
      </w:pPr>
      <w:r w:rsidRPr="00BF4479">
        <w:t xml:space="preserve">In </w:t>
      </w:r>
      <w:r w:rsidR="004B486B">
        <w:t>GlobAgri-Agt</w:t>
      </w:r>
      <w:r w:rsidRPr="00BF4479">
        <w:t xml:space="preserve">, regional livestock systems are quantitatively described and modeled based on data from Herrero </w:t>
      </w:r>
      <w:r w:rsidRPr="00BF4479">
        <w:rPr>
          <w:i/>
          <w:iCs/>
        </w:rPr>
        <w:t>et al.</w:t>
      </w:r>
      <w:r w:rsidRPr="00BF4479">
        <w:t xml:space="preserve"> (2013). In each region, we consider five livestock sectors (dairy, beef, small ruminants, </w:t>
      </w:r>
      <w:proofErr w:type="gramStart"/>
      <w:r w:rsidRPr="00BF4479">
        <w:t>pork</w:t>
      </w:r>
      <w:proofErr w:type="gramEnd"/>
      <w:r w:rsidRPr="00BF4479">
        <w:t xml:space="preserve"> and poultry), producing six animal products (milk and dairy, beef meat, small ruminant meat, pork meat, poultry meat and eggs). Each ruminant livestock sector is made up of four production systems (Herrero </w:t>
      </w:r>
      <w:r w:rsidRPr="00BF4479">
        <w:rPr>
          <w:i/>
          <w:iCs/>
        </w:rPr>
        <w:t>et al.</w:t>
      </w:r>
      <w:r w:rsidRPr="00BF4479">
        <w:t xml:space="preserve">’s so-called mixed, pastoral, urban and other systems). Each monogastric sector involves two production systems (Herrero </w:t>
      </w:r>
      <w:r w:rsidRPr="00BF4479">
        <w:rPr>
          <w:i/>
          <w:iCs/>
        </w:rPr>
        <w:t>et al.</w:t>
      </w:r>
      <w:r w:rsidRPr="00BF4479">
        <w:t>’s so-called urban and other systems).</w:t>
      </w:r>
    </w:p>
    <w:p w14:paraId="0A242AC9" w14:textId="1C788552" w:rsidR="00BF4479" w:rsidRPr="00BF4479" w:rsidRDefault="00BF4479" w:rsidP="00680917">
      <w:pPr>
        <w:jc w:val="both"/>
      </w:pPr>
      <w:r w:rsidRPr="00BF4479">
        <w:t xml:space="preserve">We faced difficulties when quantifying the hypotheses for the future of livestock systems and had to adopt restrictive assumptions. Our difficulties resulted from, at least, two main reasons. First, only two entry variables of the </w:t>
      </w:r>
      <w:r w:rsidR="004B486B">
        <w:t>GlobAgri-Agt</w:t>
      </w:r>
      <w:r w:rsidRPr="00BF4479">
        <w:t xml:space="preserve"> model were available to quantify the hypotheses for the future while the latter involved livestock pathways, which are differentiated on a set of various dimensions. Secondly, as far as ruminant sectors are concerned, there was not a clear ranking of the different production systems, from the least to the most intensive, emerging from the initial data we used. Hence, it was not easy to choose which production system(s) would expand more than the others in each retained hypothesis for the future (see below).</w:t>
      </w:r>
    </w:p>
    <w:p w14:paraId="288A068F" w14:textId="398D0CBD" w:rsidR="00BF4479" w:rsidRPr="00BF4479" w:rsidRDefault="00BF4479" w:rsidP="00680917">
      <w:pPr>
        <w:jc w:val="both"/>
      </w:pPr>
      <w:r w:rsidRPr="00BF4479">
        <w:t xml:space="preserve">The two concerned entry variables of the </w:t>
      </w:r>
      <w:r w:rsidR="004B486B">
        <w:t>GlobAgri-Agt</w:t>
      </w:r>
      <w:r w:rsidRPr="00BF4479">
        <w:t xml:space="preserve"> model are: </w:t>
      </w:r>
    </w:p>
    <w:p w14:paraId="522A75DD" w14:textId="77777777" w:rsidR="00BF4479" w:rsidRPr="00BF4479" w:rsidRDefault="00BF4479" w:rsidP="002B022E">
      <w:pPr>
        <w:numPr>
          <w:ilvl w:val="0"/>
          <w:numId w:val="4"/>
        </w:numPr>
        <w:jc w:val="both"/>
      </w:pPr>
      <w:r w:rsidRPr="00BF4479">
        <w:t xml:space="preserve">regional feed-to-output ratios (measuring the quantity of dry matter feed per unit of output produced) of each system in each </w:t>
      </w:r>
      <w:proofErr w:type="gramStart"/>
      <w:r w:rsidRPr="00BF4479">
        <w:t>sector;</w:t>
      </w:r>
      <w:proofErr w:type="gramEnd"/>
    </w:p>
    <w:p w14:paraId="41F877ED" w14:textId="77777777" w:rsidR="00BF4479" w:rsidRPr="00BF4479" w:rsidRDefault="00BF4479" w:rsidP="002B022E">
      <w:pPr>
        <w:numPr>
          <w:ilvl w:val="0"/>
          <w:numId w:val="4"/>
        </w:numPr>
        <w:jc w:val="both"/>
      </w:pPr>
      <w:r w:rsidRPr="00BF4479">
        <w:lastRenderedPageBreak/>
        <w:t xml:space="preserve">regional shares of the different production systems in the total output production of the considered sectors. </w:t>
      </w:r>
    </w:p>
    <w:p w14:paraId="741D945D" w14:textId="77777777" w:rsidR="00BF4479" w:rsidRPr="00BF4479" w:rsidRDefault="00BF4479" w:rsidP="00680917">
      <w:pPr>
        <w:jc w:val="both"/>
      </w:pPr>
      <w:r w:rsidRPr="00BF4479">
        <w:t>We assume that, in each region, the overall productivity of a livestock sector (as measured by its global feed-to-output ratio) may change between 2010 and 2050. This could happen through both the change in the feed-to-output ratios of the various systems in the sector (measuring the mixed effects of changes in the productivity per animal, in animal diseases and mortality and in the efficiency of feed rations) and the change in the relative shares in production of these various systems.</w:t>
      </w:r>
    </w:p>
    <w:p w14:paraId="2DD1A8C0" w14:textId="77777777" w:rsidR="00BF4479" w:rsidRPr="00BF4479" w:rsidRDefault="00BF4479" w:rsidP="00680917">
      <w:pPr>
        <w:jc w:val="both"/>
      </w:pPr>
      <w:r w:rsidRPr="00BF4479">
        <w:t>The general rules adopted for quantifying the livestock systems pathway of change are the following. They apply at the regional level:</w:t>
      </w:r>
    </w:p>
    <w:p w14:paraId="5F43960E" w14:textId="3FDB92F5" w:rsidR="00BF4479" w:rsidRPr="00DA77D2" w:rsidRDefault="00BF4479" w:rsidP="00DA77D2">
      <w:pPr>
        <w:pStyle w:val="Paragraphedeliste"/>
        <w:numPr>
          <w:ilvl w:val="0"/>
          <w:numId w:val="8"/>
        </w:numPr>
        <w:rPr>
          <w:b/>
          <w:bCs/>
          <w:lang w:val="en-GB"/>
        </w:rPr>
      </w:pPr>
      <w:r w:rsidRPr="00BF4479">
        <w:t xml:space="preserve">each future pathway is associated with one or two specific production systems per sector: the chosen systems are those where changes are occurring, other systems remain constant over 2010-2050. For each livestock systems pathway, production </w:t>
      </w:r>
      <w:r w:rsidRPr="008C4521">
        <w:t>systems concerned by changes are chosen as those best fitting the dynamics involved in the pathway (</w:t>
      </w:r>
      <w:r w:rsidRPr="008C4521">
        <w:fldChar w:fldCharType="begin"/>
      </w:r>
      <w:r w:rsidRPr="008C4521">
        <w:instrText xml:space="preserve"> REF _Ref68794274 \h </w:instrText>
      </w:r>
      <w:r w:rsidR="00680917" w:rsidRPr="008C4521">
        <w:instrText xml:space="preserve"> \* MERGEFORMAT </w:instrText>
      </w:r>
      <w:r w:rsidRPr="008C4521">
        <w:fldChar w:fldCharType="separate"/>
      </w:r>
      <w:r w:rsidR="00DA77D2" w:rsidRPr="008C4521">
        <w:rPr>
          <w:lang w:val="en-GB"/>
        </w:rPr>
        <w:t>Table S</w:t>
      </w:r>
      <w:r w:rsidR="00DA77D2" w:rsidRPr="008C4521">
        <w:rPr>
          <w:noProof/>
          <w:lang w:val="en-GB"/>
        </w:rPr>
        <w:t>5</w:t>
      </w:r>
      <w:r w:rsidRPr="008C4521">
        <w:fldChar w:fldCharType="end"/>
      </w:r>
      <w:r w:rsidRPr="008C4521">
        <w:t>).</w:t>
      </w:r>
    </w:p>
    <w:p w14:paraId="3EE07BCA" w14:textId="77777777" w:rsidR="00BF4479" w:rsidRPr="00BF4479" w:rsidRDefault="00BF4479" w:rsidP="002B022E">
      <w:pPr>
        <w:numPr>
          <w:ilvl w:val="0"/>
          <w:numId w:val="4"/>
        </w:numPr>
        <w:jc w:val="both"/>
      </w:pPr>
      <w:r w:rsidRPr="00BF4479">
        <w:t xml:space="preserve">For production systems experiencing changes between 2010 and 2050, feed-to-output ratios are assumed to change according to projections to 2030 provided by </w:t>
      </w:r>
      <w:proofErr w:type="spellStart"/>
      <w:r w:rsidRPr="00BF4479">
        <w:t>Bouwman</w:t>
      </w:r>
      <w:proofErr w:type="spellEnd"/>
      <w:r w:rsidRPr="00BF4479">
        <w:t xml:space="preserve"> </w:t>
      </w:r>
      <w:r w:rsidRPr="00BF4479">
        <w:rPr>
          <w:i/>
          <w:iCs/>
        </w:rPr>
        <w:t>et al.</w:t>
      </w:r>
      <w:r w:rsidRPr="00BF4479">
        <w:t xml:space="preserve"> (2005). This rule applies to all regions except West Africa and ECS Africa. In both regions, we assume that feed-to-output ratios change two times faster than expected in </w:t>
      </w:r>
      <w:proofErr w:type="spellStart"/>
      <w:r w:rsidRPr="00BF4479">
        <w:t>Bouwman</w:t>
      </w:r>
      <w:proofErr w:type="spellEnd"/>
      <w:r w:rsidRPr="00BF4479">
        <w:t xml:space="preserve"> </w:t>
      </w:r>
      <w:r w:rsidRPr="00BF4479">
        <w:rPr>
          <w:i/>
          <w:iCs/>
        </w:rPr>
        <w:t>et al.</w:t>
      </w:r>
      <w:r w:rsidRPr="00BF4479">
        <w:t>’s projections for the beef sector.</w:t>
      </w:r>
      <w:r w:rsidRPr="00BF4479">
        <w:rPr>
          <w:vertAlign w:val="superscript"/>
        </w:rPr>
        <w:footnoteReference w:id="5"/>
      </w:r>
    </w:p>
    <w:p w14:paraId="44F9D304" w14:textId="77777777" w:rsidR="00BF4479" w:rsidRPr="00BF4479" w:rsidRDefault="00BF4479" w:rsidP="00680917">
      <w:pPr>
        <w:jc w:val="both"/>
        <w:rPr>
          <w:b/>
          <w:bCs/>
          <w:lang w:val="en-GB"/>
        </w:rPr>
      </w:pPr>
    </w:p>
    <w:p w14:paraId="3F212A1A" w14:textId="77777777" w:rsidR="00BF4479" w:rsidRPr="00BF4479" w:rsidRDefault="00BF4479" w:rsidP="00680917">
      <w:pPr>
        <w:jc w:val="both"/>
        <w:rPr>
          <w:b/>
          <w:bCs/>
          <w:lang w:val="en-GB"/>
        </w:rPr>
      </w:pPr>
      <w:bookmarkStart w:id="17" w:name="_Ref68794274"/>
      <w:r w:rsidRPr="00BF4479">
        <w:rPr>
          <w:lang w:val="en-GB"/>
        </w:rPr>
        <w:br w:type="page"/>
      </w:r>
    </w:p>
    <w:p w14:paraId="765905A1" w14:textId="218F9270" w:rsidR="00BF4479" w:rsidRPr="00BF4479" w:rsidRDefault="00BF4479" w:rsidP="00680917">
      <w:pPr>
        <w:jc w:val="both"/>
        <w:rPr>
          <w:b/>
          <w:bCs/>
          <w:lang w:val="en-GB"/>
        </w:rPr>
      </w:pPr>
      <w:bookmarkStart w:id="18" w:name="_Toc73545235"/>
      <w:r w:rsidRPr="00BF4479">
        <w:rPr>
          <w:b/>
          <w:bCs/>
          <w:lang w:val="en-GB"/>
        </w:rPr>
        <w:lastRenderedPageBreak/>
        <w:t xml:space="preserve">Table </w:t>
      </w:r>
      <w:r w:rsidR="00370B2D">
        <w:rPr>
          <w:b/>
          <w:bCs/>
          <w:lang w:val="en-GB"/>
        </w:rPr>
        <w:t>S</w:t>
      </w:r>
      <w:r w:rsidRPr="00BF4479">
        <w:rPr>
          <w:b/>
          <w:bCs/>
          <w:lang w:val="en-GB"/>
        </w:rPr>
        <w:fldChar w:fldCharType="begin"/>
      </w:r>
      <w:r w:rsidRPr="00BF4479">
        <w:rPr>
          <w:b/>
          <w:bCs/>
          <w:lang w:val="en-GB"/>
        </w:rPr>
        <w:instrText xml:space="preserve"> SEQ Table \* ARABIC </w:instrText>
      </w:r>
      <w:r w:rsidRPr="00BF4479">
        <w:rPr>
          <w:b/>
          <w:bCs/>
          <w:lang w:val="en-GB"/>
        </w:rPr>
        <w:fldChar w:fldCharType="separate"/>
      </w:r>
      <w:r w:rsidR="00DA77D2">
        <w:rPr>
          <w:b/>
          <w:bCs/>
          <w:noProof/>
          <w:lang w:val="en-GB"/>
        </w:rPr>
        <w:t>5</w:t>
      </w:r>
      <w:r w:rsidRPr="00BF4479">
        <w:fldChar w:fldCharType="end"/>
      </w:r>
      <w:bookmarkEnd w:id="17"/>
      <w:r w:rsidRPr="00BF4479">
        <w:rPr>
          <w:b/>
          <w:bCs/>
          <w:lang w:val="en-GB"/>
        </w:rPr>
        <w:t>. General rules for the changes in livestock systems over 2010-2050 under both pathways</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237"/>
        <w:gridCol w:w="3119"/>
      </w:tblGrid>
      <w:tr w:rsidR="00BF4479" w:rsidRPr="00BF4479" w14:paraId="349385B3" w14:textId="77777777" w:rsidTr="00C42B8A">
        <w:tc>
          <w:tcPr>
            <w:tcW w:w="1294" w:type="dxa"/>
          </w:tcPr>
          <w:p w14:paraId="5039D7B1" w14:textId="77777777" w:rsidR="00BF4479" w:rsidRPr="00BF4479" w:rsidRDefault="00BF4479" w:rsidP="00680917">
            <w:pPr>
              <w:jc w:val="both"/>
              <w:rPr>
                <w:b/>
              </w:rPr>
            </w:pPr>
          </w:p>
        </w:tc>
        <w:tc>
          <w:tcPr>
            <w:tcW w:w="3237" w:type="dxa"/>
          </w:tcPr>
          <w:p w14:paraId="561471D9" w14:textId="77777777" w:rsidR="00BF4479" w:rsidRPr="00BF4479" w:rsidRDefault="00BF4479" w:rsidP="00680917">
            <w:pPr>
              <w:jc w:val="both"/>
              <w:rPr>
                <w:b/>
              </w:rPr>
            </w:pPr>
            <w:r w:rsidRPr="00BF4479">
              <w:rPr>
                <w:b/>
              </w:rPr>
              <w:t>Conventional intensive livestock</w:t>
            </w:r>
          </w:p>
        </w:tc>
        <w:tc>
          <w:tcPr>
            <w:tcW w:w="3119" w:type="dxa"/>
          </w:tcPr>
          <w:p w14:paraId="696075C9" w14:textId="77777777" w:rsidR="00BF4479" w:rsidRPr="00BF4479" w:rsidRDefault="00BF4479" w:rsidP="00680917">
            <w:pPr>
              <w:jc w:val="both"/>
              <w:rPr>
                <w:b/>
              </w:rPr>
            </w:pPr>
            <w:r w:rsidRPr="00BF4479">
              <w:rPr>
                <w:b/>
              </w:rPr>
              <w:t>Agroecological livestock</w:t>
            </w:r>
          </w:p>
        </w:tc>
      </w:tr>
      <w:tr w:rsidR="00BF4479" w:rsidRPr="00BF4479" w14:paraId="45300155" w14:textId="77777777" w:rsidTr="00C42B8A">
        <w:tc>
          <w:tcPr>
            <w:tcW w:w="7650" w:type="dxa"/>
            <w:gridSpan w:val="3"/>
          </w:tcPr>
          <w:p w14:paraId="1A7CEA2A" w14:textId="77777777" w:rsidR="00BF4479" w:rsidRPr="00BF4479" w:rsidRDefault="00BF4479" w:rsidP="00680917">
            <w:pPr>
              <w:jc w:val="both"/>
            </w:pPr>
            <w:r w:rsidRPr="00BF4479">
              <w:t>Change in feed-to-output ratios</w:t>
            </w:r>
            <w:r w:rsidRPr="00BF4479">
              <w:rPr>
                <w:vertAlign w:val="superscript"/>
              </w:rPr>
              <w:footnoteReference w:id="6"/>
            </w:r>
          </w:p>
        </w:tc>
      </w:tr>
      <w:tr w:rsidR="00BF4479" w:rsidRPr="00BF4479" w14:paraId="319D0D44" w14:textId="77777777" w:rsidTr="00C42B8A">
        <w:tc>
          <w:tcPr>
            <w:tcW w:w="1294" w:type="dxa"/>
          </w:tcPr>
          <w:p w14:paraId="5DAFFCEF" w14:textId="77777777" w:rsidR="00BF4479" w:rsidRPr="00BF4479" w:rsidRDefault="00BF4479" w:rsidP="00680917">
            <w:pPr>
              <w:jc w:val="both"/>
              <w:rPr>
                <w:b/>
              </w:rPr>
            </w:pPr>
            <w:r w:rsidRPr="00BF4479">
              <w:rPr>
                <w:b/>
              </w:rPr>
              <w:t>Ruminant</w:t>
            </w:r>
          </w:p>
          <w:p w14:paraId="43873B9C" w14:textId="77777777" w:rsidR="00BF4479" w:rsidRPr="00BF4479" w:rsidRDefault="00BF4479" w:rsidP="00680917">
            <w:pPr>
              <w:jc w:val="both"/>
            </w:pPr>
            <w:r w:rsidRPr="00BF4479">
              <w:t>Mixed</w:t>
            </w:r>
          </w:p>
          <w:p w14:paraId="3606A0E5" w14:textId="77777777" w:rsidR="00BF4479" w:rsidRPr="00BF4479" w:rsidRDefault="00BF4479" w:rsidP="00680917">
            <w:pPr>
              <w:jc w:val="both"/>
            </w:pPr>
            <w:r w:rsidRPr="00BF4479">
              <w:t>Pastoral</w:t>
            </w:r>
          </w:p>
          <w:p w14:paraId="37574723" w14:textId="77777777" w:rsidR="00BF4479" w:rsidRPr="00BF4479" w:rsidRDefault="00BF4479" w:rsidP="00680917">
            <w:pPr>
              <w:jc w:val="both"/>
            </w:pPr>
            <w:r w:rsidRPr="00BF4479">
              <w:t xml:space="preserve">Urban </w:t>
            </w:r>
          </w:p>
          <w:p w14:paraId="2A50CA4E" w14:textId="77777777" w:rsidR="00BF4479" w:rsidRPr="00BF4479" w:rsidRDefault="00BF4479" w:rsidP="00680917">
            <w:pPr>
              <w:jc w:val="both"/>
            </w:pPr>
            <w:r w:rsidRPr="00BF4479">
              <w:t>Other</w:t>
            </w:r>
          </w:p>
          <w:p w14:paraId="786DDBD6" w14:textId="77777777" w:rsidR="00BF4479" w:rsidRPr="00BF4479" w:rsidRDefault="00BF4479" w:rsidP="00680917">
            <w:pPr>
              <w:jc w:val="both"/>
              <w:rPr>
                <w:b/>
              </w:rPr>
            </w:pPr>
            <w:r w:rsidRPr="00BF4479">
              <w:rPr>
                <w:b/>
              </w:rPr>
              <w:t>Monogastric</w:t>
            </w:r>
          </w:p>
          <w:p w14:paraId="2997A837" w14:textId="77777777" w:rsidR="00BF4479" w:rsidRPr="00BF4479" w:rsidRDefault="00BF4479" w:rsidP="00680917">
            <w:pPr>
              <w:jc w:val="both"/>
            </w:pPr>
            <w:r w:rsidRPr="00BF4479">
              <w:t>Urban</w:t>
            </w:r>
          </w:p>
          <w:p w14:paraId="3A1D090B" w14:textId="77777777" w:rsidR="00BF4479" w:rsidRPr="00BF4479" w:rsidRDefault="00BF4479" w:rsidP="00680917">
            <w:pPr>
              <w:jc w:val="both"/>
            </w:pPr>
            <w:r w:rsidRPr="00BF4479">
              <w:t>Other</w:t>
            </w:r>
          </w:p>
        </w:tc>
        <w:tc>
          <w:tcPr>
            <w:tcW w:w="3237" w:type="dxa"/>
          </w:tcPr>
          <w:p w14:paraId="06F0B448" w14:textId="77777777" w:rsidR="00BF4479" w:rsidRPr="00BF4479" w:rsidRDefault="00BF4479" w:rsidP="00680917">
            <w:pPr>
              <w:jc w:val="both"/>
            </w:pPr>
          </w:p>
          <w:p w14:paraId="5B40D3FE" w14:textId="77777777" w:rsidR="00BF4479" w:rsidRPr="00BF4479" w:rsidRDefault="00BF4479" w:rsidP="00680917">
            <w:pPr>
              <w:jc w:val="both"/>
            </w:pPr>
            <w:r w:rsidRPr="00BF4479">
              <w:t>Decrease (</w:t>
            </w:r>
            <w:proofErr w:type="spellStart"/>
            <w:r w:rsidRPr="00BF4479">
              <w:t>Bouwman</w:t>
            </w:r>
            <w:proofErr w:type="spellEnd"/>
            <w:r w:rsidRPr="00BF4479">
              <w:t xml:space="preserve"> </w:t>
            </w:r>
            <w:r w:rsidRPr="00BF4479">
              <w:rPr>
                <w:i/>
              </w:rPr>
              <w:t>et al.</w:t>
            </w:r>
            <w:r w:rsidRPr="00BF4479">
              <w:t>)</w:t>
            </w:r>
          </w:p>
          <w:p w14:paraId="6111AD0F" w14:textId="77777777" w:rsidR="00BF4479" w:rsidRPr="00BF4479" w:rsidRDefault="00BF4479" w:rsidP="00680917">
            <w:pPr>
              <w:jc w:val="both"/>
            </w:pPr>
            <w:r w:rsidRPr="00BF4479">
              <w:t>Decrease (</w:t>
            </w:r>
            <w:proofErr w:type="spellStart"/>
            <w:r w:rsidRPr="00BF4479">
              <w:t>Bouwman</w:t>
            </w:r>
            <w:proofErr w:type="spellEnd"/>
            <w:r w:rsidRPr="00BF4479">
              <w:t xml:space="preserve"> </w:t>
            </w:r>
            <w:r w:rsidRPr="00BF4479">
              <w:rPr>
                <w:i/>
              </w:rPr>
              <w:t>et al.</w:t>
            </w:r>
            <w:r w:rsidRPr="00BF4479">
              <w:t>)</w:t>
            </w:r>
          </w:p>
          <w:p w14:paraId="7E2906F7" w14:textId="77777777" w:rsidR="00BF4479" w:rsidRPr="00BF4479" w:rsidRDefault="00BF4479" w:rsidP="00680917">
            <w:pPr>
              <w:jc w:val="both"/>
            </w:pPr>
            <w:r w:rsidRPr="00BF4479">
              <w:t>No change</w:t>
            </w:r>
          </w:p>
          <w:p w14:paraId="06FD2EDD" w14:textId="77777777" w:rsidR="00BF4479" w:rsidRPr="00BF4479" w:rsidRDefault="00BF4479" w:rsidP="00680917">
            <w:pPr>
              <w:jc w:val="both"/>
            </w:pPr>
            <w:r w:rsidRPr="00BF4479">
              <w:t>No change</w:t>
            </w:r>
          </w:p>
          <w:p w14:paraId="39FB94F3" w14:textId="77777777" w:rsidR="00BF4479" w:rsidRPr="00BF4479" w:rsidRDefault="00BF4479" w:rsidP="00680917">
            <w:pPr>
              <w:jc w:val="both"/>
            </w:pPr>
          </w:p>
          <w:p w14:paraId="038DFEC1" w14:textId="77777777" w:rsidR="00BF4479" w:rsidRPr="00BF4479" w:rsidRDefault="00BF4479" w:rsidP="00680917">
            <w:pPr>
              <w:jc w:val="both"/>
            </w:pPr>
            <w:r w:rsidRPr="00BF4479">
              <w:t>Decrease (</w:t>
            </w:r>
            <w:proofErr w:type="spellStart"/>
            <w:r w:rsidRPr="00BF4479">
              <w:t>Bouwman</w:t>
            </w:r>
            <w:proofErr w:type="spellEnd"/>
            <w:r w:rsidRPr="00BF4479">
              <w:t xml:space="preserve"> </w:t>
            </w:r>
            <w:r w:rsidRPr="00BF4479">
              <w:rPr>
                <w:i/>
              </w:rPr>
              <w:t>et al.</w:t>
            </w:r>
            <w:r w:rsidRPr="00BF4479">
              <w:t>)</w:t>
            </w:r>
          </w:p>
          <w:p w14:paraId="7972E8BC" w14:textId="77777777" w:rsidR="00BF4479" w:rsidRPr="00BF4479" w:rsidRDefault="00BF4479" w:rsidP="00680917">
            <w:pPr>
              <w:jc w:val="both"/>
            </w:pPr>
            <w:r w:rsidRPr="00BF4479">
              <w:t>No change</w:t>
            </w:r>
          </w:p>
        </w:tc>
        <w:tc>
          <w:tcPr>
            <w:tcW w:w="3119" w:type="dxa"/>
          </w:tcPr>
          <w:p w14:paraId="48575E18" w14:textId="77777777" w:rsidR="00BF4479" w:rsidRPr="00BF4479" w:rsidRDefault="00BF4479" w:rsidP="00680917">
            <w:pPr>
              <w:jc w:val="both"/>
            </w:pPr>
          </w:p>
          <w:p w14:paraId="5AC1AAD7" w14:textId="0D6C8F0A" w:rsidR="00BF4479" w:rsidRPr="00BF4479" w:rsidRDefault="00BF4479" w:rsidP="00680917">
            <w:pPr>
              <w:jc w:val="both"/>
            </w:pPr>
            <w:r w:rsidRPr="00BF4479">
              <w:t>Decrease (</w:t>
            </w:r>
            <w:proofErr w:type="spellStart"/>
            <w:r w:rsidR="008C4521" w:rsidRPr="00BF4479">
              <w:t>Bouwman</w:t>
            </w:r>
            <w:proofErr w:type="spellEnd"/>
            <w:r w:rsidRPr="00BF4479">
              <w:t xml:space="preserve"> </w:t>
            </w:r>
            <w:r w:rsidRPr="00BF4479">
              <w:rPr>
                <w:i/>
              </w:rPr>
              <w:t>et al.</w:t>
            </w:r>
            <w:r w:rsidRPr="00BF4479">
              <w:t>)</w:t>
            </w:r>
          </w:p>
          <w:p w14:paraId="52C3D811" w14:textId="77777777" w:rsidR="00BF4479" w:rsidRPr="00BF4479" w:rsidRDefault="00BF4479" w:rsidP="00680917">
            <w:pPr>
              <w:jc w:val="both"/>
            </w:pPr>
            <w:r w:rsidRPr="00BF4479">
              <w:t>Decrease, (</w:t>
            </w:r>
            <w:proofErr w:type="spellStart"/>
            <w:r w:rsidRPr="00BF4479">
              <w:t>Bouwman</w:t>
            </w:r>
            <w:proofErr w:type="spellEnd"/>
            <w:r w:rsidRPr="00BF4479">
              <w:t xml:space="preserve"> </w:t>
            </w:r>
            <w:r w:rsidRPr="00BF4479">
              <w:rPr>
                <w:i/>
              </w:rPr>
              <w:t>et al.</w:t>
            </w:r>
            <w:r w:rsidRPr="00BF4479">
              <w:t>)</w:t>
            </w:r>
          </w:p>
          <w:p w14:paraId="3E44D579" w14:textId="77777777" w:rsidR="00BF4479" w:rsidRPr="00BF4479" w:rsidRDefault="00BF4479" w:rsidP="00680917">
            <w:pPr>
              <w:jc w:val="both"/>
            </w:pPr>
            <w:r w:rsidRPr="00BF4479">
              <w:t>No change</w:t>
            </w:r>
          </w:p>
          <w:p w14:paraId="71BE5FDE" w14:textId="77777777" w:rsidR="00BF4479" w:rsidRPr="00BF4479" w:rsidRDefault="00BF4479" w:rsidP="00680917">
            <w:pPr>
              <w:jc w:val="both"/>
            </w:pPr>
            <w:r w:rsidRPr="00BF4479">
              <w:t>No change</w:t>
            </w:r>
          </w:p>
          <w:p w14:paraId="2F70AA7B" w14:textId="77777777" w:rsidR="00BF4479" w:rsidRPr="00BF4479" w:rsidRDefault="00BF4479" w:rsidP="00680917">
            <w:pPr>
              <w:jc w:val="both"/>
            </w:pPr>
          </w:p>
          <w:p w14:paraId="1048FAA4" w14:textId="77777777" w:rsidR="00BF4479" w:rsidRPr="00BF4479" w:rsidRDefault="00BF4479" w:rsidP="00680917">
            <w:pPr>
              <w:jc w:val="both"/>
            </w:pPr>
            <w:r w:rsidRPr="00BF4479">
              <w:t>No change</w:t>
            </w:r>
          </w:p>
          <w:p w14:paraId="5AC423C4" w14:textId="77777777" w:rsidR="00BF4479" w:rsidRPr="00BF4479" w:rsidRDefault="00BF4479" w:rsidP="00680917">
            <w:pPr>
              <w:jc w:val="both"/>
            </w:pPr>
            <w:r w:rsidRPr="00BF4479">
              <w:t>No change</w:t>
            </w:r>
          </w:p>
        </w:tc>
      </w:tr>
      <w:tr w:rsidR="00BF4479" w:rsidRPr="00BF4479" w14:paraId="75BF75DE" w14:textId="77777777" w:rsidTr="00C42B8A">
        <w:tc>
          <w:tcPr>
            <w:tcW w:w="7650" w:type="dxa"/>
            <w:gridSpan w:val="3"/>
          </w:tcPr>
          <w:p w14:paraId="7112B53A" w14:textId="77777777" w:rsidR="00BF4479" w:rsidRPr="00BF4479" w:rsidRDefault="00BF4479" w:rsidP="00680917">
            <w:pPr>
              <w:jc w:val="both"/>
            </w:pPr>
            <w:r w:rsidRPr="00BF4479">
              <w:t>Change in production shares</w:t>
            </w:r>
          </w:p>
        </w:tc>
      </w:tr>
      <w:tr w:rsidR="00BF4479" w:rsidRPr="00BF4479" w14:paraId="6FED74BC" w14:textId="77777777" w:rsidTr="00C42B8A">
        <w:tc>
          <w:tcPr>
            <w:tcW w:w="1294" w:type="dxa"/>
          </w:tcPr>
          <w:p w14:paraId="4D19B2F8" w14:textId="77777777" w:rsidR="00BF4479" w:rsidRPr="00BF4479" w:rsidRDefault="00BF4479" w:rsidP="00680917">
            <w:pPr>
              <w:jc w:val="both"/>
              <w:rPr>
                <w:b/>
              </w:rPr>
            </w:pPr>
            <w:r w:rsidRPr="00BF4479">
              <w:rPr>
                <w:b/>
              </w:rPr>
              <w:t>Ruminant</w:t>
            </w:r>
          </w:p>
          <w:p w14:paraId="6DF3AE88" w14:textId="77777777" w:rsidR="00BF4479" w:rsidRPr="00BF4479" w:rsidRDefault="00BF4479" w:rsidP="00680917">
            <w:pPr>
              <w:jc w:val="both"/>
            </w:pPr>
            <w:r w:rsidRPr="00BF4479">
              <w:t>Mixed</w:t>
            </w:r>
          </w:p>
          <w:p w14:paraId="387B7A76" w14:textId="77777777" w:rsidR="00BF4479" w:rsidRPr="00BF4479" w:rsidRDefault="00BF4479" w:rsidP="00680917">
            <w:pPr>
              <w:jc w:val="both"/>
            </w:pPr>
            <w:r w:rsidRPr="00BF4479">
              <w:t>Pastoral</w:t>
            </w:r>
          </w:p>
          <w:p w14:paraId="7415DFCC" w14:textId="77777777" w:rsidR="00BF4479" w:rsidRPr="00BF4479" w:rsidRDefault="00BF4479" w:rsidP="00680917">
            <w:pPr>
              <w:jc w:val="both"/>
            </w:pPr>
            <w:r w:rsidRPr="00BF4479">
              <w:t xml:space="preserve">Urban </w:t>
            </w:r>
          </w:p>
          <w:p w14:paraId="06379AA3" w14:textId="77777777" w:rsidR="00BF4479" w:rsidRPr="00BF4479" w:rsidRDefault="00BF4479" w:rsidP="00680917">
            <w:pPr>
              <w:jc w:val="both"/>
            </w:pPr>
            <w:r w:rsidRPr="00BF4479">
              <w:t>Other</w:t>
            </w:r>
          </w:p>
          <w:p w14:paraId="1E3406B4" w14:textId="77777777" w:rsidR="00BF4479" w:rsidRPr="00BF4479" w:rsidRDefault="00BF4479" w:rsidP="00680917">
            <w:pPr>
              <w:jc w:val="both"/>
              <w:rPr>
                <w:b/>
              </w:rPr>
            </w:pPr>
            <w:r w:rsidRPr="00BF4479">
              <w:rPr>
                <w:b/>
              </w:rPr>
              <w:t>Monogastric</w:t>
            </w:r>
          </w:p>
          <w:p w14:paraId="4CF1F6AA" w14:textId="77777777" w:rsidR="00BF4479" w:rsidRPr="00BF4479" w:rsidRDefault="00BF4479" w:rsidP="00680917">
            <w:pPr>
              <w:jc w:val="both"/>
            </w:pPr>
            <w:r w:rsidRPr="00BF4479">
              <w:t>Urban</w:t>
            </w:r>
          </w:p>
          <w:p w14:paraId="7990B856" w14:textId="77777777" w:rsidR="00BF4479" w:rsidRPr="00BF4479" w:rsidRDefault="00BF4479" w:rsidP="00680917">
            <w:pPr>
              <w:jc w:val="both"/>
            </w:pPr>
            <w:r w:rsidRPr="00BF4479">
              <w:t>Other</w:t>
            </w:r>
          </w:p>
        </w:tc>
        <w:tc>
          <w:tcPr>
            <w:tcW w:w="3237" w:type="dxa"/>
          </w:tcPr>
          <w:p w14:paraId="3FFCC09D" w14:textId="77777777" w:rsidR="00BF4479" w:rsidRPr="00BF4479" w:rsidRDefault="00BF4479" w:rsidP="00680917">
            <w:pPr>
              <w:jc w:val="both"/>
            </w:pPr>
          </w:p>
          <w:p w14:paraId="5E762D29" w14:textId="77777777" w:rsidR="00BF4479" w:rsidRPr="00BF4479" w:rsidRDefault="00BF4479" w:rsidP="00680917">
            <w:pPr>
              <w:jc w:val="both"/>
            </w:pPr>
            <w:r w:rsidRPr="00BF4479">
              <w:t>Increase</w:t>
            </w:r>
          </w:p>
          <w:p w14:paraId="76AF6DD6" w14:textId="77777777" w:rsidR="00BF4479" w:rsidRPr="00BF4479" w:rsidRDefault="00BF4479" w:rsidP="00680917">
            <w:pPr>
              <w:jc w:val="both"/>
            </w:pPr>
            <w:r w:rsidRPr="00BF4479">
              <w:t>Decrease</w:t>
            </w:r>
          </w:p>
          <w:p w14:paraId="431592D1" w14:textId="77777777" w:rsidR="00BF4479" w:rsidRPr="00BF4479" w:rsidRDefault="00BF4479" w:rsidP="00680917">
            <w:pPr>
              <w:jc w:val="both"/>
            </w:pPr>
            <w:r w:rsidRPr="00BF4479">
              <w:t>Decrease</w:t>
            </w:r>
          </w:p>
          <w:p w14:paraId="2DAE414E" w14:textId="77777777" w:rsidR="00BF4479" w:rsidRPr="00BF4479" w:rsidRDefault="00BF4479" w:rsidP="00680917">
            <w:pPr>
              <w:jc w:val="both"/>
            </w:pPr>
            <w:r w:rsidRPr="00BF4479">
              <w:t>Decrease</w:t>
            </w:r>
          </w:p>
          <w:p w14:paraId="110C1DF6" w14:textId="77777777" w:rsidR="00BF4479" w:rsidRPr="00BF4479" w:rsidRDefault="00BF4479" w:rsidP="00680917">
            <w:pPr>
              <w:jc w:val="both"/>
            </w:pPr>
          </w:p>
          <w:p w14:paraId="18E62AEE" w14:textId="77777777" w:rsidR="00BF4479" w:rsidRPr="00BF4479" w:rsidRDefault="00BF4479" w:rsidP="00680917">
            <w:pPr>
              <w:jc w:val="both"/>
            </w:pPr>
            <w:r w:rsidRPr="00BF4479">
              <w:t>Increase</w:t>
            </w:r>
          </w:p>
          <w:p w14:paraId="5109A7A7" w14:textId="77777777" w:rsidR="00BF4479" w:rsidRPr="00BF4479" w:rsidRDefault="00BF4479" w:rsidP="00680917">
            <w:pPr>
              <w:jc w:val="both"/>
            </w:pPr>
            <w:r w:rsidRPr="00BF4479">
              <w:t>Decrease</w:t>
            </w:r>
          </w:p>
        </w:tc>
        <w:tc>
          <w:tcPr>
            <w:tcW w:w="3119" w:type="dxa"/>
          </w:tcPr>
          <w:p w14:paraId="7A719E89" w14:textId="77777777" w:rsidR="00BF4479" w:rsidRPr="00BF4479" w:rsidRDefault="00BF4479" w:rsidP="00680917">
            <w:pPr>
              <w:jc w:val="both"/>
            </w:pPr>
          </w:p>
          <w:p w14:paraId="73DBEB0C" w14:textId="77777777" w:rsidR="00BF4479" w:rsidRPr="00BF4479" w:rsidRDefault="00BF4479" w:rsidP="00680917">
            <w:pPr>
              <w:jc w:val="both"/>
            </w:pPr>
            <w:r w:rsidRPr="00BF4479">
              <w:t>Increase</w:t>
            </w:r>
          </w:p>
          <w:p w14:paraId="56D5202C" w14:textId="77777777" w:rsidR="00BF4479" w:rsidRPr="00BF4479" w:rsidRDefault="00BF4479" w:rsidP="00680917">
            <w:pPr>
              <w:jc w:val="both"/>
            </w:pPr>
            <w:r w:rsidRPr="00BF4479">
              <w:t>No change</w:t>
            </w:r>
          </w:p>
          <w:p w14:paraId="494018B7" w14:textId="77777777" w:rsidR="00BF4479" w:rsidRPr="00BF4479" w:rsidRDefault="00BF4479" w:rsidP="00680917">
            <w:pPr>
              <w:jc w:val="both"/>
            </w:pPr>
            <w:r w:rsidRPr="00BF4479">
              <w:t>Decrease</w:t>
            </w:r>
          </w:p>
          <w:p w14:paraId="3B01116D" w14:textId="77777777" w:rsidR="00BF4479" w:rsidRPr="00BF4479" w:rsidRDefault="00BF4479" w:rsidP="00680917">
            <w:pPr>
              <w:jc w:val="both"/>
            </w:pPr>
            <w:r w:rsidRPr="00BF4479">
              <w:t>Decrease</w:t>
            </w:r>
          </w:p>
          <w:p w14:paraId="3306607C" w14:textId="77777777" w:rsidR="00BF4479" w:rsidRPr="00BF4479" w:rsidRDefault="00BF4479" w:rsidP="00680917">
            <w:pPr>
              <w:jc w:val="both"/>
            </w:pPr>
          </w:p>
          <w:p w14:paraId="16B03F61" w14:textId="77777777" w:rsidR="00BF4479" w:rsidRPr="00BF4479" w:rsidRDefault="00BF4479" w:rsidP="00680917">
            <w:pPr>
              <w:jc w:val="both"/>
            </w:pPr>
            <w:r w:rsidRPr="00BF4479">
              <w:t>Decrease</w:t>
            </w:r>
          </w:p>
          <w:p w14:paraId="027C26E9" w14:textId="77777777" w:rsidR="00BF4479" w:rsidRPr="00BF4479" w:rsidRDefault="00BF4479" w:rsidP="00680917">
            <w:pPr>
              <w:jc w:val="both"/>
            </w:pPr>
            <w:r w:rsidRPr="00BF4479">
              <w:t>Increase</w:t>
            </w:r>
          </w:p>
        </w:tc>
      </w:tr>
    </w:tbl>
    <w:p w14:paraId="03A44411" w14:textId="77777777" w:rsidR="00BF4479" w:rsidRPr="00BF4479" w:rsidRDefault="00BF4479" w:rsidP="00680917">
      <w:pPr>
        <w:jc w:val="both"/>
        <w:rPr>
          <w:lang w:val="en-GB"/>
        </w:rPr>
      </w:pPr>
    </w:p>
    <w:p w14:paraId="4FD3FCA4" w14:textId="77777777" w:rsidR="00BF4479" w:rsidRPr="00BF4479" w:rsidRDefault="00BF4479" w:rsidP="00680917">
      <w:pPr>
        <w:jc w:val="both"/>
      </w:pPr>
      <w:r w:rsidRPr="00BF4479">
        <w:lastRenderedPageBreak/>
        <w:t>Following our general rules, applied reductions on feed-to-output ratios:</w:t>
      </w:r>
    </w:p>
    <w:p w14:paraId="12900FD3" w14:textId="77777777" w:rsidR="00BF4479" w:rsidRPr="00BF4479" w:rsidRDefault="00BF4479" w:rsidP="00680917">
      <w:pPr>
        <w:jc w:val="both"/>
      </w:pPr>
      <w:r w:rsidRPr="00BF4479">
        <w:t>- do not differ between ‘Conventional intensive livestock’ and ‘Agroecological livestock’ for ruminant sectors. Indeed, in contrast to our quantitative hypotheses regarding cropping systems pathways, we were not able to find evidence of any performance gaps (in terms of feed-to-output ratios) between conventional and agroecological systems. Hence, the only difference in global performance changes in ruminant sectors lies in the diverging evolution of production shares of the various ruminant systems under both pathways: the production shares of mixed systems increase to the detriment of all systems in the ‘Conventional intensive livestock’ pathways, including the pastoral one, while in the ‘Agroecological livestock’ pathway, the production shares of the mixed systems increase to the detriment of urban and other systems only, the shares of pastoral systems remaining constant;</w:t>
      </w:r>
    </w:p>
    <w:p w14:paraId="3BBBC8E0" w14:textId="77777777" w:rsidR="00BF4479" w:rsidRPr="00BF4479" w:rsidRDefault="00BF4479" w:rsidP="00680917">
      <w:pPr>
        <w:jc w:val="both"/>
      </w:pPr>
      <w:r w:rsidRPr="00BF4479">
        <w:t xml:space="preserve">- are greater in ‘Conventional intensive livestock’ than in ‘Agroecological livestock’ for monogastric sectors. Based on expert knowledge, we considered that shifting to agroecological systems would not allow to gain any efficiency in monogastric sectors as far as feed-to-output ratios are </w:t>
      </w:r>
      <w:proofErr w:type="gramStart"/>
      <w:r w:rsidRPr="00BF4479">
        <w:t>concerned;</w:t>
      </w:r>
      <w:proofErr w:type="gramEnd"/>
    </w:p>
    <w:p w14:paraId="2E160E32" w14:textId="77777777" w:rsidR="00BF4479" w:rsidRPr="00BF4479" w:rsidRDefault="00BF4479" w:rsidP="00680917">
      <w:pPr>
        <w:jc w:val="both"/>
      </w:pPr>
      <w:r w:rsidRPr="00BF4479">
        <w:t xml:space="preserve">- are significantly greater in developing regions than in developed regions. For the latter, </w:t>
      </w:r>
      <w:proofErr w:type="spellStart"/>
      <w:r w:rsidRPr="00BF4479">
        <w:t>Bouwman</w:t>
      </w:r>
      <w:proofErr w:type="spellEnd"/>
      <w:r w:rsidRPr="00BF4479">
        <w:t xml:space="preserve"> </w:t>
      </w:r>
      <w:r w:rsidRPr="00BF4479">
        <w:rPr>
          <w:i/>
          <w:iCs/>
        </w:rPr>
        <w:t>et al.</w:t>
      </w:r>
      <w:r w:rsidRPr="00BF4479">
        <w:t xml:space="preserve">’s projections to 2030 suggest that nearly no further improvement in efficiency (as measured by feed-to-output ratios) could be realized in the dairy, </w:t>
      </w:r>
      <w:proofErr w:type="gramStart"/>
      <w:r w:rsidRPr="00BF4479">
        <w:t>pork</w:t>
      </w:r>
      <w:proofErr w:type="gramEnd"/>
      <w:r w:rsidRPr="00BF4479">
        <w:t xml:space="preserve"> and poultry sectors.</w:t>
      </w:r>
    </w:p>
    <w:p w14:paraId="5DF48762" w14:textId="77777777" w:rsidR="00BF4479" w:rsidRPr="00BF4479" w:rsidRDefault="00BF4479" w:rsidP="00680917">
      <w:pPr>
        <w:jc w:val="both"/>
      </w:pPr>
      <w:r w:rsidRPr="00BF4479">
        <w:t>Finally, following our general rules and due to initial data, our quantitative hypotheses generally lead to:</w:t>
      </w:r>
    </w:p>
    <w:p w14:paraId="08FA9618" w14:textId="77777777" w:rsidR="00BF4479" w:rsidRPr="00BF4479" w:rsidRDefault="00BF4479" w:rsidP="00680917">
      <w:pPr>
        <w:jc w:val="both"/>
      </w:pPr>
      <w:r w:rsidRPr="00BF4479">
        <w:t xml:space="preserve">- improvement of the global efficiency of ruminant sectors for both the ‘Conventional intensive livestock’ and the ‘Agroecological’ </w:t>
      </w:r>
      <w:proofErr w:type="gramStart"/>
      <w:r w:rsidRPr="00BF4479">
        <w:t>pathways;</w:t>
      </w:r>
      <w:proofErr w:type="gramEnd"/>
    </w:p>
    <w:p w14:paraId="105CC1E1" w14:textId="7251A2BE" w:rsidR="00637F1D" w:rsidRDefault="00BF4479" w:rsidP="00680917">
      <w:pPr>
        <w:jc w:val="both"/>
      </w:pPr>
      <w:r w:rsidRPr="00BF4479">
        <w:t>- ambiguous results regarding the global efficiency of monogastric sectors, mainly due to the initial better performances of “Other” systems in terms of feed-to-output ratios, which contribute to deteriorate the global efficiency of the sectors when the production shares of these “Other” systems are adjusted down.</w:t>
      </w:r>
    </w:p>
    <w:p w14:paraId="40DD478A" w14:textId="77777777" w:rsidR="00637F1D" w:rsidRDefault="00637F1D">
      <w:pPr>
        <w:spacing w:before="0" w:after="200" w:line="276" w:lineRule="auto"/>
      </w:pPr>
      <w:r>
        <w:br w:type="page"/>
      </w:r>
    </w:p>
    <w:p w14:paraId="5186A031" w14:textId="574F152D" w:rsidR="00BF4479" w:rsidRPr="00BF4479" w:rsidRDefault="00BF4479" w:rsidP="00680917">
      <w:pPr>
        <w:jc w:val="both"/>
        <w:rPr>
          <w:b/>
          <w:bCs/>
          <w:lang w:val="en-GB"/>
        </w:rPr>
      </w:pPr>
      <w:bookmarkStart w:id="19" w:name="_Toc46743569"/>
      <w:bookmarkStart w:id="20" w:name="_Toc73545188"/>
      <w:r w:rsidRPr="00BF4479">
        <w:rPr>
          <w:b/>
          <w:bCs/>
          <w:lang w:val="en-GB"/>
        </w:rPr>
        <w:lastRenderedPageBreak/>
        <w:t xml:space="preserve">THE </w:t>
      </w:r>
      <w:r w:rsidR="004B486B">
        <w:rPr>
          <w:b/>
          <w:bCs/>
          <w:lang w:val="en-GB"/>
        </w:rPr>
        <w:t>GLOBAGRI-AGT</w:t>
      </w:r>
      <w:r w:rsidRPr="00BF4479">
        <w:rPr>
          <w:b/>
          <w:bCs/>
          <w:lang w:val="en-GB"/>
        </w:rPr>
        <w:t xml:space="preserve"> DATABASE AND MODEL</w:t>
      </w:r>
      <w:bookmarkEnd w:id="19"/>
      <w:bookmarkEnd w:id="20"/>
    </w:p>
    <w:p w14:paraId="34BC4E45" w14:textId="76829F47" w:rsidR="00BF4479" w:rsidRPr="00BF4479" w:rsidRDefault="00BF4479" w:rsidP="00680917">
      <w:pPr>
        <w:jc w:val="both"/>
        <w:rPr>
          <w:b/>
          <w:bCs/>
          <w:lang w:val="en-GB"/>
        </w:rPr>
      </w:pPr>
      <w:bookmarkStart w:id="21" w:name="_Toc73545189"/>
      <w:r w:rsidRPr="00BF4479">
        <w:rPr>
          <w:b/>
          <w:bCs/>
          <w:lang w:val="en-GB"/>
        </w:rPr>
        <w:t xml:space="preserve">The </w:t>
      </w:r>
      <w:r w:rsidR="004B486B">
        <w:rPr>
          <w:b/>
          <w:bCs/>
          <w:lang w:val="en-GB"/>
        </w:rPr>
        <w:t>GlobAgri-Agt</w:t>
      </w:r>
      <w:r w:rsidRPr="00BF4479">
        <w:rPr>
          <w:b/>
          <w:bCs/>
          <w:lang w:val="en-GB"/>
        </w:rPr>
        <w:t xml:space="preserve"> model</w:t>
      </w:r>
      <w:bookmarkEnd w:id="21"/>
    </w:p>
    <w:p w14:paraId="37137812" w14:textId="77777777" w:rsidR="00BF4479" w:rsidRPr="00BF4479" w:rsidRDefault="00BF4479" w:rsidP="00680917">
      <w:pPr>
        <w:jc w:val="both"/>
        <w:rPr>
          <w:lang w:val="en-GB"/>
        </w:rPr>
      </w:pPr>
      <w:r w:rsidRPr="00BF4479">
        <w:rPr>
          <w:lang w:val="en-GB"/>
        </w:rPr>
        <w:t xml:space="preserve">The GlobAgri platform was set up by CIRAD and INRA to generate consistent databases and biomass balance models using data from FAOSTAT and different institutions. The databases generated are balanced and account for the links between products (through animal feed or oilseed crushing for instance). Biomass balance models provide a balance equation between resources (domestic production plus imports minus exports) and utilization (food, feed and other) for each region and each agri-food product. In each equation, imports are a linear function of total domestic use and exports are a linear function of the world market size. A world trade balance equation ensures that world imports equal world exports for each agri-food product. The system of balance equations can simulate land-use change in each region induced by changes in the use of agri-food products, </w:t>
      </w:r>
      <w:proofErr w:type="gramStart"/>
      <w:r w:rsidRPr="00BF4479">
        <w:rPr>
          <w:lang w:val="en-GB"/>
        </w:rPr>
        <w:t>provided that</w:t>
      </w:r>
      <w:proofErr w:type="gramEnd"/>
      <w:r w:rsidRPr="00BF4479">
        <w:rPr>
          <w:lang w:val="en-GB"/>
        </w:rPr>
        <w:t xml:space="preserve"> hypotheses on a set of variables (such as plant and animal yields, maximum available cultivable land, trade conditions etc.) are made.</w:t>
      </w:r>
    </w:p>
    <w:p w14:paraId="00F21D90" w14:textId="125BF0FE" w:rsidR="00BF4479" w:rsidRPr="00BF4479" w:rsidRDefault="00BF4479" w:rsidP="00680917">
      <w:pPr>
        <w:jc w:val="both"/>
      </w:pPr>
      <w:r w:rsidRPr="00BF4479">
        <w:rPr>
          <w:lang w:val="en-GB"/>
        </w:rPr>
        <w:t xml:space="preserve">The GlobAgri platform has been used to generate a database and a biomass balance model specifically customized for the Agrimonde-Terra foresight (Le Mouël </w:t>
      </w:r>
      <w:r w:rsidRPr="00BF4479">
        <w:rPr>
          <w:i/>
          <w:iCs/>
          <w:lang w:val="en-GB"/>
        </w:rPr>
        <w:t>et al.</w:t>
      </w:r>
      <w:r w:rsidRPr="00BF4479">
        <w:rPr>
          <w:lang w:val="en-GB"/>
        </w:rPr>
        <w:t>, 2018). The resulting tool is named GlobAgri-Agrimonde-Terra (</w:t>
      </w:r>
      <w:r w:rsidR="004B486B">
        <w:rPr>
          <w:lang w:val="en-GB"/>
        </w:rPr>
        <w:t>GlobAgri-Agt</w:t>
      </w:r>
      <w:r w:rsidRPr="00BF4479">
        <w:rPr>
          <w:lang w:val="en-GB"/>
        </w:rPr>
        <w:t>). It encompasses 38 </w:t>
      </w:r>
      <w:r w:rsidRPr="00BF4479">
        <w:t xml:space="preserve">agri-food products and 14 world </w:t>
      </w:r>
      <w:r w:rsidRPr="002D627A">
        <w:t>regions (</w:t>
      </w:r>
      <w:r w:rsidRPr="002D627A">
        <w:fldChar w:fldCharType="begin"/>
      </w:r>
      <w:r w:rsidRPr="002D627A">
        <w:instrText xml:space="preserve"> REF _Ref68794310 \h </w:instrText>
      </w:r>
      <w:r w:rsidR="00680917" w:rsidRPr="002D627A">
        <w:instrText xml:space="preserve"> \* MERGEFORMAT </w:instrText>
      </w:r>
      <w:r w:rsidRPr="002D627A">
        <w:fldChar w:fldCharType="separate"/>
      </w:r>
      <w:r w:rsidR="00DA77D2" w:rsidRPr="002D627A">
        <w:rPr>
          <w:lang w:val="en-GB"/>
        </w:rPr>
        <w:t xml:space="preserve">Table </w:t>
      </w:r>
      <w:r w:rsidR="00DA77D2" w:rsidRPr="002D627A">
        <w:rPr>
          <w:noProof/>
          <w:lang w:val="en-GB"/>
        </w:rPr>
        <w:t>S6</w:t>
      </w:r>
      <w:r w:rsidRPr="002D627A">
        <w:fldChar w:fldCharType="end"/>
      </w:r>
      <w:r w:rsidRPr="002D627A">
        <w:t xml:space="preserve"> and </w:t>
      </w:r>
      <w:r w:rsidRPr="002D627A">
        <w:fldChar w:fldCharType="begin"/>
      </w:r>
      <w:r w:rsidRPr="002D627A">
        <w:instrText xml:space="preserve"> REF _Ref68794319 \h </w:instrText>
      </w:r>
      <w:r w:rsidR="00680917" w:rsidRPr="002D627A">
        <w:instrText xml:space="preserve"> \* MERGEFORMAT </w:instrText>
      </w:r>
      <w:r w:rsidRPr="002D627A">
        <w:fldChar w:fldCharType="separate"/>
      </w:r>
      <w:r w:rsidR="00DA77D2" w:rsidRPr="002D627A">
        <w:rPr>
          <w:lang w:val="en-GB"/>
        </w:rPr>
        <w:t xml:space="preserve">Table </w:t>
      </w:r>
      <w:r w:rsidR="00DA77D2" w:rsidRPr="002D627A">
        <w:rPr>
          <w:noProof/>
          <w:lang w:val="en-GB"/>
        </w:rPr>
        <w:t>S7</w:t>
      </w:r>
      <w:r w:rsidRPr="002D627A">
        <w:fldChar w:fldCharType="end"/>
      </w:r>
      <w:r w:rsidRPr="002D627A">
        <w:t>)</w:t>
      </w:r>
      <w:r w:rsidRPr="002D627A">
        <w:rPr>
          <w:lang w:val="en-GB"/>
        </w:rPr>
        <w:t xml:space="preserve">. </w:t>
      </w:r>
      <w:r w:rsidRPr="002D627A">
        <w:t>The reference year is the 2007-2009 average (often named “2010”) and the simulation horizon is 2050.</w:t>
      </w:r>
      <w:r w:rsidRPr="00BF4479">
        <w:t xml:space="preserve"> Data used are mainly the FAO’s Commodity Balances (FAOSTAT Statistics Database, 2016). Additional data used are from Herrero </w:t>
      </w:r>
      <w:r w:rsidRPr="00BF4479">
        <w:rPr>
          <w:i/>
          <w:iCs/>
        </w:rPr>
        <w:t>et al</w:t>
      </w:r>
      <w:r w:rsidRPr="00BF4479">
        <w:t xml:space="preserve">. (2013) for feed rations (including grass and forage), </w:t>
      </w:r>
      <w:proofErr w:type="spellStart"/>
      <w:r w:rsidRPr="00BF4479">
        <w:t>Monfreda</w:t>
      </w:r>
      <w:proofErr w:type="spellEnd"/>
      <w:r w:rsidRPr="00BF4479">
        <w:t xml:space="preserve"> </w:t>
      </w:r>
      <w:r w:rsidRPr="00BF4479">
        <w:rPr>
          <w:i/>
          <w:iCs/>
        </w:rPr>
        <w:t>et al</w:t>
      </w:r>
      <w:r w:rsidRPr="00BF4479">
        <w:t>. (2008) for production and area of forage plants, and GAEZ (2012) for maximum cultivable areas.</w:t>
      </w:r>
    </w:p>
    <w:p w14:paraId="6364DAAD" w14:textId="5EA4BE5E" w:rsidR="00BF4479" w:rsidRPr="00BF4479" w:rsidRDefault="00BF4479" w:rsidP="00680917">
      <w:pPr>
        <w:jc w:val="both"/>
        <w:rPr>
          <w:lang w:val="en-GB"/>
        </w:rPr>
      </w:pPr>
      <w:r w:rsidRPr="00BF4479">
        <w:rPr>
          <w:lang w:val="en-GB"/>
        </w:rPr>
        <w:t xml:space="preserve">The </w:t>
      </w:r>
      <w:r w:rsidR="004B486B">
        <w:rPr>
          <w:lang w:val="en-GB"/>
        </w:rPr>
        <w:t>GlobAgri-Agt</w:t>
      </w:r>
      <w:r w:rsidRPr="00BF4479">
        <w:rPr>
          <w:lang w:val="en-GB"/>
        </w:rPr>
        <w:t xml:space="preserve"> biomass balance model is made up of a resource-utilization balance equation for each agri-food product in each region:</w:t>
      </w:r>
    </w:p>
    <w:p w14:paraId="2F2615FC" w14:textId="4B31A574" w:rsidR="00BF4479" w:rsidRPr="00BF4479" w:rsidRDefault="00A708E5" w:rsidP="00680917">
      <w:pPr>
        <w:jc w:val="both"/>
        <w:rPr>
          <w:lang w:val="en-GB"/>
        </w:rPr>
      </w:pPr>
      <m:oMathPara>
        <m:oMath>
          <m:sSub>
            <m:sSubPr>
              <m:ctrlPr>
                <w:rPr>
                  <w:rFonts w:ascii="Cambria Math" w:hAnsi="Cambria Math"/>
                  <w:i/>
                  <w:lang w:val="en-GB"/>
                </w:rPr>
              </m:ctrlPr>
            </m:sSubPr>
            <m:e>
              <m:r>
                <w:rPr>
                  <w:rFonts w:ascii="Cambria Math" w:hAnsi="Cambria Math"/>
                  <w:lang w:val="en-GB"/>
                </w:rPr>
                <m:t>Prod</m:t>
              </m:r>
            </m:e>
            <m:sub>
              <m:r>
                <w:rPr>
                  <w:rFonts w:ascii="Cambria Math" w:hAnsi="Cambria Math"/>
                  <w:lang w:val="en-GB"/>
                </w:rPr>
                <m:t>ijt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Imp</m:t>
              </m:r>
            </m:e>
            <m:sub>
              <m:r>
                <w:rPr>
                  <w:rFonts w:ascii="Cambria Math" w:hAnsi="Cambria Math"/>
                  <w:lang w:val="en-GB"/>
                </w:rPr>
                <m:t>ijt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Exp</m:t>
              </m:r>
            </m:e>
            <m:sub>
              <m:r>
                <w:rPr>
                  <w:rFonts w:ascii="Cambria Math" w:hAnsi="Cambria Math"/>
                  <w:lang w:val="en-GB"/>
                </w:rPr>
                <m:t>ijt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Food</m:t>
              </m:r>
            </m:e>
            <m:sub>
              <m:r>
                <w:rPr>
                  <w:rFonts w:ascii="Cambria Math" w:hAnsi="Cambria Math"/>
                  <w:lang w:val="en-GB"/>
                </w:rPr>
                <m:t>ijt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Feed</m:t>
              </m:r>
            </m:e>
            <m:sub>
              <m:r>
                <w:rPr>
                  <w:rFonts w:ascii="Cambria Math" w:hAnsi="Cambria Math"/>
                  <w:lang w:val="en-GB"/>
                </w:rPr>
                <m:t>ijt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Oth</m:t>
              </m:r>
            </m:e>
            <m:sub>
              <m:r>
                <w:rPr>
                  <w:rFonts w:ascii="Cambria Math" w:hAnsi="Cambria Math"/>
                  <w:lang w:val="en-GB"/>
                </w:rPr>
                <m:t>ijt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Waste</m:t>
              </m:r>
            </m:e>
            <m:sub>
              <m:r>
                <w:rPr>
                  <w:rFonts w:ascii="Cambria Math" w:hAnsi="Cambria Math"/>
                  <w:lang w:val="en-GB"/>
                </w:rPr>
                <m:t>ijt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VStock</m:t>
              </m:r>
            </m:e>
            <m:sub>
              <m:r>
                <w:rPr>
                  <w:rFonts w:ascii="Cambria Math" w:hAnsi="Cambria Math"/>
                  <w:lang w:val="en-GB"/>
                </w:rPr>
                <m:t>ijt</m:t>
              </m:r>
            </m:sub>
          </m:sSub>
        </m:oMath>
      </m:oMathPara>
    </w:p>
    <w:p w14:paraId="63264281" w14:textId="0EFE2B01" w:rsidR="00BF4479" w:rsidRPr="00BF4479" w:rsidRDefault="00BF4479" w:rsidP="00680917">
      <w:pPr>
        <w:jc w:val="both"/>
        <w:rPr>
          <w:lang w:val="en-GB"/>
        </w:rPr>
      </w:pPr>
      <w:r w:rsidRPr="00BF4479">
        <w:rPr>
          <w:lang w:val="en-GB"/>
        </w:rPr>
        <w:t xml:space="preserve">Where </w:t>
      </w:r>
      <w:proofErr w:type="spellStart"/>
      <w:r w:rsidRPr="00BF4479">
        <w:rPr>
          <w:i/>
          <w:lang w:val="en-GB"/>
        </w:rPr>
        <w:t>i</w:t>
      </w:r>
      <w:proofErr w:type="spellEnd"/>
      <w:r w:rsidRPr="00BF4479">
        <w:rPr>
          <w:lang w:val="en-GB"/>
        </w:rPr>
        <w:t xml:space="preserve"> is the product (</w:t>
      </w:r>
      <m:oMath>
        <m:r>
          <w:rPr>
            <w:rFonts w:ascii="Cambria Math" w:hAnsi="Cambria Math"/>
            <w:lang w:val="en-GB"/>
          </w:rPr>
          <m:t>i</m:t>
        </m:r>
        <m:r>
          <w:rPr>
            <w:rFonts w:ascii="Cambria Math" w:hAnsi="Cambria Math"/>
          </w:rPr>
          <m:t>∈</m:t>
        </m:r>
        <m:r>
          <w:rPr>
            <w:rFonts w:ascii="Cambria Math" w:hAnsi="Cambria Math"/>
            <w:lang w:val="en-GB"/>
          </w:rPr>
          <m:t>I</m:t>
        </m:r>
        <m:r>
          <w:rPr>
            <w:rFonts w:ascii="Cambria Math" w:hAnsi="Cambria Math"/>
          </w:rPr>
          <m:t>)</m:t>
        </m:r>
      </m:oMath>
      <w:r w:rsidRPr="00BF4479">
        <w:rPr>
          <w:lang w:val="en-GB"/>
        </w:rPr>
        <w:t xml:space="preserve">, </w:t>
      </w:r>
      <w:r w:rsidRPr="00BF4479">
        <w:rPr>
          <w:i/>
          <w:lang w:val="en-GB"/>
        </w:rPr>
        <w:t>j</w:t>
      </w:r>
      <w:r w:rsidRPr="00BF4479">
        <w:rPr>
          <w:lang w:val="en-GB"/>
        </w:rPr>
        <w:t xml:space="preserve"> the region, </w:t>
      </w:r>
      <w:r w:rsidRPr="00BF4479">
        <w:rPr>
          <w:i/>
          <w:lang w:val="en-GB"/>
        </w:rPr>
        <w:t>t</w:t>
      </w:r>
      <w:r w:rsidRPr="00BF4479">
        <w:rPr>
          <w:lang w:val="en-GB"/>
        </w:rPr>
        <w:t xml:space="preserve"> the reference year, </w:t>
      </w:r>
      <w:r w:rsidRPr="00BF4479">
        <w:rPr>
          <w:i/>
          <w:lang w:val="en-GB"/>
        </w:rPr>
        <w:t>Prod</w:t>
      </w:r>
      <w:r w:rsidRPr="00BF4479">
        <w:rPr>
          <w:lang w:val="en-GB"/>
        </w:rPr>
        <w:t xml:space="preserve"> the domestic production, </w:t>
      </w:r>
      <w:r w:rsidRPr="00BF4479">
        <w:rPr>
          <w:i/>
          <w:lang w:val="en-GB"/>
        </w:rPr>
        <w:t>Imp</w:t>
      </w:r>
      <w:r w:rsidRPr="00BF4479">
        <w:rPr>
          <w:lang w:val="en-GB"/>
        </w:rPr>
        <w:t xml:space="preserve"> imports, </w:t>
      </w:r>
      <w:r w:rsidRPr="00BF4479">
        <w:rPr>
          <w:i/>
          <w:lang w:val="en-GB"/>
        </w:rPr>
        <w:t>Exp</w:t>
      </w:r>
      <w:r w:rsidRPr="00BF4479">
        <w:rPr>
          <w:lang w:val="en-GB"/>
        </w:rPr>
        <w:t xml:space="preserve"> exports, </w:t>
      </w:r>
      <w:r w:rsidRPr="00BF4479">
        <w:rPr>
          <w:i/>
          <w:lang w:val="en-GB"/>
        </w:rPr>
        <w:t>Food</w:t>
      </w:r>
      <w:r w:rsidRPr="00BF4479">
        <w:rPr>
          <w:lang w:val="en-GB"/>
        </w:rPr>
        <w:t xml:space="preserve"> the domestic food consumption, </w:t>
      </w:r>
      <w:r w:rsidRPr="00BF4479">
        <w:rPr>
          <w:i/>
          <w:lang w:val="en-GB"/>
        </w:rPr>
        <w:t>Feed</w:t>
      </w:r>
      <w:r w:rsidRPr="00BF4479">
        <w:rPr>
          <w:lang w:val="en-GB"/>
        </w:rPr>
        <w:t xml:space="preserve"> the domestic feed use, </w:t>
      </w:r>
      <w:proofErr w:type="spellStart"/>
      <w:r w:rsidRPr="00BF4479">
        <w:rPr>
          <w:i/>
          <w:lang w:val="en-GB"/>
        </w:rPr>
        <w:t>Oth</w:t>
      </w:r>
      <w:proofErr w:type="spellEnd"/>
      <w:r w:rsidRPr="00BF4479">
        <w:rPr>
          <w:lang w:val="en-GB"/>
        </w:rPr>
        <w:t xml:space="preserve"> the other domestic uses, </w:t>
      </w:r>
      <w:r w:rsidRPr="00BF4479">
        <w:rPr>
          <w:i/>
          <w:lang w:val="en-GB"/>
        </w:rPr>
        <w:t>Waste</w:t>
      </w:r>
      <w:r w:rsidRPr="00BF4479">
        <w:rPr>
          <w:lang w:val="en-GB"/>
        </w:rPr>
        <w:t xml:space="preserve"> the waste and </w:t>
      </w:r>
      <w:proofErr w:type="spellStart"/>
      <w:r w:rsidRPr="00BF4479">
        <w:rPr>
          <w:i/>
          <w:lang w:val="en-GB"/>
        </w:rPr>
        <w:t>VStock</w:t>
      </w:r>
      <w:proofErr w:type="spellEnd"/>
      <w:r w:rsidRPr="00BF4479">
        <w:rPr>
          <w:lang w:val="en-GB"/>
        </w:rPr>
        <w:t xml:space="preserve"> the stock change.</w:t>
      </w:r>
      <w:r w:rsidRPr="00BF4479">
        <w:rPr>
          <w:vertAlign w:val="superscript"/>
          <w:lang w:val="en-GB"/>
        </w:rPr>
        <w:footnoteReference w:id="7"/>
      </w:r>
    </w:p>
    <w:p w14:paraId="4DD24686" w14:textId="7AC4BA31" w:rsidR="00BF4479" w:rsidRPr="00BF4479" w:rsidRDefault="00BF4479" w:rsidP="00680917">
      <w:pPr>
        <w:jc w:val="both"/>
        <w:rPr>
          <w:lang w:val="en-GB"/>
        </w:rPr>
      </w:pPr>
      <w:r w:rsidRPr="00BF4479">
        <w:rPr>
          <w:lang w:val="en-GB"/>
        </w:rPr>
        <w:t>For all plant (vegetal) products (</w:t>
      </w:r>
      <m:oMath>
        <m:r>
          <w:rPr>
            <w:rFonts w:ascii="Cambria Math" w:hAnsi="Cambria Math"/>
            <w:lang w:val="en-GB"/>
          </w:rPr>
          <m:t>v</m:t>
        </m:r>
        <m:r>
          <w:rPr>
            <w:rFonts w:ascii="Cambria Math" w:hAnsi="Cambria Math"/>
          </w:rPr>
          <m:t>∈</m:t>
        </m:r>
        <m:r>
          <w:rPr>
            <w:rFonts w:ascii="Cambria Math" w:hAnsi="Cambria Math"/>
            <w:lang w:val="en-GB"/>
          </w:rPr>
          <m:t>I</m:t>
        </m:r>
      </m:oMath>
      <w:r w:rsidRPr="00BF4479">
        <w:rPr>
          <w:lang w:val="en-GB"/>
        </w:rPr>
        <w:t>), domestic production equals harvested area (</w:t>
      </w:r>
      <w:r w:rsidRPr="00BF4479">
        <w:rPr>
          <w:i/>
          <w:lang w:val="en-GB"/>
        </w:rPr>
        <w:t>A</w:t>
      </w:r>
      <w:r w:rsidRPr="00BF4479">
        <w:rPr>
          <w:lang w:val="en-GB"/>
        </w:rPr>
        <w:t>) multiplied by per-hectare yield (</w:t>
      </w:r>
      <w:r w:rsidRPr="00BF4479">
        <w:rPr>
          <w:i/>
          <w:lang w:val="en-GB"/>
        </w:rPr>
        <w:t>Y</w:t>
      </w:r>
      <w:r w:rsidRPr="00BF4479">
        <w:rPr>
          <w:lang w:val="en-GB"/>
        </w:rPr>
        <w:t>):</w:t>
      </w:r>
    </w:p>
    <w:p w14:paraId="16E85F98" w14:textId="3F097AEE" w:rsidR="00BF4479" w:rsidRPr="00BF4479" w:rsidRDefault="00A708E5" w:rsidP="00680917">
      <w:pPr>
        <w:jc w:val="both"/>
        <w:rPr>
          <w:lang w:val="en-GB"/>
        </w:rPr>
      </w:pPr>
      <m:oMathPara>
        <m:oMath>
          <m:sSub>
            <m:sSubPr>
              <m:ctrlPr>
                <w:rPr>
                  <w:rFonts w:ascii="Cambria Math" w:hAnsi="Cambria Math"/>
                  <w:i/>
                  <w:lang w:val="en-GB"/>
                </w:rPr>
              </m:ctrlPr>
            </m:sSubPr>
            <m:e>
              <m:r>
                <w:rPr>
                  <w:rFonts w:ascii="Cambria Math" w:hAnsi="Cambria Math"/>
                  <w:lang w:val="en-GB"/>
                </w:rPr>
                <m:t>Prod</m:t>
              </m:r>
            </m:e>
            <m:sub>
              <m:r>
                <w:rPr>
                  <w:rFonts w:ascii="Cambria Math" w:hAnsi="Cambria Math"/>
                  <w:lang w:val="en-GB"/>
                </w:rPr>
                <m:t>vjt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vjt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vjt</m:t>
              </m:r>
            </m:sub>
          </m:sSub>
        </m:oMath>
      </m:oMathPara>
    </w:p>
    <w:p w14:paraId="6BA806AF" w14:textId="7E66C91B" w:rsidR="00BF4479" w:rsidRPr="00BF4479" w:rsidRDefault="00BF4479" w:rsidP="00680917">
      <w:pPr>
        <w:jc w:val="both"/>
        <w:rPr>
          <w:lang w:val="en-GB"/>
        </w:rPr>
      </w:pPr>
      <w:r w:rsidRPr="00BF4479">
        <w:rPr>
          <w:lang w:val="en-GB"/>
        </w:rPr>
        <w:lastRenderedPageBreak/>
        <w:t>For all products, the domestic feed use is a linear function of the domestic production of reference animal products (</w:t>
      </w:r>
      <m:oMath>
        <m:r>
          <w:rPr>
            <w:rFonts w:ascii="Cambria Math" w:hAnsi="Cambria Math"/>
            <w:lang w:val="en-GB"/>
          </w:rPr>
          <m:t>a</m:t>
        </m:r>
        <m:r>
          <w:rPr>
            <w:rFonts w:ascii="Cambria Math" w:hAnsi="Cambria Math"/>
          </w:rPr>
          <m:t>∈</m:t>
        </m:r>
        <m:r>
          <w:rPr>
            <w:rFonts w:ascii="Cambria Math" w:hAnsi="Cambria Math"/>
            <w:lang w:val="en-GB"/>
          </w:rPr>
          <m:t>I</m:t>
        </m:r>
      </m:oMath>
      <w:r w:rsidRPr="00BF4479">
        <w:rPr>
          <w:lang w:val="en-GB"/>
        </w:rPr>
        <w:t>)</w:t>
      </w:r>
      <w:r w:rsidRPr="00BF4479">
        <w:rPr>
          <w:vertAlign w:val="superscript"/>
          <w:lang w:val="en-GB"/>
        </w:rPr>
        <w:footnoteReference w:id="8"/>
      </w:r>
      <w:r w:rsidRPr="00BF4479">
        <w:rPr>
          <w:lang w:val="en-GB"/>
        </w:rPr>
        <w:t>:</w:t>
      </w:r>
    </w:p>
    <w:p w14:paraId="281557D2" w14:textId="0D2F214C" w:rsidR="00BF4479" w:rsidRPr="00BF4479" w:rsidRDefault="00A708E5" w:rsidP="00680917">
      <w:pPr>
        <w:jc w:val="both"/>
        <w:rPr>
          <w:lang w:val="en-GB"/>
        </w:rPr>
      </w:pPr>
      <m:oMathPara>
        <m:oMath>
          <m:sSub>
            <m:sSubPr>
              <m:ctrlPr>
                <w:rPr>
                  <w:rFonts w:ascii="Cambria Math" w:hAnsi="Cambria Math"/>
                  <w:i/>
                  <w:lang w:val="en-GB"/>
                </w:rPr>
              </m:ctrlPr>
            </m:sSubPr>
            <m:e>
              <m:r>
                <w:rPr>
                  <w:rFonts w:ascii="Cambria Math" w:hAnsi="Cambria Math"/>
                  <w:lang w:val="en-GB"/>
                </w:rPr>
                <m:t>Feed</m:t>
              </m:r>
            </m:e>
            <m:sub>
              <m:r>
                <w:rPr>
                  <w:rFonts w:ascii="Cambria Math" w:hAnsi="Cambria Math"/>
                  <w:lang w:val="en-GB"/>
                </w:rPr>
                <m:t>ijt</m:t>
              </m:r>
            </m:sub>
          </m:sSub>
          <m:r>
            <w:rPr>
              <w:rFonts w:ascii="Cambria Math" w:hAnsi="Cambria Math"/>
              <w:lang w:val="en-GB"/>
            </w:rPr>
            <m:t>=</m:t>
          </m:r>
          <m:nary>
            <m:naryPr>
              <m:chr m:val="∑"/>
              <m:limLoc m:val="undOvr"/>
              <m:supHide m:val="1"/>
              <m:ctrlPr>
                <w:rPr>
                  <w:rFonts w:ascii="Cambria Math" w:hAnsi="Cambria Math"/>
                  <w:i/>
                  <w:lang w:val="en-GB"/>
                </w:rPr>
              </m:ctrlPr>
            </m:naryPr>
            <m:sub>
              <m:r>
                <w:rPr>
                  <w:rFonts w:ascii="Cambria Math" w:hAnsi="Cambria Math"/>
                  <w:lang w:val="en-GB"/>
                </w:rPr>
                <m:t>a</m:t>
              </m:r>
            </m:sub>
            <m:sup/>
            <m:e>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iajt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Prod</m:t>
                  </m:r>
                </m:e>
                <m:sub>
                  <m:r>
                    <w:rPr>
                      <w:rFonts w:ascii="Cambria Math" w:hAnsi="Cambria Math"/>
                      <w:lang w:val="en-GB"/>
                    </w:rPr>
                    <m:t>ajt</m:t>
                  </m:r>
                </m:sub>
              </m:sSub>
            </m:e>
          </m:nary>
        </m:oMath>
      </m:oMathPara>
    </w:p>
    <w:p w14:paraId="55D6CAA9" w14:textId="4DE8C2E6" w:rsidR="00BF4479" w:rsidRPr="00BF4479" w:rsidRDefault="00BF4479" w:rsidP="00680917">
      <w:pPr>
        <w:jc w:val="both"/>
        <w:rPr>
          <w:lang w:val="en-GB"/>
        </w:rPr>
      </w:pPr>
      <w:r w:rsidRPr="00BF4479">
        <w:rPr>
          <w:lang w:val="en-GB"/>
        </w:rPr>
        <w:t xml:space="preserve">Where </w:t>
      </w:r>
      <m:oMath>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iajt</m:t>
            </m:r>
          </m:sub>
        </m:sSub>
      </m:oMath>
      <w:r w:rsidRPr="00BF4479">
        <w:rPr>
          <w:lang w:val="en-GB"/>
        </w:rPr>
        <w:t xml:space="preserve"> is the fixed transformation coefficient of product </w:t>
      </w:r>
      <w:proofErr w:type="spellStart"/>
      <w:r w:rsidRPr="00BF4479">
        <w:rPr>
          <w:i/>
          <w:lang w:val="en-GB"/>
        </w:rPr>
        <w:t>i</w:t>
      </w:r>
      <w:proofErr w:type="spellEnd"/>
      <w:r w:rsidRPr="00BF4479">
        <w:rPr>
          <w:lang w:val="en-GB"/>
        </w:rPr>
        <w:t xml:space="preserve"> into animal product </w:t>
      </w:r>
      <w:proofErr w:type="spellStart"/>
      <w:r w:rsidRPr="00BF4479">
        <w:rPr>
          <w:i/>
          <w:lang w:val="en-GB"/>
        </w:rPr>
        <w:t>a</w:t>
      </w:r>
      <w:proofErr w:type="spellEnd"/>
      <w:r w:rsidRPr="00BF4479">
        <w:rPr>
          <w:lang w:val="en-GB"/>
        </w:rPr>
        <w:t xml:space="preserve"> in region </w:t>
      </w:r>
      <w:r w:rsidRPr="00BF4479">
        <w:rPr>
          <w:i/>
          <w:lang w:val="en-GB"/>
        </w:rPr>
        <w:t>j</w:t>
      </w:r>
      <w:r w:rsidRPr="00BF4479">
        <w:rPr>
          <w:lang w:val="en-GB"/>
        </w:rPr>
        <w:t xml:space="preserve"> for year </w:t>
      </w:r>
      <w:r w:rsidRPr="00BF4479">
        <w:rPr>
          <w:i/>
          <w:lang w:val="en-GB"/>
        </w:rPr>
        <w:t>t</w:t>
      </w:r>
      <w:r w:rsidRPr="00BF4479">
        <w:rPr>
          <w:lang w:val="en-GB"/>
        </w:rPr>
        <w:t xml:space="preserve">. </w:t>
      </w:r>
      <m:oMath>
        <m:sSub>
          <m:sSubPr>
            <m:ctrlPr>
              <w:rPr>
                <w:rFonts w:ascii="Cambria Math" w:hAnsi="Cambria Math"/>
                <w:i/>
                <w:lang w:val="en-GB"/>
              </w:rPr>
            </m:ctrlPr>
          </m:sSubPr>
          <m:e>
            <m:r>
              <w:rPr>
                <w:rFonts w:ascii="Cambria Math" w:hAnsi="Cambria Math"/>
                <w:lang w:val="en-GB"/>
              </w:rPr>
              <m:t>β</m:t>
            </m:r>
          </m:e>
          <m:sub>
            <m:r>
              <w:rPr>
                <w:rFonts w:ascii="Cambria Math" w:hAnsi="Cambria Math"/>
                <w:lang w:val="en-GB"/>
              </w:rPr>
              <m:t>iajt</m:t>
            </m:r>
          </m:sub>
        </m:sSub>
      </m:oMath>
      <w:r w:rsidRPr="00BF4479">
        <w:rPr>
          <w:lang w:val="en-GB"/>
        </w:rPr>
        <w:t xml:space="preserve"> are thus what we call the feed-to-output ratios. For each animal product (</w:t>
      </w:r>
      <w:proofErr w:type="gramStart"/>
      <w:r w:rsidRPr="00BF4479">
        <w:rPr>
          <w:lang w:val="en-GB"/>
        </w:rPr>
        <w:t>e.g.</w:t>
      </w:r>
      <w:proofErr w:type="gramEnd"/>
      <w:r w:rsidRPr="00BF4479">
        <w:rPr>
          <w:lang w:val="en-GB"/>
        </w:rPr>
        <w:t xml:space="preserve"> milk), they are a weighted average of the corresponding feed-to-output ratios observed in the var</w:t>
      </w:r>
      <w:proofErr w:type="spellStart"/>
      <w:r w:rsidRPr="00BF4479">
        <w:rPr>
          <w:lang w:val="en-GB"/>
        </w:rPr>
        <w:t>ious</w:t>
      </w:r>
      <w:proofErr w:type="spellEnd"/>
      <w:r w:rsidRPr="00BF4479">
        <w:rPr>
          <w:lang w:val="en-GB"/>
        </w:rPr>
        <w:t xml:space="preserve"> production systems co-existing in the sector concerned (e.g. mixed, pastoral, urban and other systems co-existing in the dairy sector). For the five sectors under consideration (dairy, beef, small ruminants, </w:t>
      </w:r>
      <w:proofErr w:type="gramStart"/>
      <w:r w:rsidRPr="00BF4479">
        <w:rPr>
          <w:lang w:val="en-GB"/>
        </w:rPr>
        <w:t>pork</w:t>
      </w:r>
      <w:proofErr w:type="gramEnd"/>
      <w:r w:rsidRPr="00BF4479">
        <w:rPr>
          <w:lang w:val="en-GB"/>
        </w:rPr>
        <w:t xml:space="preserve"> and poultry), the various production systems are those suggested by Herrero </w:t>
      </w:r>
      <w:r w:rsidRPr="00BF4479">
        <w:rPr>
          <w:i/>
          <w:lang w:val="en-GB"/>
        </w:rPr>
        <w:t>et al</w:t>
      </w:r>
      <w:r w:rsidRPr="00BF4479">
        <w:rPr>
          <w:lang w:val="en-GB"/>
        </w:rPr>
        <w:t xml:space="preserve">. (2013). The way the feed-to-output ratios are computed at the production system level and at the sector level is described in detail in Dumas (2014). </w:t>
      </w:r>
    </w:p>
    <w:p w14:paraId="2C299827" w14:textId="77777777" w:rsidR="00BF4479" w:rsidRPr="00BF4479" w:rsidRDefault="00BF4479" w:rsidP="00680917">
      <w:pPr>
        <w:jc w:val="both"/>
        <w:rPr>
          <w:lang w:val="en-GB"/>
        </w:rPr>
      </w:pPr>
      <w:r w:rsidRPr="00BF4479">
        <w:rPr>
          <w:lang w:val="en-GB"/>
        </w:rPr>
        <w:t xml:space="preserve">Finally, for all products </w:t>
      </w:r>
      <w:proofErr w:type="spellStart"/>
      <w:r w:rsidRPr="00BF4479">
        <w:rPr>
          <w:i/>
          <w:lang w:val="en-GB"/>
        </w:rPr>
        <w:t>i</w:t>
      </w:r>
      <w:proofErr w:type="spellEnd"/>
      <w:r w:rsidRPr="00BF4479">
        <w:rPr>
          <w:lang w:val="en-GB"/>
        </w:rPr>
        <w:t>, imports are written as a fixed share of total domestic use:</w:t>
      </w:r>
    </w:p>
    <w:p w14:paraId="52BED314" w14:textId="0DBE8A2B" w:rsidR="00BF4479" w:rsidRPr="00BF4479" w:rsidRDefault="00A708E5" w:rsidP="00680917">
      <w:pPr>
        <w:jc w:val="both"/>
        <w:rPr>
          <w:lang w:val="en-GB"/>
        </w:rPr>
      </w:pPr>
      <m:oMathPara>
        <m:oMathParaPr>
          <m:jc m:val="left"/>
        </m:oMathParaPr>
        <m:oMath>
          <m:sSub>
            <m:sSubPr>
              <m:ctrlPr>
                <w:rPr>
                  <w:rFonts w:ascii="Cambria Math" w:hAnsi="Cambria Math"/>
                  <w:i/>
                  <w:lang w:val="en-GB"/>
                </w:rPr>
              </m:ctrlPr>
            </m:sSubPr>
            <m:e>
              <m:r>
                <w:rPr>
                  <w:rFonts w:ascii="Cambria Math" w:hAnsi="Cambria Math"/>
                  <w:lang w:val="en-GB"/>
                </w:rPr>
                <m:t>Imp</m:t>
              </m:r>
            </m:e>
            <m:sub>
              <m:r>
                <w:rPr>
                  <w:rFonts w:ascii="Cambria Math" w:hAnsi="Cambria Math"/>
                  <w:lang w:val="en-GB"/>
                </w:rPr>
                <m:t>ijt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ijt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Food</m:t>
              </m:r>
            </m:e>
            <m:sub>
              <m:r>
                <w:rPr>
                  <w:rFonts w:ascii="Cambria Math" w:hAnsi="Cambria Math"/>
                  <w:lang w:val="en-GB"/>
                </w:rPr>
                <m:t>ijt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Feed</m:t>
              </m:r>
            </m:e>
            <m:sub>
              <m:r>
                <w:rPr>
                  <w:rFonts w:ascii="Cambria Math" w:hAnsi="Cambria Math"/>
                  <w:lang w:val="en-GB"/>
                </w:rPr>
                <m:t>ijt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Oth</m:t>
              </m:r>
            </m:e>
            <m:sub>
              <m:r>
                <w:rPr>
                  <w:rFonts w:ascii="Cambria Math" w:hAnsi="Cambria Math"/>
                  <w:lang w:val="en-GB"/>
                </w:rPr>
                <m:t>ijt</m:t>
              </m:r>
            </m:sub>
          </m:sSub>
          <m:sSub>
            <m:sSubPr>
              <m:ctrlPr>
                <w:rPr>
                  <w:rFonts w:ascii="Cambria Math" w:hAnsi="Cambria Math"/>
                  <w:i/>
                  <w:lang w:val="en-GB"/>
                </w:rPr>
              </m:ctrlPr>
            </m:sSubPr>
            <m:e>
              <m:r>
                <w:rPr>
                  <w:rFonts w:ascii="Cambria Math" w:hAnsi="Cambria Math"/>
                  <w:lang w:val="en-GB"/>
                </w:rPr>
                <m:t>+Waste</m:t>
              </m:r>
            </m:e>
            <m:sub>
              <m:r>
                <w:rPr>
                  <w:rFonts w:ascii="Cambria Math" w:hAnsi="Cambria Math"/>
                  <w:lang w:val="en-GB"/>
                </w:rPr>
                <m:t>ijt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VStock</m:t>
              </m:r>
            </m:e>
            <m:sub>
              <m:r>
                <w:rPr>
                  <w:rFonts w:ascii="Cambria Math" w:hAnsi="Cambria Math"/>
                  <w:lang w:val="en-GB"/>
                </w:rPr>
                <m:t>ijt</m:t>
              </m:r>
            </m:sub>
          </m:sSub>
          <m:r>
            <w:rPr>
              <w:rFonts w:ascii="Cambria Math" w:hAnsi="Cambria Math"/>
              <w:lang w:val="en-GB"/>
            </w:rPr>
            <m:t>)</m:t>
          </m:r>
        </m:oMath>
      </m:oMathPara>
    </w:p>
    <w:p w14:paraId="7DB487F8" w14:textId="285936F3" w:rsidR="00BF4479" w:rsidRPr="00BF4479" w:rsidRDefault="00BF4479" w:rsidP="00680917">
      <w:pPr>
        <w:jc w:val="both"/>
        <w:rPr>
          <w:lang w:val="en-GB"/>
        </w:rPr>
      </w:pPr>
      <w:r w:rsidRPr="00BF4479">
        <w:rPr>
          <w:lang w:val="en-GB"/>
        </w:rPr>
        <w:t xml:space="preserve">Where </w:t>
      </w:r>
      <m:oMath>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ijt</m:t>
            </m:r>
          </m:sub>
        </m:sSub>
      </m:oMath>
      <w:r w:rsidRPr="00BF4479">
        <w:rPr>
          <w:lang w:val="en-GB"/>
        </w:rPr>
        <w:t xml:space="preserve"> is the import dependence coefficient of region </w:t>
      </w:r>
      <w:r w:rsidRPr="00BF4479">
        <w:rPr>
          <w:i/>
          <w:lang w:val="en-GB"/>
        </w:rPr>
        <w:t>j</w:t>
      </w:r>
      <w:r w:rsidRPr="00BF4479">
        <w:rPr>
          <w:lang w:val="en-GB"/>
        </w:rPr>
        <w:t xml:space="preserve"> for product </w:t>
      </w:r>
      <w:proofErr w:type="spellStart"/>
      <w:r w:rsidRPr="00BF4479">
        <w:rPr>
          <w:i/>
          <w:lang w:val="en-GB"/>
        </w:rPr>
        <w:t>i</w:t>
      </w:r>
      <w:proofErr w:type="spellEnd"/>
      <w:r w:rsidRPr="00BF4479">
        <w:rPr>
          <w:lang w:val="en-GB"/>
        </w:rPr>
        <w:t xml:space="preserve"> in year </w:t>
      </w:r>
      <w:proofErr w:type="gramStart"/>
      <w:r w:rsidRPr="00BF4479">
        <w:rPr>
          <w:i/>
          <w:lang w:val="en-GB"/>
        </w:rPr>
        <w:t>t</w:t>
      </w:r>
      <w:r w:rsidRPr="00BF4479">
        <w:rPr>
          <w:lang w:val="en-GB"/>
        </w:rPr>
        <w:t>.</w:t>
      </w:r>
      <w:proofErr w:type="gramEnd"/>
      <w:r w:rsidRPr="00BF4479">
        <w:rPr>
          <w:lang w:val="en-GB"/>
        </w:rPr>
        <w:t xml:space="preserve"> In other words, </w:t>
      </w:r>
      <w:r w:rsidR="004B486B">
        <w:rPr>
          <w:lang w:val="en-GB"/>
        </w:rPr>
        <w:t>GlobAgri-Agt</w:t>
      </w:r>
      <w:r w:rsidRPr="00BF4479">
        <w:rPr>
          <w:lang w:val="en-GB"/>
        </w:rPr>
        <w:t xml:space="preserve"> assumes that when total domestic use of one product increases in region </w:t>
      </w:r>
      <w:r w:rsidRPr="00BF4479">
        <w:rPr>
          <w:i/>
          <w:lang w:val="en-GB"/>
        </w:rPr>
        <w:t>j</w:t>
      </w:r>
      <w:r w:rsidRPr="00BF4479">
        <w:rPr>
          <w:lang w:val="en-GB"/>
        </w:rPr>
        <w:t xml:space="preserve">, a fixed share of the additional need is covered by imports from abroad, while the remaining share is covered by increased domestic production, </w:t>
      </w:r>
      <w:proofErr w:type="gramStart"/>
      <w:r w:rsidRPr="00BF4479">
        <w:rPr>
          <w:lang w:val="en-GB"/>
        </w:rPr>
        <w:t>provided that</w:t>
      </w:r>
      <w:proofErr w:type="gramEnd"/>
      <w:r w:rsidRPr="00BF4479">
        <w:rPr>
          <w:lang w:val="en-GB"/>
        </w:rPr>
        <w:t xml:space="preserve"> region </w:t>
      </w:r>
      <w:r w:rsidRPr="00BF4479">
        <w:rPr>
          <w:i/>
          <w:lang w:val="en-GB"/>
        </w:rPr>
        <w:t>j</w:t>
      </w:r>
      <w:r w:rsidRPr="00BF4479">
        <w:rPr>
          <w:lang w:val="en-GB"/>
        </w:rPr>
        <w:t>’s maximum cultivable area is not binding (see below).</w:t>
      </w:r>
    </w:p>
    <w:p w14:paraId="11D12FE8" w14:textId="77777777" w:rsidR="00BF4479" w:rsidRPr="00BF4479" w:rsidRDefault="00BF4479" w:rsidP="00680917">
      <w:pPr>
        <w:jc w:val="both"/>
        <w:rPr>
          <w:lang w:val="en-GB"/>
        </w:rPr>
      </w:pPr>
      <w:r w:rsidRPr="00BF4479">
        <w:rPr>
          <w:lang w:val="en-GB"/>
        </w:rPr>
        <w:t xml:space="preserve">Exports of product </w:t>
      </w:r>
      <w:proofErr w:type="spellStart"/>
      <w:r w:rsidRPr="00BF4479">
        <w:rPr>
          <w:i/>
          <w:lang w:val="en-GB"/>
        </w:rPr>
        <w:t>i</w:t>
      </w:r>
      <w:proofErr w:type="spellEnd"/>
      <w:r w:rsidRPr="00BF4479">
        <w:rPr>
          <w:lang w:val="en-GB"/>
        </w:rPr>
        <w:t xml:space="preserve"> by region </w:t>
      </w:r>
      <w:r w:rsidRPr="00BF4479">
        <w:rPr>
          <w:i/>
          <w:lang w:val="en-GB"/>
        </w:rPr>
        <w:t>j</w:t>
      </w:r>
      <w:r w:rsidRPr="00BF4479">
        <w:rPr>
          <w:lang w:val="en-GB"/>
        </w:rPr>
        <w:t xml:space="preserve"> are written as a fixed share of the world market size of product </w:t>
      </w:r>
      <w:r w:rsidRPr="00BF4479">
        <w:rPr>
          <w:i/>
          <w:lang w:val="en-GB"/>
        </w:rPr>
        <w:t>i</w:t>
      </w:r>
      <w:r w:rsidRPr="00BF4479">
        <w:rPr>
          <w:lang w:val="en-GB"/>
        </w:rPr>
        <w:t>:</w:t>
      </w:r>
    </w:p>
    <w:p w14:paraId="21277FAB" w14:textId="63B35909" w:rsidR="00BF4479" w:rsidRPr="00BF4479" w:rsidRDefault="00A708E5" w:rsidP="00680917">
      <w:pPr>
        <w:jc w:val="both"/>
        <w:rPr>
          <w:lang w:val="en-GB"/>
        </w:rPr>
      </w:pPr>
      <m:oMathPara>
        <m:oMath>
          <m:sSub>
            <m:sSubPr>
              <m:ctrlPr>
                <w:rPr>
                  <w:rFonts w:ascii="Cambria Math" w:hAnsi="Cambria Math"/>
                  <w:i/>
                  <w:lang w:val="en-GB"/>
                </w:rPr>
              </m:ctrlPr>
            </m:sSubPr>
            <m:e>
              <m:r>
                <w:rPr>
                  <w:rFonts w:ascii="Cambria Math" w:hAnsi="Cambria Math"/>
                  <w:lang w:val="en-GB"/>
                </w:rPr>
                <m:t>Exp</m:t>
              </m:r>
            </m:e>
            <m:sub>
              <m:r>
                <w:rPr>
                  <w:rFonts w:ascii="Cambria Math" w:hAnsi="Cambria Math"/>
                  <w:lang w:val="en-GB"/>
                </w:rPr>
                <m:t>ijt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σ</m:t>
              </m:r>
            </m:e>
            <m:sub>
              <m:r>
                <w:rPr>
                  <w:rFonts w:ascii="Cambria Math" w:hAnsi="Cambria Math"/>
                  <w:lang w:val="en-GB"/>
                </w:rPr>
                <m:t>ijt</m:t>
              </m:r>
            </m:sub>
          </m:sSub>
          <m:r>
            <w:rPr>
              <w:rFonts w:ascii="Cambria Math" w:hAnsi="Cambria Math"/>
              <w:lang w:val="en-GB"/>
            </w:rPr>
            <m:t>*(</m:t>
          </m:r>
          <m:nary>
            <m:naryPr>
              <m:chr m:val="∑"/>
              <m:limLoc m:val="undOvr"/>
              <m:supHide m:val="1"/>
              <m:ctrlPr>
                <w:rPr>
                  <w:rFonts w:ascii="Cambria Math" w:hAnsi="Cambria Math"/>
                  <w:i/>
                  <w:lang w:val="en-GB"/>
                </w:rPr>
              </m:ctrlPr>
            </m:naryPr>
            <m:sub>
              <m:r>
                <w:rPr>
                  <w:rFonts w:ascii="Cambria Math" w:hAnsi="Cambria Math"/>
                  <w:lang w:val="en-GB"/>
                </w:rPr>
                <m:t>j</m:t>
              </m:r>
            </m:sub>
            <m:sup/>
            <m:e>
              <m:sSub>
                <m:sSubPr>
                  <m:ctrlPr>
                    <w:rPr>
                      <w:rFonts w:ascii="Cambria Math" w:hAnsi="Cambria Math"/>
                      <w:i/>
                      <w:lang w:val="en-GB"/>
                    </w:rPr>
                  </m:ctrlPr>
                </m:sSubPr>
                <m:e>
                  <m:r>
                    <w:rPr>
                      <w:rFonts w:ascii="Cambria Math" w:hAnsi="Cambria Math"/>
                      <w:lang w:val="en-GB"/>
                    </w:rPr>
                    <m:t>Imp</m:t>
                  </m:r>
                </m:e>
                <m:sub>
                  <m:r>
                    <w:rPr>
                      <w:rFonts w:ascii="Cambria Math" w:hAnsi="Cambria Math"/>
                      <w:lang w:val="en-GB"/>
                    </w:rPr>
                    <m:t>ijt</m:t>
                  </m:r>
                </m:sub>
              </m:sSub>
            </m:e>
          </m:nary>
          <m:r>
            <w:rPr>
              <w:rFonts w:ascii="Cambria Math" w:hAnsi="Cambria Math"/>
              <w:lang w:val="en-GB"/>
            </w:rPr>
            <m:t>)</m:t>
          </m:r>
        </m:oMath>
      </m:oMathPara>
    </w:p>
    <w:p w14:paraId="0359994B" w14:textId="7FC16A01" w:rsidR="00BF4479" w:rsidRPr="00BF4479" w:rsidRDefault="00BF4479" w:rsidP="00680917">
      <w:pPr>
        <w:jc w:val="both"/>
        <w:rPr>
          <w:lang w:val="en-GB"/>
        </w:rPr>
      </w:pPr>
      <w:r w:rsidRPr="00BF4479">
        <w:rPr>
          <w:lang w:val="en-GB"/>
        </w:rPr>
        <w:t xml:space="preserve">Where </w:t>
      </w:r>
      <m:oMath>
        <m:sSub>
          <m:sSubPr>
            <m:ctrlPr>
              <w:rPr>
                <w:rFonts w:ascii="Cambria Math" w:hAnsi="Cambria Math"/>
                <w:i/>
                <w:lang w:val="en-GB"/>
              </w:rPr>
            </m:ctrlPr>
          </m:sSubPr>
          <m:e>
            <m:r>
              <w:rPr>
                <w:rFonts w:ascii="Cambria Math" w:hAnsi="Cambria Math"/>
                <w:lang w:val="en-GB"/>
              </w:rPr>
              <m:t>σ</m:t>
            </m:r>
          </m:e>
          <m:sub>
            <m:r>
              <w:rPr>
                <w:rFonts w:ascii="Cambria Math" w:hAnsi="Cambria Math"/>
                <w:lang w:val="en-GB"/>
              </w:rPr>
              <m:t>ijt</m:t>
            </m:r>
          </m:sub>
        </m:sSub>
      </m:oMath>
      <w:r w:rsidRPr="00BF4479">
        <w:rPr>
          <w:lang w:val="en-GB"/>
        </w:rPr>
        <w:t xml:space="preserve"> is the world export market share of region </w:t>
      </w:r>
      <w:r w:rsidRPr="00BF4479">
        <w:rPr>
          <w:i/>
          <w:lang w:val="en-GB"/>
        </w:rPr>
        <w:t>j</w:t>
      </w:r>
      <w:r w:rsidRPr="00BF4479">
        <w:rPr>
          <w:lang w:val="en-GB"/>
        </w:rPr>
        <w:t xml:space="preserve"> for product </w:t>
      </w:r>
      <w:proofErr w:type="spellStart"/>
      <w:r w:rsidRPr="00BF4479">
        <w:rPr>
          <w:i/>
          <w:lang w:val="en-GB"/>
        </w:rPr>
        <w:t>i</w:t>
      </w:r>
      <w:proofErr w:type="spellEnd"/>
      <w:r w:rsidRPr="00BF4479">
        <w:rPr>
          <w:lang w:val="en-GB"/>
        </w:rPr>
        <w:t xml:space="preserve"> in year </w:t>
      </w:r>
      <w:proofErr w:type="gramStart"/>
      <w:r w:rsidRPr="00BF4479">
        <w:rPr>
          <w:i/>
          <w:lang w:val="en-GB"/>
        </w:rPr>
        <w:t>t</w:t>
      </w:r>
      <w:r w:rsidRPr="00BF4479">
        <w:rPr>
          <w:lang w:val="en-GB"/>
        </w:rPr>
        <w:t>.</w:t>
      </w:r>
      <w:proofErr w:type="gramEnd"/>
    </w:p>
    <w:p w14:paraId="1F5A8161" w14:textId="1F6BBC6B" w:rsidR="00BF4479" w:rsidRPr="00BF4479" w:rsidRDefault="00BF4479" w:rsidP="00680917">
      <w:pPr>
        <w:jc w:val="both"/>
        <w:rPr>
          <w:lang w:val="en-GB"/>
        </w:rPr>
      </w:pPr>
      <w:r w:rsidRPr="00BF4479">
        <w:rPr>
          <w:lang w:val="en-GB"/>
        </w:rPr>
        <w:t xml:space="preserve">Import and export specifications in </w:t>
      </w:r>
      <w:r w:rsidR="004B486B">
        <w:rPr>
          <w:lang w:val="en-GB"/>
        </w:rPr>
        <w:t>GlobAgri-Agt</w:t>
      </w:r>
      <w:r w:rsidRPr="00BF4479">
        <w:rPr>
          <w:lang w:val="en-GB"/>
        </w:rPr>
        <w:t xml:space="preserve"> imply some rigidity in international trade: each region imports a fixed share of its domestic use and regional world export market shares are constant. Such rigidity may result from several factors such as the slow change in regional comparative advantages, and slow change in transport infrastructures and commercial channels. However, such specifications are rather restrictive when dealing with mid- to long-term analysis. We should emphasize, however, that import dependence coefficients (</w:t>
      </w:r>
      <m:oMath>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ijt</m:t>
            </m:r>
          </m:sub>
        </m:sSub>
      </m:oMath>
      <w:r w:rsidRPr="00BF4479">
        <w:rPr>
          <w:lang w:val="en-GB"/>
        </w:rPr>
        <w:t>) and/or world export market shares (</w:t>
      </w:r>
      <m:oMath>
        <m:sSub>
          <m:sSubPr>
            <m:ctrlPr>
              <w:rPr>
                <w:rFonts w:ascii="Cambria Math" w:hAnsi="Cambria Math"/>
                <w:i/>
                <w:lang w:val="en-GB"/>
              </w:rPr>
            </m:ctrlPr>
          </m:sSubPr>
          <m:e>
            <m:r>
              <w:rPr>
                <w:rFonts w:ascii="Cambria Math" w:hAnsi="Cambria Math"/>
                <w:lang w:val="en-GB"/>
              </w:rPr>
              <m:t>σ</m:t>
            </m:r>
          </m:e>
          <m:sub>
            <m:r>
              <w:rPr>
                <w:rFonts w:ascii="Cambria Math" w:hAnsi="Cambria Math"/>
                <w:lang w:val="en-GB"/>
              </w:rPr>
              <m:t>ijt</m:t>
            </m:r>
          </m:sub>
        </m:sSub>
      </m:oMath>
      <w:r w:rsidRPr="00BF4479">
        <w:rPr>
          <w:lang w:val="en-GB"/>
        </w:rPr>
        <w:t>) may be changed exogenously as part of simulated scenarios and may change endogenously as part of the scenario simulations in regions where the maximum cultivable land area is binding (see below). In both cases such adjustments of import dependence coefficients and world export market shares may figure changes in regional comparative advantages or transport or trade costs potentially implied by trade, agricultural and/or environmental policies for instance.</w:t>
      </w:r>
    </w:p>
    <w:p w14:paraId="6E222361" w14:textId="77777777" w:rsidR="00BF4479" w:rsidRPr="00BF4479" w:rsidRDefault="00BF4479" w:rsidP="00680917">
      <w:pPr>
        <w:jc w:val="both"/>
        <w:rPr>
          <w:lang w:val="en-GB"/>
        </w:rPr>
      </w:pPr>
      <w:r w:rsidRPr="00BF4479">
        <w:rPr>
          <w:lang w:val="en-GB"/>
        </w:rPr>
        <w:lastRenderedPageBreak/>
        <w:t xml:space="preserve">Finally, when replacing in the balance equations all variables by their respective expression in the additional equations, provided that </w:t>
      </w:r>
      <w:proofErr w:type="spellStart"/>
      <w:r w:rsidRPr="00BF4479">
        <w:rPr>
          <w:i/>
          <w:lang w:val="en-GB"/>
        </w:rPr>
        <w:t>Vstock</w:t>
      </w:r>
      <w:proofErr w:type="spellEnd"/>
      <w:r w:rsidRPr="00BF4479">
        <w:rPr>
          <w:lang w:val="en-GB"/>
        </w:rPr>
        <w:t xml:space="preserve"> is fixed, </w:t>
      </w:r>
      <w:r w:rsidRPr="00BF4479">
        <w:rPr>
          <w:i/>
          <w:lang w:val="en-GB"/>
        </w:rPr>
        <w:t>Food</w:t>
      </w:r>
      <w:r w:rsidRPr="00BF4479">
        <w:rPr>
          <w:lang w:val="en-GB"/>
        </w:rPr>
        <w:t xml:space="preserve">, </w:t>
      </w:r>
      <w:proofErr w:type="spellStart"/>
      <w:r w:rsidRPr="00BF4479">
        <w:rPr>
          <w:i/>
          <w:lang w:val="en-GB"/>
        </w:rPr>
        <w:t>oth</w:t>
      </w:r>
      <w:proofErr w:type="spellEnd"/>
      <w:r w:rsidRPr="00BF4479">
        <w:rPr>
          <w:i/>
          <w:lang w:val="en-GB"/>
        </w:rPr>
        <w:t xml:space="preserve"> </w:t>
      </w:r>
      <w:r w:rsidRPr="00BF4479">
        <w:rPr>
          <w:lang w:val="en-GB"/>
        </w:rPr>
        <w:t xml:space="preserve">and </w:t>
      </w:r>
      <w:r w:rsidRPr="00BF4479">
        <w:rPr>
          <w:i/>
          <w:lang w:val="en-GB"/>
        </w:rPr>
        <w:t>Waste</w:t>
      </w:r>
      <w:r w:rsidRPr="00BF4479">
        <w:rPr>
          <w:lang w:val="en-GB"/>
        </w:rPr>
        <w:t xml:space="preserve"> are the model’s exogenous variables while the area harvested (</w:t>
      </w:r>
      <w:r w:rsidRPr="00BF4479">
        <w:rPr>
          <w:i/>
          <w:lang w:val="en-GB"/>
        </w:rPr>
        <w:t>A</w:t>
      </w:r>
      <w:r w:rsidRPr="00BF4479">
        <w:rPr>
          <w:lang w:val="en-GB"/>
        </w:rPr>
        <w:t>) is the model’s endogenous variable.</w:t>
      </w:r>
    </w:p>
    <w:p w14:paraId="2EB42278" w14:textId="77777777" w:rsidR="00BF4479" w:rsidRPr="00BF4479" w:rsidRDefault="00BF4479" w:rsidP="00680917">
      <w:pPr>
        <w:jc w:val="both"/>
        <w:rPr>
          <w:b/>
          <w:bCs/>
          <w:lang w:val="en-GB"/>
        </w:rPr>
      </w:pPr>
      <w:bookmarkStart w:id="22" w:name="_Toc454198810"/>
      <w:bookmarkStart w:id="23" w:name="_Toc454200656"/>
      <w:bookmarkStart w:id="24" w:name="_Toc73545190"/>
      <w:r w:rsidRPr="00BF4479">
        <w:rPr>
          <w:b/>
          <w:bCs/>
          <w:lang w:val="en-GB"/>
        </w:rPr>
        <w:t xml:space="preserve">The model </w:t>
      </w:r>
      <w:proofErr w:type="gramStart"/>
      <w:r w:rsidRPr="00BF4479">
        <w:rPr>
          <w:b/>
          <w:bCs/>
          <w:lang w:val="en-GB"/>
        </w:rPr>
        <w:t>closure</w:t>
      </w:r>
      <w:bookmarkEnd w:id="22"/>
      <w:bookmarkEnd w:id="23"/>
      <w:bookmarkEnd w:id="24"/>
      <w:proofErr w:type="gramEnd"/>
    </w:p>
    <w:p w14:paraId="4F9B3487" w14:textId="77777777" w:rsidR="00BF4479" w:rsidRPr="00BF4479" w:rsidRDefault="00BF4479" w:rsidP="00680917">
      <w:pPr>
        <w:jc w:val="both"/>
        <w:rPr>
          <w:lang w:val="en-GB"/>
        </w:rPr>
      </w:pPr>
      <w:r w:rsidRPr="00BF4479">
        <w:rPr>
          <w:lang w:val="en-GB"/>
        </w:rPr>
        <w:t>The model is closed firstly adding a world trade equilibrium equation for each product and secondly adding an agricultural land constraint equation in each region.</w:t>
      </w:r>
    </w:p>
    <w:p w14:paraId="103AFE35" w14:textId="77777777" w:rsidR="00BF4479" w:rsidRPr="00BF4479" w:rsidRDefault="00BF4479" w:rsidP="00680917">
      <w:pPr>
        <w:jc w:val="both"/>
        <w:rPr>
          <w:lang w:val="en-GB"/>
        </w:rPr>
      </w:pPr>
      <w:r w:rsidRPr="00BF4479">
        <w:rPr>
          <w:lang w:val="en-GB"/>
        </w:rPr>
        <w:t xml:space="preserve">For each product </w:t>
      </w:r>
      <w:proofErr w:type="spellStart"/>
      <w:r w:rsidRPr="00BF4479">
        <w:rPr>
          <w:i/>
          <w:lang w:val="en-GB"/>
        </w:rPr>
        <w:t>i</w:t>
      </w:r>
      <w:proofErr w:type="spellEnd"/>
      <w:r w:rsidRPr="00BF4479">
        <w:rPr>
          <w:lang w:val="en-GB"/>
        </w:rPr>
        <w:t>, the world trade equilibrium equation is written:</w:t>
      </w:r>
    </w:p>
    <w:p w14:paraId="4236DE97" w14:textId="1E88C139" w:rsidR="00BF4479" w:rsidRPr="00BF4479" w:rsidRDefault="00A708E5" w:rsidP="00680917">
      <w:pPr>
        <w:jc w:val="both"/>
        <w:rPr>
          <w:lang w:val="en-GB"/>
        </w:rPr>
      </w:pPr>
      <m:oMathPara>
        <m:oMath>
          <m:nary>
            <m:naryPr>
              <m:chr m:val="∑"/>
              <m:limLoc m:val="undOvr"/>
              <m:supHide m:val="1"/>
              <m:ctrlPr>
                <w:rPr>
                  <w:rFonts w:ascii="Cambria Math" w:hAnsi="Cambria Math"/>
                  <w:i/>
                  <w:lang w:val="en-GB"/>
                </w:rPr>
              </m:ctrlPr>
            </m:naryPr>
            <m:sub>
              <m:r>
                <w:rPr>
                  <w:rFonts w:ascii="Cambria Math" w:hAnsi="Cambria Math"/>
                  <w:lang w:val="en-GB"/>
                </w:rPr>
                <m:t>j</m:t>
              </m:r>
            </m:sub>
            <m:sup/>
            <m:e>
              <m:sSub>
                <m:sSubPr>
                  <m:ctrlPr>
                    <w:rPr>
                      <w:rFonts w:ascii="Cambria Math" w:hAnsi="Cambria Math"/>
                      <w:i/>
                      <w:lang w:val="en-GB"/>
                    </w:rPr>
                  </m:ctrlPr>
                </m:sSubPr>
                <m:e>
                  <m:r>
                    <w:rPr>
                      <w:rFonts w:ascii="Cambria Math" w:hAnsi="Cambria Math"/>
                      <w:lang w:val="en-GB"/>
                    </w:rPr>
                    <m:t>Imp</m:t>
                  </m:r>
                </m:e>
                <m:sub>
                  <m:r>
                    <w:rPr>
                      <w:rFonts w:ascii="Cambria Math" w:hAnsi="Cambria Math"/>
                      <w:lang w:val="en-GB"/>
                    </w:rPr>
                    <m:t>ijt</m:t>
                  </m:r>
                </m:sub>
              </m:sSub>
            </m:e>
          </m:nary>
          <m:r>
            <w:rPr>
              <w:rFonts w:ascii="Cambria Math" w:hAnsi="Cambria Math"/>
              <w:lang w:val="en-GB"/>
            </w:rPr>
            <m:t>=</m:t>
          </m:r>
          <m:nary>
            <m:naryPr>
              <m:chr m:val="∑"/>
              <m:limLoc m:val="undOvr"/>
              <m:supHide m:val="1"/>
              <m:ctrlPr>
                <w:rPr>
                  <w:rFonts w:ascii="Cambria Math" w:hAnsi="Cambria Math"/>
                  <w:i/>
                  <w:lang w:val="en-GB"/>
                </w:rPr>
              </m:ctrlPr>
            </m:naryPr>
            <m:sub>
              <m:r>
                <w:rPr>
                  <w:rFonts w:ascii="Cambria Math" w:hAnsi="Cambria Math"/>
                  <w:lang w:val="en-GB"/>
                </w:rPr>
                <m:t>j</m:t>
              </m:r>
            </m:sub>
            <m:sup/>
            <m:e>
              <m:sSub>
                <m:sSubPr>
                  <m:ctrlPr>
                    <w:rPr>
                      <w:rFonts w:ascii="Cambria Math" w:hAnsi="Cambria Math"/>
                      <w:i/>
                      <w:lang w:val="en-GB"/>
                    </w:rPr>
                  </m:ctrlPr>
                </m:sSubPr>
                <m:e>
                  <m:r>
                    <w:rPr>
                      <w:rFonts w:ascii="Cambria Math" w:hAnsi="Cambria Math"/>
                      <w:lang w:val="en-GB"/>
                    </w:rPr>
                    <m:t>Exp</m:t>
                  </m:r>
                </m:e>
                <m:sub>
                  <m:r>
                    <w:rPr>
                      <w:rFonts w:ascii="Cambria Math" w:hAnsi="Cambria Math"/>
                      <w:lang w:val="en-GB"/>
                    </w:rPr>
                    <m:t>ijt</m:t>
                  </m:r>
                </m:sub>
              </m:sSub>
            </m:e>
          </m:nary>
        </m:oMath>
      </m:oMathPara>
    </w:p>
    <w:p w14:paraId="4E062E8E" w14:textId="77777777" w:rsidR="00BF4479" w:rsidRPr="00BF4479" w:rsidRDefault="00BF4479" w:rsidP="00680917">
      <w:pPr>
        <w:jc w:val="both"/>
        <w:rPr>
          <w:lang w:val="en-GB"/>
        </w:rPr>
      </w:pPr>
      <w:r w:rsidRPr="00BF4479">
        <w:rPr>
          <w:lang w:val="en-GB"/>
        </w:rPr>
        <w:t xml:space="preserve">While for each region </w:t>
      </w:r>
      <w:r w:rsidRPr="00BF4479">
        <w:rPr>
          <w:i/>
          <w:lang w:val="en-GB"/>
        </w:rPr>
        <w:t>j</w:t>
      </w:r>
      <w:r w:rsidRPr="00BF4479">
        <w:rPr>
          <w:lang w:val="en-GB"/>
        </w:rPr>
        <w:t>, the agricultural land constraint equation is:</w:t>
      </w:r>
    </w:p>
    <w:p w14:paraId="5E34E669" w14:textId="2190BBBF" w:rsidR="00BF4479" w:rsidRPr="00BF4479" w:rsidRDefault="00A708E5" w:rsidP="00680917">
      <w:pPr>
        <w:jc w:val="both"/>
        <w:rPr>
          <w:lang w:val="en-GB"/>
        </w:rPr>
      </w:pPr>
      <m:oMathPara>
        <m:oMath>
          <m:nary>
            <m:naryPr>
              <m:chr m:val="∑"/>
              <m:limLoc m:val="undOvr"/>
              <m:supHide m:val="1"/>
              <m:ctrlPr>
                <w:rPr>
                  <w:rFonts w:ascii="Cambria Math" w:hAnsi="Cambria Math"/>
                  <w:i/>
                  <w:lang w:val="en-GB"/>
                </w:rPr>
              </m:ctrlPr>
            </m:naryPr>
            <m:sub>
              <m:r>
                <w:rPr>
                  <w:rFonts w:ascii="Cambria Math" w:hAnsi="Cambria Math"/>
                  <w:lang w:val="en-GB"/>
                </w:rPr>
                <m:t>v</m:t>
              </m:r>
            </m:sub>
            <m:sup/>
            <m:e>
              <m:sSub>
                <m:sSubPr>
                  <m:ctrlPr>
                    <w:rPr>
                      <w:rFonts w:ascii="Cambria Math" w:hAnsi="Cambria Math"/>
                      <w:i/>
                      <w:lang w:val="en-GB"/>
                    </w:rPr>
                  </m:ctrlPr>
                </m:sSubPr>
                <m:e>
                  <m:r>
                    <w:rPr>
                      <w:rFonts w:ascii="Cambria Math" w:hAnsi="Cambria Math"/>
                      <w:lang w:val="en-GB"/>
                    </w:rPr>
                    <m:t>Surf</m:t>
                  </m:r>
                </m:e>
                <m:sub>
                  <m:r>
                    <w:rPr>
                      <w:rFonts w:ascii="Cambria Math" w:hAnsi="Cambria Math"/>
                      <w:lang w:val="en-GB"/>
                    </w:rPr>
                    <m:t>vjt</m:t>
                  </m:r>
                </m:sub>
              </m:sSub>
            </m:e>
          </m:nary>
          <m:r>
            <w:rPr>
              <w:rFonts w:ascii="Cambria Math" w:hAnsi="Cambria Math"/>
              <w:lang w:val="en-GB"/>
            </w:rPr>
            <m:t>≤</m:t>
          </m:r>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Surf</m:t>
                  </m:r>
                </m:e>
                <m:sub>
                  <m:r>
                    <w:rPr>
                      <w:rFonts w:ascii="Cambria Math" w:hAnsi="Cambria Math"/>
                      <w:lang w:val="en-GB"/>
                    </w:rPr>
                    <m:t>jt</m:t>
                  </m:r>
                </m:sub>
              </m:sSub>
            </m:e>
          </m:acc>
        </m:oMath>
      </m:oMathPara>
    </w:p>
    <w:p w14:paraId="2E782868" w14:textId="3510D6DF" w:rsidR="00BF4479" w:rsidRPr="00BF4479" w:rsidRDefault="00BF4479" w:rsidP="00680917">
      <w:pPr>
        <w:jc w:val="both"/>
        <w:rPr>
          <w:lang w:val="en-GB"/>
        </w:rPr>
      </w:pPr>
      <w:r w:rsidRPr="00BF4479">
        <w:rPr>
          <w:lang w:val="en-GB"/>
        </w:rPr>
        <w:t xml:space="preserve">This agricultural land constraint may be defined for various sets of products </w:t>
      </w:r>
      <w:r w:rsidRPr="00BF4479">
        <w:rPr>
          <w:i/>
          <w:lang w:val="en-GB"/>
        </w:rPr>
        <w:t>v</w:t>
      </w:r>
      <w:r w:rsidRPr="00BF4479">
        <w:rPr>
          <w:lang w:val="en-GB"/>
        </w:rPr>
        <w:t xml:space="preserve"> so that the </w:t>
      </w:r>
      <w:r w:rsidRPr="00BF4479">
        <w:rPr>
          <w:i/>
          <w:lang w:val="en-GB"/>
        </w:rPr>
        <w:t>Surf</w:t>
      </w:r>
      <w:r w:rsidRPr="00BF4479">
        <w:rPr>
          <w:lang w:val="en-GB"/>
        </w:rPr>
        <w:t xml:space="preserve"> and </w:t>
      </w:r>
      <m:oMath>
        <m:acc>
          <m:accPr>
            <m:chr m:val="̅"/>
            <m:ctrlPr>
              <w:rPr>
                <w:rFonts w:ascii="Cambria Math" w:hAnsi="Cambria Math"/>
                <w:i/>
                <w:lang w:val="en-GB"/>
              </w:rPr>
            </m:ctrlPr>
          </m:accPr>
          <m:e>
            <m:r>
              <w:rPr>
                <w:rFonts w:ascii="Cambria Math" w:hAnsi="Cambria Math"/>
                <w:lang w:val="en-GB"/>
              </w:rPr>
              <m:t>Surf</m:t>
            </m:r>
          </m:e>
        </m:acc>
      </m:oMath>
      <w:r w:rsidRPr="00BF4479">
        <w:rPr>
          <w:lang w:val="en-GB"/>
        </w:rPr>
        <w:t xml:space="preserve"> may have different meanings: the land constraint may be defined for the cropland area, for the pastureland area or for the total agricultural land area for instance, or for all other sets of products. In </w:t>
      </w:r>
      <w:r w:rsidR="004B486B">
        <w:rPr>
          <w:lang w:val="en-GB"/>
        </w:rPr>
        <w:t>GlobAgri-Agt</w:t>
      </w:r>
      <w:r w:rsidRPr="00BF4479">
        <w:rPr>
          <w:lang w:val="en-GB"/>
        </w:rPr>
        <w:t xml:space="preserve">, because of the lack of data regarding the maximum pastureland area in each region, we defined the agricultural land constraint on the cropland area. Hence </w:t>
      </w:r>
      <m:oMath>
        <m:sSub>
          <m:sSubPr>
            <m:ctrlPr>
              <w:rPr>
                <w:rFonts w:ascii="Cambria Math" w:hAnsi="Cambria Math"/>
                <w:i/>
                <w:lang w:val="en-GB"/>
              </w:rPr>
            </m:ctrlPr>
          </m:sSubPr>
          <m:e>
            <m:r>
              <w:rPr>
                <w:rFonts w:ascii="Cambria Math" w:hAnsi="Cambria Math"/>
                <w:lang w:val="en-GB"/>
              </w:rPr>
              <m:t>Surf</m:t>
            </m:r>
          </m:e>
          <m:sub>
            <m:r>
              <w:rPr>
                <w:rFonts w:ascii="Cambria Math" w:hAnsi="Cambria Math"/>
                <w:lang w:val="en-GB"/>
              </w:rPr>
              <m:t>vjt</m:t>
            </m:r>
          </m:sub>
        </m:sSub>
      </m:oMath>
      <w:r w:rsidRPr="00BF4479">
        <w:rPr>
          <w:lang w:val="en-GB"/>
        </w:rPr>
        <w:t xml:space="preserve"> is the cultivated area devoted to crop product </w:t>
      </w:r>
      <w:r w:rsidRPr="00BF4479">
        <w:rPr>
          <w:i/>
          <w:lang w:val="en-GB"/>
        </w:rPr>
        <w:t>v</w:t>
      </w:r>
      <w:r w:rsidRPr="00BF4479">
        <w:rPr>
          <w:lang w:val="en-GB"/>
        </w:rPr>
        <w:t xml:space="preserve"> in region </w:t>
      </w:r>
      <w:r w:rsidRPr="00BF4479">
        <w:rPr>
          <w:i/>
          <w:lang w:val="en-GB"/>
        </w:rPr>
        <w:t xml:space="preserve">j </w:t>
      </w:r>
      <w:r w:rsidRPr="00BF4479">
        <w:rPr>
          <w:lang w:val="en-GB"/>
        </w:rPr>
        <w:t>during year</w:t>
      </w:r>
      <w:r w:rsidRPr="00BF4479">
        <w:rPr>
          <w:i/>
          <w:lang w:val="en-GB"/>
        </w:rPr>
        <w:t xml:space="preserve"> t</w:t>
      </w:r>
      <w:r w:rsidRPr="00BF4479">
        <w:rPr>
          <w:lang w:val="en-GB"/>
        </w:rPr>
        <w:t xml:space="preserve"> and </w:t>
      </w:r>
      <m:oMath>
        <m:acc>
          <m:accPr>
            <m:chr m:val="̅"/>
            <m:ctrlPr>
              <w:rPr>
                <w:rFonts w:ascii="Cambria Math" w:hAnsi="Cambria Math"/>
                <w:i/>
                <w:lang w:val="en-GB"/>
              </w:rPr>
            </m:ctrlPr>
          </m:accPr>
          <m:e>
            <m:sSub>
              <m:sSubPr>
                <m:ctrlPr>
                  <w:rPr>
                    <w:rFonts w:ascii="Cambria Math" w:hAnsi="Cambria Math"/>
                    <w:i/>
                    <w:lang w:val="en-GB"/>
                  </w:rPr>
                </m:ctrlPr>
              </m:sSubPr>
              <m:e>
                <m:r>
                  <w:rPr>
                    <w:rFonts w:ascii="Cambria Math" w:hAnsi="Cambria Math"/>
                    <w:lang w:val="en-GB"/>
                  </w:rPr>
                  <m:t>Surf</m:t>
                </m:r>
              </m:e>
              <m:sub>
                <m:r>
                  <w:rPr>
                    <w:rFonts w:ascii="Cambria Math" w:hAnsi="Cambria Math"/>
                    <w:lang w:val="en-GB"/>
                  </w:rPr>
                  <m:t>jt</m:t>
                </m:r>
              </m:sub>
            </m:sSub>
          </m:e>
        </m:acc>
      </m:oMath>
      <w:r w:rsidRPr="00BF4479">
        <w:rPr>
          <w:lang w:val="en-GB"/>
        </w:rPr>
        <w:t xml:space="preserve"> is the maximum cultivable area in region </w:t>
      </w:r>
      <w:r w:rsidRPr="00BF4479">
        <w:rPr>
          <w:i/>
          <w:lang w:val="en-GB"/>
        </w:rPr>
        <w:t>j</w:t>
      </w:r>
      <w:r w:rsidRPr="00BF4479">
        <w:rPr>
          <w:lang w:val="en-GB"/>
        </w:rPr>
        <w:t xml:space="preserve"> in year </w:t>
      </w:r>
      <w:r w:rsidRPr="00BF4479">
        <w:rPr>
          <w:i/>
          <w:lang w:val="en-GB"/>
        </w:rPr>
        <w:t>t</w:t>
      </w:r>
      <w:r w:rsidRPr="00BF4479">
        <w:rPr>
          <w:lang w:val="en-GB"/>
        </w:rPr>
        <w:t xml:space="preserve">. Let us emphasize at this stage that defining the land constraint on the cropland area has important implications since it means that pastureland may adjust freely to all the shocks introduced into the model. This limit does not result from the </w:t>
      </w:r>
      <w:r w:rsidR="004B486B">
        <w:rPr>
          <w:lang w:val="en-GB"/>
        </w:rPr>
        <w:t>GlobAgri-Agt</w:t>
      </w:r>
      <w:r w:rsidRPr="00BF4479">
        <w:rPr>
          <w:lang w:val="en-GB"/>
        </w:rPr>
        <w:t xml:space="preserve"> model since the latter can very easily deal with other levels of agricultural land constraints. It results from the lack of data on potential maximum areas, which could be shifted to permanent pasture in each region.</w:t>
      </w:r>
    </w:p>
    <w:p w14:paraId="52B2E496" w14:textId="77777777" w:rsidR="00BF4479" w:rsidRPr="00BF4479" w:rsidRDefault="00BF4479" w:rsidP="00680917">
      <w:pPr>
        <w:jc w:val="both"/>
        <w:rPr>
          <w:lang w:val="en-GB"/>
        </w:rPr>
      </w:pPr>
      <w:r w:rsidRPr="00BF4479">
        <w:rPr>
          <w:lang w:val="en-GB"/>
        </w:rPr>
        <w:t xml:space="preserve">Finally, as in the balance equations the domestic production of each crop </w:t>
      </w:r>
      <w:r w:rsidRPr="00BF4479">
        <w:rPr>
          <w:i/>
          <w:lang w:val="en-GB"/>
        </w:rPr>
        <w:t>v</w:t>
      </w:r>
      <w:r w:rsidRPr="00BF4479">
        <w:rPr>
          <w:lang w:val="en-GB"/>
        </w:rPr>
        <w:t xml:space="preserve"> in each region </w:t>
      </w:r>
      <w:r w:rsidRPr="00BF4479">
        <w:rPr>
          <w:i/>
          <w:lang w:val="en-GB"/>
        </w:rPr>
        <w:t>j</w:t>
      </w:r>
      <w:r w:rsidRPr="00BF4479">
        <w:rPr>
          <w:lang w:val="en-GB"/>
        </w:rPr>
        <w:t xml:space="preserve"> is linked to the harvested area and the per-hectare yield of corresponding products and regions, we need an additional equation linking the harvested area to the cultivated area for each crop in each region:</w:t>
      </w:r>
    </w:p>
    <w:p w14:paraId="33F84149" w14:textId="0164E4AA" w:rsidR="00BF4479" w:rsidRPr="00BF4479" w:rsidRDefault="00A708E5" w:rsidP="00680917">
      <w:pPr>
        <w:jc w:val="both"/>
        <w:rPr>
          <w:lang w:val="en-GB"/>
        </w:rPr>
      </w:pPr>
      <m:oMath>
        <m:nary>
          <m:naryPr>
            <m:chr m:val="∑"/>
            <m:limLoc m:val="undOvr"/>
            <m:supHide m:val="1"/>
            <m:ctrlPr>
              <w:rPr>
                <w:rFonts w:ascii="Cambria Math" w:hAnsi="Cambria Math"/>
                <w:i/>
                <w:lang w:val="en-GB"/>
              </w:rPr>
            </m:ctrlPr>
          </m:naryPr>
          <m:sub>
            <m:r>
              <w:rPr>
                <w:rFonts w:ascii="Cambria Math" w:hAnsi="Cambria Math"/>
                <w:lang w:val="en-GB"/>
              </w:rPr>
              <m:t>v</m:t>
            </m:r>
          </m:sub>
          <m:sup/>
          <m:e>
            <m:sSub>
              <m:sSubPr>
                <m:ctrlPr>
                  <w:rPr>
                    <w:rFonts w:ascii="Cambria Math" w:hAnsi="Cambria Math"/>
                    <w:i/>
                    <w:lang w:val="en-GB"/>
                  </w:rPr>
                </m:ctrlPr>
              </m:sSubPr>
              <m:e>
                <m:r>
                  <w:rPr>
                    <w:rFonts w:ascii="Cambria Math" w:hAnsi="Cambria Math"/>
                    <w:lang w:val="en-GB"/>
                  </w:rPr>
                  <m:t>Surf</m:t>
                </m:r>
              </m:e>
              <m:sub>
                <m:r>
                  <w:rPr>
                    <w:rFonts w:ascii="Cambria Math" w:hAnsi="Cambria Math"/>
                    <w:lang w:val="en-GB"/>
                  </w:rPr>
                  <m:t>vjt</m:t>
                </m:r>
              </m:sub>
            </m:sSub>
          </m:e>
        </m:nary>
        <m:r>
          <w:rPr>
            <w:rFonts w:ascii="Cambria Math" w:hAnsi="Cambria Math"/>
            <w:lang w:val="en-GB"/>
          </w:rPr>
          <m:t>=</m:t>
        </m:r>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jt</m:t>
            </m:r>
          </m:sub>
        </m:sSub>
        <m:r>
          <w:rPr>
            <w:rFonts w:ascii="Cambria Math" w:hAnsi="Cambria Math"/>
            <w:lang w:val="en-GB"/>
          </w:rPr>
          <m:t>*(</m:t>
        </m:r>
        <m:nary>
          <m:naryPr>
            <m:chr m:val="∑"/>
            <m:limLoc m:val="undOvr"/>
            <m:supHide m:val="1"/>
            <m:ctrlPr>
              <w:rPr>
                <w:rFonts w:ascii="Cambria Math" w:hAnsi="Cambria Math"/>
                <w:i/>
                <w:lang w:val="en-GB"/>
              </w:rPr>
            </m:ctrlPr>
          </m:naryPr>
          <m:sub>
            <m:r>
              <w:rPr>
                <w:rFonts w:ascii="Cambria Math" w:hAnsi="Cambria Math"/>
                <w:lang w:val="en-GB"/>
              </w:rPr>
              <m:t>v</m:t>
            </m:r>
          </m:sub>
          <m:sup/>
          <m:e>
            <m:sSub>
              <m:sSubPr>
                <m:ctrlPr>
                  <w:rPr>
                    <w:rFonts w:ascii="Cambria Math" w:hAnsi="Cambria Math"/>
                    <w:i/>
                    <w:lang w:val="en-GB"/>
                  </w:rPr>
                </m:ctrlPr>
              </m:sSubPr>
              <m:e>
                <m:r>
                  <w:rPr>
                    <w:rFonts w:ascii="Cambria Math" w:hAnsi="Cambria Math"/>
                    <w:lang w:val="en-GB"/>
                  </w:rPr>
                  <m:t>A</m:t>
                </m:r>
              </m:e>
              <m:sub>
                <m:r>
                  <w:rPr>
                    <w:rFonts w:ascii="Cambria Math" w:hAnsi="Cambria Math"/>
                    <w:lang w:val="en-GB"/>
                  </w:rPr>
                  <m:t>vjt</m:t>
                </m:r>
              </m:sub>
            </m:sSub>
            <m:r>
              <w:rPr>
                <w:rFonts w:ascii="Cambria Math" w:hAnsi="Cambria Math"/>
                <w:lang w:val="en-GB"/>
              </w:rPr>
              <m:t>)</m:t>
            </m:r>
          </m:e>
        </m:nary>
      </m:oMath>
      <w:r w:rsidR="00BF4479" w:rsidRPr="00BF4479">
        <w:rPr>
          <w:lang w:val="en-GB"/>
        </w:rPr>
        <w:t xml:space="preserve"> </w:t>
      </w:r>
    </w:p>
    <w:p w14:paraId="55ED4B7C" w14:textId="76D83D83" w:rsidR="00BF4479" w:rsidRPr="00BF4479" w:rsidRDefault="00BF4479" w:rsidP="00680917">
      <w:pPr>
        <w:jc w:val="both"/>
        <w:rPr>
          <w:lang w:val="en-GB"/>
        </w:rPr>
      </w:pPr>
      <w:r w:rsidRPr="00BF4479">
        <w:rPr>
          <w:lang w:val="en-GB"/>
        </w:rPr>
        <w:t xml:space="preserve">Where </w:t>
      </w:r>
      <m:oMath>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jt</m:t>
            </m:r>
          </m:sub>
        </m:sSub>
      </m:oMath>
      <w:r w:rsidRPr="00BF4479">
        <w:rPr>
          <w:lang w:val="en-GB"/>
        </w:rPr>
        <w:t xml:space="preserve"> measures the ratio of total cultivated area over total harvested area in region </w:t>
      </w:r>
      <w:r w:rsidRPr="00BF4479">
        <w:rPr>
          <w:i/>
          <w:lang w:val="en-GB"/>
        </w:rPr>
        <w:t>j</w:t>
      </w:r>
      <w:r w:rsidRPr="00BF4479">
        <w:rPr>
          <w:lang w:val="en-GB"/>
        </w:rPr>
        <w:t xml:space="preserve"> for year </w:t>
      </w:r>
      <w:r w:rsidRPr="00BF4479">
        <w:rPr>
          <w:i/>
          <w:lang w:val="en-GB"/>
        </w:rPr>
        <w:t>t</w:t>
      </w:r>
      <w:r w:rsidRPr="00BF4479">
        <w:rPr>
          <w:lang w:val="en-GB"/>
        </w:rPr>
        <w:t xml:space="preserve">. This ratio is lower than one when the cultivated area is lower than the harvested area, indicating the extent of multi-cropping (or the level of cropping intensity) in the concerned region. In contrast, the cropping intensity coefficient is greater than one when the cultivated area is greater than the harvested area, indicating the extent of fallow land or of harvest abandonment due to difficult climatic, </w:t>
      </w:r>
      <w:proofErr w:type="gramStart"/>
      <w:r w:rsidRPr="00BF4479">
        <w:rPr>
          <w:lang w:val="en-GB"/>
        </w:rPr>
        <w:t>economic</w:t>
      </w:r>
      <w:proofErr w:type="gramEnd"/>
      <w:r w:rsidRPr="00BF4479">
        <w:rPr>
          <w:lang w:val="en-GB"/>
        </w:rPr>
        <w:t xml:space="preserve"> or geopolitical conditions.</w:t>
      </w:r>
    </w:p>
    <w:p w14:paraId="0B75B635" w14:textId="77777777" w:rsidR="00BF4479" w:rsidRPr="00BF4479" w:rsidRDefault="00BF4479" w:rsidP="00680917">
      <w:pPr>
        <w:jc w:val="both"/>
        <w:rPr>
          <w:b/>
          <w:bCs/>
          <w:lang w:val="en-GB"/>
        </w:rPr>
      </w:pPr>
      <w:bookmarkStart w:id="25" w:name="_Toc454198811"/>
      <w:bookmarkStart w:id="26" w:name="_Toc454200657"/>
      <w:bookmarkStart w:id="27" w:name="_Toc73545191"/>
      <w:r w:rsidRPr="00BF4479">
        <w:rPr>
          <w:b/>
          <w:bCs/>
          <w:lang w:val="en-GB"/>
        </w:rPr>
        <w:t>The model solving</w:t>
      </w:r>
      <w:bookmarkEnd w:id="25"/>
      <w:bookmarkEnd w:id="26"/>
      <w:bookmarkEnd w:id="27"/>
    </w:p>
    <w:p w14:paraId="3DDBC0C8" w14:textId="77777777" w:rsidR="00BF4479" w:rsidRPr="00BF4479" w:rsidRDefault="00BF4479" w:rsidP="00680917">
      <w:pPr>
        <w:jc w:val="both"/>
        <w:rPr>
          <w:lang w:val="en-GB"/>
        </w:rPr>
      </w:pPr>
      <w:r w:rsidRPr="00BF4479">
        <w:rPr>
          <w:lang w:val="en-GB"/>
        </w:rPr>
        <w:lastRenderedPageBreak/>
        <w:t>In the initial ‘2010’ situation, domestic resources utilizations and world trade are balanced for all products and the observed cropland area is lower or nearly equal to the maximum cultivable area in all regions.</w:t>
      </w:r>
    </w:p>
    <w:p w14:paraId="327F94F8" w14:textId="65FCBF99" w:rsidR="00BF4479" w:rsidRPr="00BF4479" w:rsidRDefault="00BF4479" w:rsidP="00680917">
      <w:pPr>
        <w:jc w:val="both"/>
        <w:rPr>
          <w:lang w:val="en-GB"/>
        </w:rPr>
      </w:pPr>
      <w:r w:rsidRPr="00BF4479">
        <w:rPr>
          <w:lang w:val="en-GB"/>
        </w:rPr>
        <w:t xml:space="preserve">Let us assume that food consumption of product </w:t>
      </w:r>
      <w:proofErr w:type="spellStart"/>
      <w:r w:rsidRPr="00BF4479">
        <w:rPr>
          <w:i/>
          <w:lang w:val="en-GB"/>
        </w:rPr>
        <w:t>i</w:t>
      </w:r>
      <w:proofErr w:type="spellEnd"/>
      <w:r w:rsidRPr="00BF4479">
        <w:rPr>
          <w:lang w:val="en-GB"/>
        </w:rPr>
        <w:t xml:space="preserve"> increases in region </w:t>
      </w:r>
      <w:r w:rsidRPr="00BF4479">
        <w:rPr>
          <w:i/>
          <w:lang w:val="en-GB"/>
        </w:rPr>
        <w:t>j</w:t>
      </w:r>
      <w:r w:rsidRPr="00BF4479">
        <w:rPr>
          <w:lang w:val="en-GB"/>
        </w:rPr>
        <w:t xml:space="preserve">. According to our model specification, this increase is covered partly by rising imports and partly by expanding domestic production. This results in an expansion of cropland and, possibly, pastureland areas in region </w:t>
      </w:r>
      <w:r w:rsidRPr="00BF4479">
        <w:rPr>
          <w:i/>
          <w:lang w:val="en-GB"/>
        </w:rPr>
        <w:t>j</w:t>
      </w:r>
      <w:r w:rsidRPr="00BF4479">
        <w:rPr>
          <w:lang w:val="en-GB"/>
        </w:rPr>
        <w:t>. At this stage</w:t>
      </w:r>
      <w:r w:rsidR="007C7EC0">
        <w:rPr>
          <w:lang w:val="en-GB"/>
        </w:rPr>
        <w:t>,</w:t>
      </w:r>
      <w:r w:rsidRPr="00BF4479">
        <w:rPr>
          <w:lang w:val="en-GB"/>
        </w:rPr>
        <w:t xml:space="preserve"> two situations may arise:</w:t>
      </w:r>
    </w:p>
    <w:p w14:paraId="6382BF8A" w14:textId="77777777" w:rsidR="00BF4479" w:rsidRPr="00BF4479" w:rsidRDefault="00BF4479" w:rsidP="002B022E">
      <w:pPr>
        <w:numPr>
          <w:ilvl w:val="0"/>
          <w:numId w:val="5"/>
        </w:numPr>
        <w:jc w:val="both"/>
        <w:rPr>
          <w:lang w:val="en-GB"/>
        </w:rPr>
      </w:pPr>
      <w:r w:rsidRPr="00BF4479">
        <w:rPr>
          <w:lang w:val="en-GB"/>
        </w:rPr>
        <w:t xml:space="preserve">Region </w:t>
      </w:r>
      <w:r w:rsidRPr="00BF4479">
        <w:rPr>
          <w:i/>
          <w:lang w:val="en-GB"/>
        </w:rPr>
        <w:t>j</w:t>
      </w:r>
      <w:r w:rsidRPr="00BF4479">
        <w:rPr>
          <w:lang w:val="en-GB"/>
        </w:rPr>
        <w:t xml:space="preserve">’s cropland area is still lower than region </w:t>
      </w:r>
      <w:r w:rsidRPr="00BF4479">
        <w:rPr>
          <w:i/>
          <w:lang w:val="en-GB"/>
        </w:rPr>
        <w:t>j</w:t>
      </w:r>
      <w:r w:rsidRPr="00BF4479">
        <w:rPr>
          <w:lang w:val="en-GB"/>
        </w:rPr>
        <w:t>’s maximum cultivable area, then the resolution of the model stops.</w:t>
      </w:r>
    </w:p>
    <w:p w14:paraId="29FAFBFB" w14:textId="77777777" w:rsidR="00BF4479" w:rsidRPr="00BF4479" w:rsidRDefault="00BF4479" w:rsidP="002B022E">
      <w:pPr>
        <w:numPr>
          <w:ilvl w:val="0"/>
          <w:numId w:val="5"/>
        </w:numPr>
        <w:jc w:val="both"/>
        <w:rPr>
          <w:lang w:val="en-GB"/>
        </w:rPr>
      </w:pPr>
      <w:r w:rsidRPr="00BF4479">
        <w:rPr>
          <w:lang w:val="en-GB"/>
        </w:rPr>
        <w:t xml:space="preserve">Region </w:t>
      </w:r>
      <w:r w:rsidRPr="00BF4479">
        <w:rPr>
          <w:i/>
          <w:lang w:val="en-GB"/>
        </w:rPr>
        <w:t>j</w:t>
      </w:r>
      <w:r w:rsidRPr="00BF4479">
        <w:rPr>
          <w:lang w:val="en-GB"/>
        </w:rPr>
        <w:t xml:space="preserve">’s cropland area becomes greater than region </w:t>
      </w:r>
      <w:r w:rsidRPr="00BF4479">
        <w:rPr>
          <w:i/>
          <w:lang w:val="en-GB"/>
        </w:rPr>
        <w:t>j</w:t>
      </w:r>
      <w:r w:rsidRPr="00BF4479">
        <w:rPr>
          <w:lang w:val="en-GB"/>
        </w:rPr>
        <w:t>’s maximum cultivable area, then two stages are considered:</w:t>
      </w:r>
    </w:p>
    <w:p w14:paraId="1CA1A6C6" w14:textId="4BF6AB58" w:rsidR="00BF4479" w:rsidRPr="00BF4479" w:rsidRDefault="00BF4479" w:rsidP="002B022E">
      <w:pPr>
        <w:numPr>
          <w:ilvl w:val="0"/>
          <w:numId w:val="6"/>
        </w:numPr>
        <w:jc w:val="both"/>
        <w:rPr>
          <w:lang w:val="en-GB"/>
        </w:rPr>
      </w:pPr>
      <w:r w:rsidRPr="00BF4479">
        <w:rPr>
          <w:lang w:val="en-GB"/>
        </w:rPr>
        <w:t xml:space="preserve">Region </w:t>
      </w:r>
      <w:r w:rsidRPr="00BF4479">
        <w:rPr>
          <w:i/>
          <w:lang w:val="en-GB"/>
        </w:rPr>
        <w:t>j</w:t>
      </w:r>
      <w:r w:rsidRPr="00BF4479">
        <w:rPr>
          <w:lang w:val="en-GB"/>
        </w:rPr>
        <w:t xml:space="preserve">’s exports are first evenly reduced (through </w:t>
      </w:r>
      <w:proofErr w:type="spellStart"/>
      <w:r w:rsidRPr="00BF4479">
        <w:rPr>
          <w:lang w:val="en-GB"/>
        </w:rPr>
        <w:t>equi</w:t>
      </w:r>
      <w:proofErr w:type="spellEnd"/>
      <w:r w:rsidRPr="00BF4479">
        <w:rPr>
          <w:lang w:val="en-GB"/>
        </w:rPr>
        <w:t xml:space="preserve">-proportional decrease in its world export market shares </w:t>
      </w:r>
      <m:oMath>
        <m:sSub>
          <m:sSubPr>
            <m:ctrlPr>
              <w:rPr>
                <w:rFonts w:ascii="Cambria Math" w:hAnsi="Cambria Math"/>
                <w:i/>
                <w:lang w:val="en-GB"/>
              </w:rPr>
            </m:ctrlPr>
          </m:sSubPr>
          <m:e>
            <m:r>
              <w:rPr>
                <w:rFonts w:ascii="Cambria Math" w:hAnsi="Cambria Math"/>
                <w:lang w:val="en-GB"/>
              </w:rPr>
              <m:t>σ</m:t>
            </m:r>
          </m:e>
          <m:sub>
            <m:r>
              <w:rPr>
                <w:rFonts w:ascii="Cambria Math" w:hAnsi="Cambria Math"/>
                <w:lang w:val="en-GB"/>
              </w:rPr>
              <m:t>ijt</m:t>
            </m:r>
          </m:sub>
        </m:sSub>
      </m:oMath>
      <w:r w:rsidRPr="00BF4479">
        <w:rPr>
          <w:lang w:val="en-GB"/>
        </w:rPr>
        <w:t xml:space="preserve"> ) until the domestic cropla</w:t>
      </w:r>
      <w:proofErr w:type="spellStart"/>
      <w:r w:rsidRPr="00BF4479">
        <w:rPr>
          <w:lang w:val="en-GB"/>
        </w:rPr>
        <w:t>nd</w:t>
      </w:r>
      <w:proofErr w:type="spellEnd"/>
      <w:r w:rsidRPr="00BF4479">
        <w:rPr>
          <w:lang w:val="en-GB"/>
        </w:rPr>
        <w:t xml:space="preserve"> area falls below the maximum cultivable area. At this stage, the resolution of the model stops.</w:t>
      </w:r>
    </w:p>
    <w:p w14:paraId="0087C490" w14:textId="38DF2802" w:rsidR="00BF4479" w:rsidRPr="00BF4479" w:rsidRDefault="00BF4479" w:rsidP="002B022E">
      <w:pPr>
        <w:numPr>
          <w:ilvl w:val="0"/>
          <w:numId w:val="6"/>
        </w:numPr>
        <w:jc w:val="both"/>
        <w:rPr>
          <w:lang w:val="en-GB"/>
        </w:rPr>
      </w:pPr>
      <w:r w:rsidRPr="00BF4479">
        <w:rPr>
          <w:lang w:val="en-GB"/>
        </w:rPr>
        <w:t xml:space="preserve">If, even with zero exports, region </w:t>
      </w:r>
      <w:r w:rsidRPr="00BF4479">
        <w:rPr>
          <w:i/>
          <w:lang w:val="en-GB"/>
        </w:rPr>
        <w:t>j</w:t>
      </w:r>
      <w:r w:rsidRPr="00BF4479">
        <w:rPr>
          <w:lang w:val="en-GB"/>
        </w:rPr>
        <w:t xml:space="preserve"> still needs more cropland area than its maximum cultivable area, then region </w:t>
      </w:r>
      <w:r w:rsidRPr="00BF4479">
        <w:rPr>
          <w:i/>
          <w:lang w:val="en-GB"/>
        </w:rPr>
        <w:t>j</w:t>
      </w:r>
      <w:r w:rsidRPr="00BF4479">
        <w:rPr>
          <w:lang w:val="en-GB"/>
        </w:rPr>
        <w:t xml:space="preserve"> starts increasing its imports (through increases in import dependence coefficients </w:t>
      </w:r>
      <m:oMath>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ijt</m:t>
            </m:r>
          </m:sub>
        </m:sSub>
      </m:oMath>
      <w:r w:rsidRPr="00BF4479">
        <w:rPr>
          <w:lang w:val="en-GB"/>
        </w:rPr>
        <w:t xml:space="preserve">). In other words, region </w:t>
      </w:r>
      <w:r w:rsidRPr="00BF4479">
        <w:rPr>
          <w:i/>
          <w:lang w:val="en-GB"/>
        </w:rPr>
        <w:t>j</w:t>
      </w:r>
      <w:r w:rsidRPr="00BF4479">
        <w:rPr>
          <w:lang w:val="en-GB"/>
        </w:rPr>
        <w:t xml:space="preserve"> increases the share of its food needs which is covered by imports </w:t>
      </w:r>
      <w:proofErr w:type="gramStart"/>
      <w:r w:rsidRPr="00BF4479">
        <w:rPr>
          <w:lang w:val="en-GB"/>
        </w:rPr>
        <w:t>in order to</w:t>
      </w:r>
      <w:proofErr w:type="gramEnd"/>
      <w:r w:rsidRPr="00BF4479">
        <w:rPr>
          <w:lang w:val="en-GB"/>
        </w:rPr>
        <w:t xml:space="preserve"> reduce the required rise in domestic production and save some cropland area. As initial regional import dependence coefficients vary widely across products, we defined intervals of initial levels upon which the </w:t>
      </w:r>
      <m:oMath>
        <m:sSub>
          <m:sSubPr>
            <m:ctrlPr>
              <w:rPr>
                <w:rFonts w:ascii="Cambria Math" w:hAnsi="Cambria Math"/>
                <w:i/>
                <w:lang w:val="en-GB"/>
              </w:rPr>
            </m:ctrlPr>
          </m:sSubPr>
          <m:e>
            <m:r>
              <w:rPr>
                <w:rFonts w:ascii="Cambria Math" w:hAnsi="Cambria Math"/>
                <w:lang w:val="en-GB"/>
              </w:rPr>
              <m:t>α</m:t>
            </m:r>
          </m:e>
          <m:sub>
            <m:r>
              <w:rPr>
                <w:rFonts w:ascii="Cambria Math" w:hAnsi="Cambria Math"/>
                <w:lang w:val="en-GB"/>
              </w:rPr>
              <m:t>ijt</m:t>
            </m:r>
          </m:sub>
        </m:sSub>
      </m:oMath>
      <w:r w:rsidRPr="00BF4479">
        <w:rPr>
          <w:lang w:val="en-GB"/>
        </w:rPr>
        <w:t xml:space="preserve"> coefficients are increased evenly, making it possible to differentiate the level of increase by band.</w:t>
      </w:r>
    </w:p>
    <w:p w14:paraId="738C787D" w14:textId="77777777" w:rsidR="00BF4479" w:rsidRPr="00BF4479" w:rsidRDefault="00BF4479" w:rsidP="00680917">
      <w:pPr>
        <w:jc w:val="both"/>
        <w:rPr>
          <w:lang w:val="en-GB"/>
        </w:rPr>
      </w:pPr>
      <w:r w:rsidRPr="00BF4479">
        <w:rPr>
          <w:lang w:val="en-GB"/>
        </w:rPr>
        <w:t>Therefore, in the last case, the world export market shares and import dependence coefficients of regions constrained by their maximum cultivable land area become endogenous.</w:t>
      </w:r>
    </w:p>
    <w:p w14:paraId="6EF74BBE" w14:textId="77777777" w:rsidR="00BF4479" w:rsidRPr="00BF4479" w:rsidRDefault="00BF4479" w:rsidP="00680917">
      <w:pPr>
        <w:jc w:val="both"/>
        <w:rPr>
          <w:lang w:val="en-GB"/>
        </w:rPr>
      </w:pPr>
    </w:p>
    <w:p w14:paraId="2021B8D4" w14:textId="17F85E2C" w:rsidR="00BF4479" w:rsidRPr="00BF4479" w:rsidRDefault="00BF4479" w:rsidP="00680917">
      <w:pPr>
        <w:jc w:val="both"/>
        <w:rPr>
          <w:b/>
          <w:bCs/>
          <w:lang w:val="en-GB"/>
        </w:rPr>
      </w:pPr>
      <w:bookmarkStart w:id="28" w:name="_Ref68794310"/>
      <w:bookmarkStart w:id="29" w:name="_Toc73545236"/>
      <w:r w:rsidRPr="00BF4479">
        <w:rPr>
          <w:b/>
          <w:bCs/>
          <w:lang w:val="en-GB"/>
        </w:rPr>
        <w:t xml:space="preserve">Table </w:t>
      </w:r>
      <w:r w:rsidR="00370B2D">
        <w:rPr>
          <w:b/>
          <w:bCs/>
          <w:lang w:val="en-GB"/>
        </w:rPr>
        <w:t>S</w:t>
      </w:r>
      <w:r w:rsidRPr="00BF4479">
        <w:rPr>
          <w:b/>
          <w:bCs/>
          <w:lang w:val="en-GB"/>
        </w:rPr>
        <w:fldChar w:fldCharType="begin"/>
      </w:r>
      <w:r w:rsidRPr="00BF4479">
        <w:rPr>
          <w:b/>
          <w:bCs/>
          <w:lang w:val="en-GB"/>
        </w:rPr>
        <w:instrText xml:space="preserve"> SEQ Table \* ARABIC </w:instrText>
      </w:r>
      <w:r w:rsidRPr="00BF4479">
        <w:rPr>
          <w:b/>
          <w:bCs/>
          <w:lang w:val="en-GB"/>
        </w:rPr>
        <w:fldChar w:fldCharType="separate"/>
      </w:r>
      <w:r w:rsidR="00DA77D2">
        <w:rPr>
          <w:b/>
          <w:bCs/>
          <w:noProof/>
          <w:lang w:val="en-GB"/>
        </w:rPr>
        <w:t>6</w:t>
      </w:r>
      <w:r w:rsidRPr="00BF4479">
        <w:fldChar w:fldCharType="end"/>
      </w:r>
      <w:bookmarkEnd w:id="28"/>
      <w:r w:rsidRPr="00BF4479">
        <w:rPr>
          <w:b/>
          <w:bCs/>
          <w:lang w:val="en-GB"/>
        </w:rPr>
        <w:t xml:space="preserve">. Agri-food aggregates in </w:t>
      </w:r>
      <w:r w:rsidR="004B486B">
        <w:rPr>
          <w:b/>
          <w:bCs/>
          <w:lang w:val="en-GB"/>
        </w:rPr>
        <w:t>GlobAgri-Agt</w:t>
      </w:r>
      <w:bookmarkEnd w:id="29"/>
    </w:p>
    <w:tbl>
      <w:tblPr>
        <w:tblW w:w="9142" w:type="dxa"/>
        <w:tblLayout w:type="fixed"/>
        <w:tblCellMar>
          <w:left w:w="70" w:type="dxa"/>
          <w:right w:w="70" w:type="dxa"/>
        </w:tblCellMar>
        <w:tblLook w:val="04A0" w:firstRow="1" w:lastRow="0" w:firstColumn="1" w:lastColumn="0" w:noHBand="0" w:noVBand="1"/>
      </w:tblPr>
      <w:tblGrid>
        <w:gridCol w:w="1980"/>
        <w:gridCol w:w="1843"/>
        <w:gridCol w:w="2126"/>
        <w:gridCol w:w="3193"/>
      </w:tblGrid>
      <w:tr w:rsidR="00BF4479" w:rsidRPr="00BF4479" w14:paraId="34454265" w14:textId="77777777" w:rsidTr="00C42B8A">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FFFFFF"/>
            <w:noWrap/>
            <w:hideMark/>
          </w:tcPr>
          <w:p w14:paraId="48BC59C8" w14:textId="77777777" w:rsidR="00BF4479" w:rsidRPr="00BF4479" w:rsidRDefault="00BF4479" w:rsidP="008312A1">
            <w:pPr>
              <w:rPr>
                <w:lang w:val="en-GB"/>
              </w:rPr>
            </w:pPr>
            <w:r w:rsidRPr="00BF4479">
              <w:rPr>
                <w:lang w:val="en-GB"/>
              </w:rPr>
              <w:t>Aquatic animals</w:t>
            </w:r>
          </w:p>
          <w:p w14:paraId="7CCD3368" w14:textId="77777777" w:rsidR="00BF4479" w:rsidRPr="00BF4479" w:rsidRDefault="00BF4479" w:rsidP="008312A1">
            <w:pPr>
              <w:rPr>
                <w:lang w:val="en-GB"/>
              </w:rPr>
            </w:pPr>
            <w:r w:rsidRPr="00BF4479">
              <w:rPr>
                <w:lang w:val="en-GB"/>
              </w:rPr>
              <w:t>Bovine meat</w:t>
            </w:r>
          </w:p>
          <w:p w14:paraId="673A103E" w14:textId="77777777" w:rsidR="00BF4479" w:rsidRPr="00BF4479" w:rsidRDefault="00BF4479" w:rsidP="008312A1">
            <w:pPr>
              <w:rPr>
                <w:lang w:val="en-GB"/>
              </w:rPr>
            </w:pPr>
            <w:r w:rsidRPr="00BF4479">
              <w:rPr>
                <w:lang w:val="en-GB"/>
              </w:rPr>
              <w:t>Dairy</w:t>
            </w:r>
          </w:p>
          <w:p w14:paraId="398E1748" w14:textId="77777777" w:rsidR="00BF4479" w:rsidRPr="00BF4479" w:rsidRDefault="00BF4479" w:rsidP="008312A1">
            <w:pPr>
              <w:rPr>
                <w:lang w:val="en-GB"/>
              </w:rPr>
            </w:pPr>
            <w:r w:rsidRPr="00BF4479">
              <w:rPr>
                <w:lang w:val="en-GB"/>
              </w:rPr>
              <w:t>Eggs</w:t>
            </w:r>
          </w:p>
          <w:p w14:paraId="1B1FE932" w14:textId="77777777" w:rsidR="00BF4479" w:rsidRPr="00BF4479" w:rsidRDefault="00BF4479" w:rsidP="008312A1">
            <w:pPr>
              <w:rPr>
                <w:lang w:val="en-GB"/>
              </w:rPr>
            </w:pPr>
            <w:r w:rsidRPr="00BF4479">
              <w:rPr>
                <w:lang w:val="en-GB"/>
              </w:rPr>
              <w:t>Pork meat</w:t>
            </w:r>
          </w:p>
          <w:p w14:paraId="3241D3F2" w14:textId="77777777" w:rsidR="00BF4479" w:rsidRPr="00BF4479" w:rsidRDefault="00BF4479" w:rsidP="008312A1">
            <w:pPr>
              <w:rPr>
                <w:lang w:val="en-GB"/>
              </w:rPr>
            </w:pPr>
            <w:r w:rsidRPr="00BF4479">
              <w:rPr>
                <w:lang w:val="en-GB"/>
              </w:rPr>
              <w:t>Poultry meat</w:t>
            </w:r>
          </w:p>
          <w:p w14:paraId="226CA7E8" w14:textId="77777777" w:rsidR="00BF4479" w:rsidRPr="00BF4479" w:rsidRDefault="00BF4479" w:rsidP="008312A1">
            <w:pPr>
              <w:rPr>
                <w:lang w:val="en-GB"/>
              </w:rPr>
            </w:pPr>
            <w:r w:rsidRPr="00BF4479">
              <w:rPr>
                <w:lang w:val="en-GB"/>
              </w:rPr>
              <w:lastRenderedPageBreak/>
              <w:t>Small ruminant meat</w:t>
            </w:r>
          </w:p>
          <w:p w14:paraId="3D724393" w14:textId="77777777" w:rsidR="00BF4479" w:rsidRPr="00BF4479" w:rsidRDefault="00BF4479" w:rsidP="008312A1">
            <w:pPr>
              <w:rPr>
                <w:lang w:val="en-GB"/>
              </w:rPr>
            </w:pPr>
          </w:p>
        </w:tc>
        <w:tc>
          <w:tcPr>
            <w:tcW w:w="1843" w:type="dxa"/>
            <w:tcBorders>
              <w:top w:val="single" w:sz="4" w:space="0" w:color="auto"/>
              <w:left w:val="single" w:sz="4" w:space="0" w:color="auto"/>
              <w:bottom w:val="single" w:sz="4" w:space="0" w:color="auto"/>
            </w:tcBorders>
            <w:shd w:val="clear" w:color="auto" w:fill="FFFFFF"/>
            <w:noWrap/>
            <w:hideMark/>
          </w:tcPr>
          <w:p w14:paraId="63974580" w14:textId="77777777" w:rsidR="00BF4479" w:rsidRPr="004736D3" w:rsidRDefault="00BF4479" w:rsidP="008312A1">
            <w:pPr>
              <w:rPr>
                <w:lang w:val="fr-FR"/>
              </w:rPr>
            </w:pPr>
            <w:r w:rsidRPr="004736D3">
              <w:rPr>
                <w:lang w:val="fr-FR"/>
              </w:rPr>
              <w:lastRenderedPageBreak/>
              <w:t>Fibres etc.</w:t>
            </w:r>
          </w:p>
          <w:p w14:paraId="3D523D4E" w14:textId="77777777" w:rsidR="00BF4479" w:rsidRPr="004736D3" w:rsidRDefault="00BF4479" w:rsidP="008312A1">
            <w:pPr>
              <w:rPr>
                <w:lang w:val="fr-FR"/>
              </w:rPr>
            </w:pPr>
            <w:r w:rsidRPr="004736D3">
              <w:rPr>
                <w:lang w:val="fr-FR"/>
              </w:rPr>
              <w:t xml:space="preserve">Fruit and </w:t>
            </w:r>
            <w:proofErr w:type="spellStart"/>
            <w:r w:rsidRPr="004736D3">
              <w:rPr>
                <w:lang w:val="fr-FR"/>
              </w:rPr>
              <w:t>vegetables</w:t>
            </w:r>
            <w:proofErr w:type="spellEnd"/>
          </w:p>
          <w:p w14:paraId="1706B234" w14:textId="77777777" w:rsidR="00BF4479" w:rsidRPr="004736D3" w:rsidRDefault="00BF4479" w:rsidP="008312A1">
            <w:pPr>
              <w:rPr>
                <w:lang w:val="fr-FR"/>
              </w:rPr>
            </w:pPr>
            <w:proofErr w:type="gramStart"/>
            <w:r w:rsidRPr="004736D3">
              <w:rPr>
                <w:lang w:val="fr-FR"/>
              </w:rPr>
              <w:t>Pulses</w:t>
            </w:r>
            <w:proofErr w:type="gramEnd"/>
          </w:p>
          <w:p w14:paraId="76EF38B3" w14:textId="77777777" w:rsidR="00BF4479" w:rsidRPr="00BF4479" w:rsidRDefault="00BF4479" w:rsidP="008312A1">
            <w:pPr>
              <w:rPr>
                <w:lang w:val="en-GB"/>
              </w:rPr>
            </w:pPr>
            <w:r w:rsidRPr="00BF4479">
              <w:rPr>
                <w:lang w:val="en-GB"/>
              </w:rPr>
              <w:t>Roots and tubers</w:t>
            </w:r>
          </w:p>
          <w:p w14:paraId="525F13A0" w14:textId="77777777" w:rsidR="00BF4479" w:rsidRPr="00BF4479" w:rsidRDefault="00BF4479" w:rsidP="008312A1">
            <w:pPr>
              <w:rPr>
                <w:lang w:val="en-GB"/>
              </w:rPr>
            </w:pPr>
            <w:r w:rsidRPr="00BF4479">
              <w:rPr>
                <w:lang w:val="en-GB"/>
              </w:rPr>
              <w:t>Maize</w:t>
            </w:r>
          </w:p>
          <w:p w14:paraId="2480D0D8" w14:textId="77777777" w:rsidR="00BF4479" w:rsidRPr="00BF4479" w:rsidRDefault="00BF4479" w:rsidP="008312A1">
            <w:pPr>
              <w:rPr>
                <w:lang w:val="en-GB"/>
              </w:rPr>
            </w:pPr>
            <w:r w:rsidRPr="00BF4479">
              <w:rPr>
                <w:lang w:val="en-GB"/>
              </w:rPr>
              <w:t>Other cereals</w:t>
            </w:r>
          </w:p>
          <w:p w14:paraId="7CD8C1A3" w14:textId="77777777" w:rsidR="00BF4479" w:rsidRPr="00BF4479" w:rsidRDefault="00BF4479" w:rsidP="008312A1">
            <w:pPr>
              <w:rPr>
                <w:lang w:val="en-GB"/>
              </w:rPr>
            </w:pPr>
            <w:r w:rsidRPr="00BF4479">
              <w:rPr>
                <w:lang w:val="en-GB"/>
              </w:rPr>
              <w:lastRenderedPageBreak/>
              <w:t>Rice</w:t>
            </w:r>
          </w:p>
          <w:p w14:paraId="22897BE2" w14:textId="77777777" w:rsidR="00BF4479" w:rsidRPr="00BF4479" w:rsidRDefault="00BF4479" w:rsidP="008312A1">
            <w:pPr>
              <w:rPr>
                <w:lang w:val="en-GB"/>
              </w:rPr>
            </w:pPr>
            <w:r w:rsidRPr="00BF4479">
              <w:rPr>
                <w:lang w:val="en-GB"/>
              </w:rPr>
              <w:t>Wheat</w:t>
            </w:r>
          </w:p>
          <w:p w14:paraId="0F6255B6" w14:textId="77777777" w:rsidR="00BF4479" w:rsidRPr="00BF4479" w:rsidRDefault="00BF4479" w:rsidP="008312A1">
            <w:pPr>
              <w:rPr>
                <w:lang w:val="en-GB"/>
              </w:rPr>
            </w:pPr>
            <w:r w:rsidRPr="00BF4479">
              <w:rPr>
                <w:lang w:val="en-GB"/>
              </w:rPr>
              <w:t>Sugar plants and products</w:t>
            </w:r>
          </w:p>
          <w:p w14:paraId="4A7EDAF8" w14:textId="77777777" w:rsidR="00BF4479" w:rsidRPr="00BF4479" w:rsidRDefault="00BF4479" w:rsidP="008312A1">
            <w:pPr>
              <w:rPr>
                <w:lang w:val="en-GB"/>
              </w:rPr>
            </w:pPr>
            <w:r w:rsidRPr="00BF4479">
              <w:rPr>
                <w:lang w:val="en-GB"/>
              </w:rPr>
              <w:t>Other products</w:t>
            </w:r>
          </w:p>
          <w:p w14:paraId="7FA32A3E" w14:textId="77777777" w:rsidR="00BF4479" w:rsidRPr="00BF4479" w:rsidRDefault="00BF4479" w:rsidP="008312A1">
            <w:pPr>
              <w:rPr>
                <w:lang w:val="en-GB"/>
              </w:rPr>
            </w:pPr>
          </w:p>
        </w:tc>
        <w:tc>
          <w:tcPr>
            <w:tcW w:w="2126" w:type="dxa"/>
            <w:tcBorders>
              <w:top w:val="single" w:sz="4" w:space="0" w:color="auto"/>
              <w:left w:val="nil"/>
              <w:bottom w:val="single" w:sz="4" w:space="0" w:color="auto"/>
              <w:right w:val="single" w:sz="4" w:space="0" w:color="auto"/>
            </w:tcBorders>
            <w:shd w:val="clear" w:color="auto" w:fill="FFFFFF"/>
          </w:tcPr>
          <w:p w14:paraId="319877AC" w14:textId="77777777" w:rsidR="00BF4479" w:rsidRPr="00BF4479" w:rsidRDefault="00BF4479" w:rsidP="008312A1">
            <w:pPr>
              <w:rPr>
                <w:lang w:val="en-GB"/>
              </w:rPr>
            </w:pPr>
            <w:r w:rsidRPr="00BF4479">
              <w:rPr>
                <w:lang w:val="en-GB"/>
              </w:rPr>
              <w:lastRenderedPageBreak/>
              <w:t>Other oilcrops</w:t>
            </w:r>
          </w:p>
          <w:p w14:paraId="4133D1BC" w14:textId="77777777" w:rsidR="00BF4479" w:rsidRPr="00BF4479" w:rsidRDefault="00BF4479" w:rsidP="008312A1">
            <w:pPr>
              <w:rPr>
                <w:lang w:val="en-GB"/>
              </w:rPr>
            </w:pPr>
            <w:r w:rsidRPr="00BF4479">
              <w:rPr>
                <w:lang w:val="en-GB"/>
              </w:rPr>
              <w:t>Cake other oilcrops</w:t>
            </w:r>
          </w:p>
          <w:p w14:paraId="7C01E160" w14:textId="77777777" w:rsidR="00BF4479" w:rsidRPr="00BF4479" w:rsidRDefault="00BF4479" w:rsidP="008312A1">
            <w:pPr>
              <w:rPr>
                <w:lang w:val="en-GB"/>
              </w:rPr>
            </w:pPr>
            <w:r w:rsidRPr="00BF4479">
              <w:rPr>
                <w:lang w:val="en-GB"/>
              </w:rPr>
              <w:t>Oil other oilcrops</w:t>
            </w:r>
          </w:p>
          <w:p w14:paraId="6F301609" w14:textId="77777777" w:rsidR="00BF4479" w:rsidRPr="00BF4479" w:rsidRDefault="00BF4479" w:rsidP="008312A1">
            <w:pPr>
              <w:rPr>
                <w:lang w:val="en-GB"/>
              </w:rPr>
            </w:pPr>
            <w:proofErr w:type="spellStart"/>
            <w:r w:rsidRPr="00BF4479">
              <w:rPr>
                <w:lang w:val="en-GB"/>
              </w:rPr>
              <w:t>Oilpalm</w:t>
            </w:r>
            <w:proofErr w:type="spellEnd"/>
            <w:r w:rsidRPr="00BF4479">
              <w:rPr>
                <w:lang w:val="en-GB"/>
              </w:rPr>
              <w:t xml:space="preserve"> fruit</w:t>
            </w:r>
          </w:p>
          <w:p w14:paraId="22CA4258" w14:textId="77777777" w:rsidR="00BF4479" w:rsidRPr="00BF4479" w:rsidRDefault="00BF4479" w:rsidP="008312A1">
            <w:pPr>
              <w:rPr>
                <w:lang w:val="en-GB"/>
              </w:rPr>
            </w:pPr>
            <w:r w:rsidRPr="00BF4479">
              <w:rPr>
                <w:lang w:val="en-GB"/>
              </w:rPr>
              <w:t>Palm product oil</w:t>
            </w:r>
          </w:p>
          <w:p w14:paraId="445FF32C" w14:textId="77777777" w:rsidR="00BF4479" w:rsidRPr="00BF4479" w:rsidRDefault="00BF4479" w:rsidP="008312A1">
            <w:pPr>
              <w:rPr>
                <w:lang w:val="en-GB"/>
              </w:rPr>
            </w:pPr>
            <w:r w:rsidRPr="00BF4479">
              <w:rPr>
                <w:lang w:val="en-GB"/>
              </w:rPr>
              <w:t>Palm kernel cake</w:t>
            </w:r>
          </w:p>
          <w:p w14:paraId="3000CA95" w14:textId="77777777" w:rsidR="00BF4479" w:rsidRPr="00BF4479" w:rsidRDefault="00BF4479" w:rsidP="008312A1">
            <w:pPr>
              <w:rPr>
                <w:lang w:val="en-GB"/>
              </w:rPr>
            </w:pPr>
            <w:r w:rsidRPr="00BF4479">
              <w:rPr>
                <w:lang w:val="en-GB"/>
              </w:rPr>
              <w:lastRenderedPageBreak/>
              <w:t>Rape and mustard seeds</w:t>
            </w:r>
          </w:p>
          <w:p w14:paraId="296889AD" w14:textId="77777777" w:rsidR="00BF4479" w:rsidRPr="00BF4479" w:rsidRDefault="00BF4479" w:rsidP="008312A1">
            <w:pPr>
              <w:rPr>
                <w:lang w:val="en-GB"/>
              </w:rPr>
            </w:pPr>
            <w:r w:rsidRPr="00BF4479">
              <w:rPr>
                <w:lang w:val="en-GB"/>
              </w:rPr>
              <w:t>Rape and mustard cake</w:t>
            </w:r>
          </w:p>
          <w:p w14:paraId="2A7679A1" w14:textId="77777777" w:rsidR="00BF4479" w:rsidRPr="00BF4479" w:rsidRDefault="00BF4479" w:rsidP="008312A1">
            <w:pPr>
              <w:rPr>
                <w:lang w:val="en-GB"/>
              </w:rPr>
            </w:pPr>
            <w:r w:rsidRPr="00BF4479">
              <w:rPr>
                <w:lang w:val="en-GB"/>
              </w:rPr>
              <w:t>Rape and mustard oil</w:t>
            </w:r>
          </w:p>
          <w:p w14:paraId="1E24EFC7" w14:textId="77777777" w:rsidR="00BF4479" w:rsidRPr="00BF4479" w:rsidRDefault="00BF4479" w:rsidP="008312A1">
            <w:pPr>
              <w:rPr>
                <w:lang w:val="en-GB"/>
              </w:rPr>
            </w:pPr>
            <w:r w:rsidRPr="00BF4479">
              <w:rPr>
                <w:lang w:val="en-GB"/>
              </w:rPr>
              <w:t>Soybeans</w:t>
            </w:r>
          </w:p>
          <w:p w14:paraId="0A0F7A6A" w14:textId="77777777" w:rsidR="00BF4479" w:rsidRPr="00BF4479" w:rsidRDefault="00BF4479" w:rsidP="008312A1">
            <w:pPr>
              <w:rPr>
                <w:lang w:val="en-GB"/>
              </w:rPr>
            </w:pPr>
            <w:r w:rsidRPr="00BF4479">
              <w:rPr>
                <w:lang w:val="en-GB"/>
              </w:rPr>
              <w:t>Soybean cake</w:t>
            </w:r>
          </w:p>
          <w:p w14:paraId="0ED7F52D" w14:textId="77777777" w:rsidR="00BF4479" w:rsidRPr="00BF4479" w:rsidRDefault="00BF4479" w:rsidP="008312A1">
            <w:pPr>
              <w:rPr>
                <w:lang w:val="en-GB"/>
              </w:rPr>
            </w:pPr>
            <w:r w:rsidRPr="00BF4479">
              <w:rPr>
                <w:lang w:val="en-GB"/>
              </w:rPr>
              <w:t>Soybean oil</w:t>
            </w:r>
          </w:p>
          <w:p w14:paraId="0DE56976" w14:textId="77777777" w:rsidR="00BF4479" w:rsidRPr="00BF4479" w:rsidRDefault="00BF4479" w:rsidP="008312A1">
            <w:pPr>
              <w:rPr>
                <w:lang w:val="en-GB"/>
              </w:rPr>
            </w:pPr>
            <w:r w:rsidRPr="00BF4479">
              <w:rPr>
                <w:lang w:val="en-GB"/>
              </w:rPr>
              <w:t>Sunflower seeds</w:t>
            </w:r>
          </w:p>
          <w:p w14:paraId="350B8A7E" w14:textId="77777777" w:rsidR="00BF4479" w:rsidRPr="00BF4479" w:rsidRDefault="00BF4479" w:rsidP="008312A1">
            <w:pPr>
              <w:rPr>
                <w:lang w:val="en-GB"/>
              </w:rPr>
            </w:pPr>
            <w:r w:rsidRPr="00BF4479">
              <w:rPr>
                <w:lang w:val="en-GB"/>
              </w:rPr>
              <w:t>Sunflower seed cake</w:t>
            </w:r>
          </w:p>
          <w:p w14:paraId="16CCC736" w14:textId="77777777" w:rsidR="00BF4479" w:rsidRPr="00BF4479" w:rsidRDefault="00BF4479" w:rsidP="008312A1">
            <w:pPr>
              <w:rPr>
                <w:lang w:val="en-GB"/>
              </w:rPr>
            </w:pPr>
            <w:r w:rsidRPr="00BF4479">
              <w:rPr>
                <w:lang w:val="en-GB"/>
              </w:rPr>
              <w:t>Sunflower seed oil</w:t>
            </w:r>
          </w:p>
        </w:tc>
        <w:tc>
          <w:tcPr>
            <w:tcW w:w="3193" w:type="dxa"/>
            <w:tcBorders>
              <w:top w:val="single" w:sz="4" w:space="0" w:color="auto"/>
              <w:left w:val="single" w:sz="4" w:space="0" w:color="auto"/>
              <w:bottom w:val="single" w:sz="4" w:space="0" w:color="auto"/>
              <w:right w:val="single" w:sz="4" w:space="0" w:color="auto"/>
            </w:tcBorders>
            <w:shd w:val="clear" w:color="auto" w:fill="FFFFFF"/>
            <w:noWrap/>
            <w:hideMark/>
          </w:tcPr>
          <w:p w14:paraId="49032860" w14:textId="77777777" w:rsidR="00BF4479" w:rsidRPr="00BF4479" w:rsidRDefault="00BF4479" w:rsidP="008312A1">
            <w:pPr>
              <w:rPr>
                <w:lang w:val="en-GB"/>
              </w:rPr>
            </w:pPr>
            <w:r w:rsidRPr="00BF4479">
              <w:rPr>
                <w:lang w:val="en-GB"/>
              </w:rPr>
              <w:lastRenderedPageBreak/>
              <w:t>Grass (grass from direct grazing and as silage of permanent pastures)</w:t>
            </w:r>
          </w:p>
          <w:p w14:paraId="1930C8D6" w14:textId="77777777" w:rsidR="00BF4479" w:rsidRPr="00BF4479" w:rsidRDefault="00BF4479" w:rsidP="008312A1">
            <w:pPr>
              <w:rPr>
                <w:lang w:val="en-GB"/>
              </w:rPr>
            </w:pPr>
          </w:p>
          <w:p w14:paraId="7F958B09" w14:textId="77777777" w:rsidR="00BF4479" w:rsidRPr="00BF4479" w:rsidRDefault="00BF4479" w:rsidP="008312A1">
            <w:pPr>
              <w:rPr>
                <w:lang w:val="en-GB"/>
              </w:rPr>
            </w:pPr>
            <w:r w:rsidRPr="00BF4479">
              <w:rPr>
                <w:lang w:val="en-GB"/>
              </w:rPr>
              <w:t>Grass-like forages (mixed grass and ryegrass from temporary pastures)</w:t>
            </w:r>
          </w:p>
          <w:p w14:paraId="2703DB8C" w14:textId="77777777" w:rsidR="00BF4479" w:rsidRPr="00BF4479" w:rsidRDefault="00BF4479" w:rsidP="008312A1">
            <w:pPr>
              <w:rPr>
                <w:lang w:val="en-GB"/>
              </w:rPr>
            </w:pPr>
          </w:p>
          <w:p w14:paraId="5A0A4653" w14:textId="77777777" w:rsidR="00BF4479" w:rsidRPr="00BF4479" w:rsidRDefault="00BF4479" w:rsidP="008312A1">
            <w:pPr>
              <w:rPr>
                <w:lang w:val="en-GB"/>
              </w:rPr>
            </w:pPr>
            <w:r w:rsidRPr="00BF4479">
              <w:rPr>
                <w:lang w:val="en-GB"/>
              </w:rPr>
              <w:lastRenderedPageBreak/>
              <w:t>Other forages (alfalfa and fodder crops: beats, vegetables, sorghum, maize etc.)</w:t>
            </w:r>
          </w:p>
          <w:p w14:paraId="5738CE65" w14:textId="77777777" w:rsidR="00BF4479" w:rsidRPr="00BF4479" w:rsidRDefault="00BF4479" w:rsidP="008312A1">
            <w:pPr>
              <w:rPr>
                <w:lang w:val="en-GB"/>
              </w:rPr>
            </w:pPr>
          </w:p>
          <w:p w14:paraId="3952D647" w14:textId="77777777" w:rsidR="00BF4479" w:rsidRPr="00BF4479" w:rsidRDefault="00BF4479" w:rsidP="008312A1">
            <w:pPr>
              <w:rPr>
                <w:lang w:val="en-GB"/>
              </w:rPr>
            </w:pPr>
            <w:r w:rsidRPr="00BF4479">
              <w:rPr>
                <w:lang w:val="en-GB"/>
              </w:rPr>
              <w:t>Occasional feeds (food leftovers, cut-and-carry forages and legumes, roadside grasses)</w:t>
            </w:r>
          </w:p>
          <w:p w14:paraId="39F3369D" w14:textId="77777777" w:rsidR="00BF4479" w:rsidRPr="00BF4479" w:rsidRDefault="00BF4479" w:rsidP="008312A1">
            <w:pPr>
              <w:rPr>
                <w:lang w:val="en-GB"/>
              </w:rPr>
            </w:pPr>
          </w:p>
          <w:p w14:paraId="4282F030" w14:textId="77777777" w:rsidR="00BF4479" w:rsidRPr="00BF4479" w:rsidRDefault="00BF4479" w:rsidP="008312A1">
            <w:pPr>
              <w:rPr>
                <w:lang w:val="en-GB"/>
              </w:rPr>
            </w:pPr>
            <w:r w:rsidRPr="00BF4479">
              <w:rPr>
                <w:lang w:val="en-GB"/>
              </w:rPr>
              <w:t xml:space="preserve">Stover (crop residues) </w:t>
            </w:r>
          </w:p>
        </w:tc>
      </w:tr>
    </w:tbl>
    <w:p w14:paraId="6010F82D" w14:textId="59AC1265" w:rsidR="00BF4479" w:rsidRDefault="00BF4479" w:rsidP="00680917">
      <w:pPr>
        <w:jc w:val="both"/>
        <w:rPr>
          <w:b/>
          <w:lang w:val="en-GB"/>
        </w:rPr>
      </w:pPr>
    </w:p>
    <w:p w14:paraId="060DCE3D" w14:textId="527900EA" w:rsidR="00BF4479" w:rsidRPr="00BF4479" w:rsidRDefault="00BF4479" w:rsidP="00680917">
      <w:pPr>
        <w:jc w:val="both"/>
        <w:rPr>
          <w:b/>
          <w:bCs/>
          <w:lang w:val="en-GB"/>
        </w:rPr>
      </w:pPr>
      <w:bookmarkStart w:id="30" w:name="_Ref68794319"/>
      <w:bookmarkStart w:id="31" w:name="_Toc73545237"/>
      <w:r w:rsidRPr="00BF4479">
        <w:rPr>
          <w:b/>
          <w:bCs/>
          <w:lang w:val="en-GB"/>
        </w:rPr>
        <w:t xml:space="preserve">Table </w:t>
      </w:r>
      <w:r w:rsidR="00370B2D">
        <w:rPr>
          <w:b/>
          <w:bCs/>
          <w:lang w:val="en-GB"/>
        </w:rPr>
        <w:t>S</w:t>
      </w:r>
      <w:r w:rsidRPr="00BF4479">
        <w:rPr>
          <w:b/>
          <w:bCs/>
          <w:lang w:val="en-GB"/>
        </w:rPr>
        <w:fldChar w:fldCharType="begin"/>
      </w:r>
      <w:r w:rsidRPr="00BF4479">
        <w:rPr>
          <w:b/>
          <w:bCs/>
          <w:lang w:val="en-GB"/>
        </w:rPr>
        <w:instrText xml:space="preserve"> SEQ Table \* ARABIC </w:instrText>
      </w:r>
      <w:r w:rsidRPr="00BF4479">
        <w:rPr>
          <w:b/>
          <w:bCs/>
          <w:lang w:val="en-GB"/>
        </w:rPr>
        <w:fldChar w:fldCharType="separate"/>
      </w:r>
      <w:r w:rsidR="00DA77D2">
        <w:rPr>
          <w:b/>
          <w:bCs/>
          <w:noProof/>
          <w:lang w:val="en-GB"/>
        </w:rPr>
        <w:t>7</w:t>
      </w:r>
      <w:r w:rsidRPr="00BF4479">
        <w:fldChar w:fldCharType="end"/>
      </w:r>
      <w:bookmarkEnd w:id="30"/>
      <w:r w:rsidRPr="00BF4479">
        <w:rPr>
          <w:b/>
          <w:bCs/>
          <w:lang w:val="en-GB"/>
        </w:rPr>
        <w:t xml:space="preserve">. Broad geographic regions in </w:t>
      </w:r>
      <w:r w:rsidR="004B486B">
        <w:rPr>
          <w:b/>
          <w:bCs/>
          <w:lang w:val="en-GB"/>
        </w:rPr>
        <w:t>GlobAgri-Agt</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961"/>
        <w:gridCol w:w="2220"/>
        <w:gridCol w:w="2805"/>
      </w:tblGrid>
      <w:tr w:rsidR="00BF4479" w:rsidRPr="00BF4479" w14:paraId="480C7940" w14:textId="77777777" w:rsidTr="00C42B8A">
        <w:tc>
          <w:tcPr>
            <w:tcW w:w="2076" w:type="dxa"/>
          </w:tcPr>
          <w:p w14:paraId="5AAD9F40" w14:textId="77777777" w:rsidR="00BF4479" w:rsidRPr="00BF4479" w:rsidRDefault="00BF4479" w:rsidP="008312A1">
            <w:pPr>
              <w:rPr>
                <w:lang w:val="en-GB"/>
              </w:rPr>
            </w:pPr>
            <w:r w:rsidRPr="00BF4479">
              <w:rPr>
                <w:lang w:val="en-GB"/>
              </w:rPr>
              <w:t>Brazil/Argentina</w:t>
            </w:r>
          </w:p>
          <w:p w14:paraId="51C330B7" w14:textId="77777777" w:rsidR="00BF4479" w:rsidRPr="00BF4479" w:rsidRDefault="00BF4479" w:rsidP="008312A1">
            <w:pPr>
              <w:rPr>
                <w:lang w:val="en-GB"/>
              </w:rPr>
            </w:pPr>
            <w:r w:rsidRPr="00BF4479">
              <w:rPr>
                <w:lang w:val="en-GB"/>
              </w:rPr>
              <w:t>Rest of America</w:t>
            </w:r>
          </w:p>
          <w:p w14:paraId="4830CDD9" w14:textId="77777777" w:rsidR="00BF4479" w:rsidRPr="00BF4479" w:rsidRDefault="00BF4479" w:rsidP="008312A1">
            <w:pPr>
              <w:rPr>
                <w:lang w:val="en-GB"/>
              </w:rPr>
            </w:pPr>
          </w:p>
          <w:p w14:paraId="1355D0DB" w14:textId="77777777" w:rsidR="00BF4479" w:rsidRPr="00BF4479" w:rsidRDefault="00BF4479" w:rsidP="008312A1">
            <w:pPr>
              <w:rPr>
                <w:lang w:val="en-GB"/>
              </w:rPr>
            </w:pPr>
            <w:r w:rsidRPr="00BF4479">
              <w:rPr>
                <w:lang w:val="en-GB"/>
              </w:rPr>
              <w:t>Rest of Europe</w:t>
            </w:r>
          </w:p>
        </w:tc>
        <w:tc>
          <w:tcPr>
            <w:tcW w:w="1961" w:type="dxa"/>
          </w:tcPr>
          <w:p w14:paraId="5E3A1EEC" w14:textId="77777777" w:rsidR="00BF4479" w:rsidRPr="00BF4479" w:rsidRDefault="00BF4479" w:rsidP="008312A1">
            <w:pPr>
              <w:rPr>
                <w:lang w:val="en-GB"/>
              </w:rPr>
            </w:pPr>
            <w:r w:rsidRPr="00BF4479">
              <w:rPr>
                <w:lang w:val="en-GB"/>
              </w:rPr>
              <w:t>Canada/USA</w:t>
            </w:r>
          </w:p>
          <w:p w14:paraId="76C13ADE" w14:textId="77777777" w:rsidR="00BF4479" w:rsidRPr="00BF4479" w:rsidRDefault="00BF4479" w:rsidP="008312A1">
            <w:pPr>
              <w:rPr>
                <w:lang w:val="en-GB"/>
              </w:rPr>
            </w:pPr>
            <w:r w:rsidRPr="00BF4479">
              <w:rPr>
                <w:lang w:val="en-GB"/>
              </w:rPr>
              <w:t>EU-27</w:t>
            </w:r>
          </w:p>
          <w:p w14:paraId="6DFC4F81" w14:textId="77777777" w:rsidR="00BF4479" w:rsidRPr="00BF4479" w:rsidRDefault="00BF4479" w:rsidP="008312A1">
            <w:pPr>
              <w:rPr>
                <w:lang w:val="en-GB"/>
              </w:rPr>
            </w:pPr>
            <w:r w:rsidRPr="00BF4479">
              <w:rPr>
                <w:lang w:val="en-GB"/>
              </w:rPr>
              <w:t>Oceania</w:t>
            </w:r>
          </w:p>
          <w:p w14:paraId="0383079F" w14:textId="77777777" w:rsidR="00BF4479" w:rsidRPr="00BF4479" w:rsidRDefault="00BF4479" w:rsidP="008312A1">
            <w:pPr>
              <w:rPr>
                <w:lang w:val="en-GB"/>
              </w:rPr>
            </w:pPr>
            <w:r w:rsidRPr="00BF4479">
              <w:rPr>
                <w:lang w:val="en-GB"/>
              </w:rPr>
              <w:t>Former Soviet Union</w:t>
            </w:r>
          </w:p>
        </w:tc>
        <w:tc>
          <w:tcPr>
            <w:tcW w:w="2220" w:type="dxa"/>
          </w:tcPr>
          <w:p w14:paraId="54C806B3" w14:textId="77777777" w:rsidR="00BF4479" w:rsidRPr="00BF4479" w:rsidRDefault="00BF4479" w:rsidP="008312A1">
            <w:pPr>
              <w:rPr>
                <w:lang w:val="en-GB"/>
              </w:rPr>
            </w:pPr>
            <w:r w:rsidRPr="00BF4479">
              <w:rPr>
                <w:lang w:val="en-GB"/>
              </w:rPr>
              <w:t>China</w:t>
            </w:r>
          </w:p>
          <w:p w14:paraId="18B5D3C0" w14:textId="77777777" w:rsidR="00BF4479" w:rsidRPr="00BF4479" w:rsidRDefault="00BF4479" w:rsidP="008312A1">
            <w:pPr>
              <w:rPr>
                <w:lang w:val="en-GB"/>
              </w:rPr>
            </w:pPr>
            <w:r w:rsidRPr="00BF4479">
              <w:rPr>
                <w:lang w:val="en-GB"/>
              </w:rPr>
              <w:t xml:space="preserve">India </w:t>
            </w:r>
          </w:p>
          <w:p w14:paraId="1289349C" w14:textId="77777777" w:rsidR="00BF4479" w:rsidRPr="00BF4479" w:rsidRDefault="00BF4479" w:rsidP="008312A1">
            <w:pPr>
              <w:rPr>
                <w:lang w:val="en-GB"/>
              </w:rPr>
            </w:pPr>
            <w:r w:rsidRPr="00BF4479">
              <w:rPr>
                <w:lang w:val="en-GB"/>
              </w:rPr>
              <w:t>Rest of Asia</w:t>
            </w:r>
          </w:p>
          <w:p w14:paraId="34B3FF91" w14:textId="77777777" w:rsidR="00BF4479" w:rsidRPr="00BF4479" w:rsidRDefault="00BF4479" w:rsidP="008312A1">
            <w:pPr>
              <w:rPr>
                <w:lang w:val="en-GB"/>
              </w:rPr>
            </w:pPr>
            <w:r w:rsidRPr="00BF4479">
              <w:rPr>
                <w:lang w:val="en-GB"/>
              </w:rPr>
              <w:t>Near and Middle East</w:t>
            </w:r>
          </w:p>
        </w:tc>
        <w:tc>
          <w:tcPr>
            <w:tcW w:w="2805" w:type="dxa"/>
          </w:tcPr>
          <w:p w14:paraId="78602EAC" w14:textId="77777777" w:rsidR="00BF4479" w:rsidRPr="00BF4479" w:rsidRDefault="00BF4479" w:rsidP="008312A1">
            <w:pPr>
              <w:rPr>
                <w:lang w:val="en-GB"/>
              </w:rPr>
            </w:pPr>
            <w:r w:rsidRPr="00BF4479">
              <w:rPr>
                <w:lang w:val="en-GB"/>
              </w:rPr>
              <w:t xml:space="preserve">North Africa </w:t>
            </w:r>
          </w:p>
          <w:p w14:paraId="1CEB63E3" w14:textId="77777777" w:rsidR="00BF4479" w:rsidRPr="00BF4479" w:rsidRDefault="00BF4479" w:rsidP="008312A1">
            <w:pPr>
              <w:rPr>
                <w:lang w:val="en-GB"/>
              </w:rPr>
            </w:pPr>
            <w:r w:rsidRPr="00BF4479">
              <w:rPr>
                <w:lang w:val="en-GB"/>
              </w:rPr>
              <w:t>West Africa</w:t>
            </w:r>
          </w:p>
          <w:p w14:paraId="0D63C86B" w14:textId="77777777" w:rsidR="00BF4479" w:rsidRPr="00BF4479" w:rsidRDefault="00BF4479" w:rsidP="008312A1">
            <w:pPr>
              <w:rPr>
                <w:lang w:val="en-GB"/>
              </w:rPr>
            </w:pPr>
            <w:r w:rsidRPr="00BF4479">
              <w:rPr>
                <w:lang w:val="en-GB"/>
              </w:rPr>
              <w:t>East, Central and Southern (ECS) Africa</w:t>
            </w:r>
          </w:p>
        </w:tc>
      </w:tr>
    </w:tbl>
    <w:p w14:paraId="08475CB6" w14:textId="50F15919" w:rsidR="003B2A99" w:rsidRDefault="00BF4479" w:rsidP="00003231">
      <w:pPr>
        <w:jc w:val="both"/>
        <w:rPr>
          <w:lang w:val="en-GB"/>
        </w:rPr>
      </w:pPr>
      <w:r w:rsidRPr="00BF4479">
        <w:rPr>
          <w:lang w:val="en-GB"/>
        </w:rPr>
        <w:t xml:space="preserve">The results presented in the main text closely depend on the modelling approach and adopted quantitative hypotheses in simulated scenarios. Both the model and hypotheses have several limits. These limits, which relate to the general limits of the model and those of the general rules adopted to translate the scenarios into quantitative inputs to the model, are presented and discussed in Le Mouël </w:t>
      </w:r>
      <w:r w:rsidRPr="00BF4479">
        <w:rPr>
          <w:i/>
          <w:iCs/>
          <w:lang w:val="en-GB"/>
        </w:rPr>
        <w:t>et al</w:t>
      </w:r>
      <w:r w:rsidRPr="00BF4479">
        <w:rPr>
          <w:lang w:val="en-GB"/>
        </w:rPr>
        <w:t>. (2018).</w:t>
      </w:r>
      <w:r w:rsidR="003B2A99">
        <w:rPr>
          <w:lang w:val="en-GB"/>
        </w:rPr>
        <w:br w:type="page"/>
      </w:r>
    </w:p>
    <w:p w14:paraId="6EC7A78B" w14:textId="32DB992E" w:rsidR="00421E15" w:rsidRDefault="00421E15" w:rsidP="00421E15">
      <w:pPr>
        <w:jc w:val="both"/>
        <w:rPr>
          <w:b/>
          <w:bCs/>
          <w:lang w:val="en-GB"/>
        </w:rPr>
      </w:pPr>
      <w:r>
        <w:rPr>
          <w:b/>
          <w:bCs/>
          <w:lang w:val="en-GB"/>
        </w:rPr>
        <w:lastRenderedPageBreak/>
        <w:t>References</w:t>
      </w:r>
    </w:p>
    <w:p w14:paraId="3872D112" w14:textId="77777777" w:rsidR="00CD2169" w:rsidRPr="00F16531" w:rsidRDefault="00CD2169" w:rsidP="002E0EA8">
      <w:pPr>
        <w:pStyle w:val="Paragraphedeliste"/>
        <w:numPr>
          <w:ilvl w:val="0"/>
          <w:numId w:val="7"/>
        </w:numPr>
        <w:spacing w:before="0" w:after="120" w:line="259" w:lineRule="auto"/>
        <w:ind w:left="714" w:hanging="357"/>
        <w:contextualSpacing w:val="0"/>
        <w:rPr>
          <w:rFonts w:eastAsia="Times New Roman"/>
          <w:lang w:val="en-GB" w:eastAsia="en-GB"/>
        </w:rPr>
      </w:pPr>
      <w:proofErr w:type="spellStart"/>
      <w:r w:rsidRPr="00F16531">
        <w:rPr>
          <w:lang w:val="fr-FR" w:eastAsia="fr-FR"/>
        </w:rPr>
        <w:t>Bouwman</w:t>
      </w:r>
      <w:proofErr w:type="spellEnd"/>
      <w:r w:rsidRPr="00F16531">
        <w:rPr>
          <w:lang w:val="fr-FR" w:eastAsia="fr-FR"/>
        </w:rPr>
        <w:t xml:space="preserve">, A. F., et al. </w:t>
      </w:r>
      <w:r w:rsidRPr="00F16531">
        <w:rPr>
          <w:lang w:val="en-GB" w:eastAsia="fr-FR"/>
        </w:rPr>
        <w:t xml:space="preserve">"Exploring changes in world ruminant production systems." </w:t>
      </w:r>
      <w:r w:rsidRPr="00F16531">
        <w:rPr>
          <w:i/>
          <w:iCs/>
          <w:lang w:val="fr-FR" w:eastAsia="fr-FR"/>
        </w:rPr>
        <w:t xml:space="preserve">Agricultural </w:t>
      </w:r>
      <w:proofErr w:type="spellStart"/>
      <w:r w:rsidRPr="00F16531">
        <w:rPr>
          <w:i/>
          <w:iCs/>
          <w:lang w:val="fr-FR" w:eastAsia="fr-FR"/>
        </w:rPr>
        <w:t>systems</w:t>
      </w:r>
      <w:proofErr w:type="spellEnd"/>
      <w:r w:rsidRPr="00F16531">
        <w:rPr>
          <w:lang w:val="fr-FR" w:eastAsia="fr-FR"/>
        </w:rPr>
        <w:t xml:space="preserve"> 84.2 (2005). </w:t>
      </w:r>
      <w:hyperlink r:id="rId11" w:history="1">
        <w:r w:rsidRPr="00F16531">
          <w:rPr>
            <w:rStyle w:val="Lienhypertexte"/>
            <w:lang w:val="en-GB" w:eastAsia="fr-FR"/>
          </w:rPr>
          <w:t>http://dx.doi.org/10.1016/j.agsy.2004.05.006</w:t>
        </w:r>
      </w:hyperlink>
      <w:r w:rsidRPr="00F16531">
        <w:rPr>
          <w:lang w:val="en-GB" w:eastAsia="fr-FR"/>
        </w:rPr>
        <w:t xml:space="preserve"> </w:t>
      </w:r>
    </w:p>
    <w:p w14:paraId="27CB6F0A" w14:textId="77777777" w:rsidR="00CD2169" w:rsidRDefault="00CD2169" w:rsidP="002E0EA8">
      <w:pPr>
        <w:pStyle w:val="Paragraphedeliste"/>
        <w:numPr>
          <w:ilvl w:val="0"/>
          <w:numId w:val="7"/>
        </w:numPr>
        <w:spacing w:after="120"/>
        <w:contextualSpacing w:val="0"/>
        <w:rPr>
          <w:lang w:val="en-GB"/>
        </w:rPr>
      </w:pPr>
      <w:r w:rsidRPr="00802BE7">
        <w:rPr>
          <w:lang w:val="en-GB"/>
        </w:rPr>
        <w:t xml:space="preserve">FAOSTAT Statistics Database. Food and Agriculture Organization of the United Nations; (2016). </w:t>
      </w:r>
      <w:hyperlink r:id="rId12" w:anchor="data" w:history="1">
        <w:r w:rsidRPr="00774807">
          <w:rPr>
            <w:rStyle w:val="Lienhypertexte"/>
            <w:lang w:val="en-GB"/>
          </w:rPr>
          <w:t>http://www.fao.org/faostat/en/#data</w:t>
        </w:r>
      </w:hyperlink>
    </w:p>
    <w:p w14:paraId="426FA1C2" w14:textId="4F0FF66D" w:rsidR="00CD2169" w:rsidRPr="00E34C93" w:rsidRDefault="00CD2169" w:rsidP="002E0EA8">
      <w:pPr>
        <w:pStyle w:val="Paragraphedeliste"/>
        <w:numPr>
          <w:ilvl w:val="0"/>
          <w:numId w:val="7"/>
        </w:numPr>
        <w:spacing w:before="0" w:after="120" w:line="259" w:lineRule="auto"/>
        <w:ind w:left="714" w:hanging="357"/>
        <w:contextualSpacing w:val="0"/>
        <w:rPr>
          <w:rFonts w:eastAsia="Times New Roman"/>
          <w:lang w:val="en-GB" w:eastAsia="en-GB"/>
        </w:rPr>
      </w:pPr>
      <w:r w:rsidRPr="00F16531">
        <w:t xml:space="preserve">GAEZ, Global Agroecological Zones database (v 3.0). IIASA/FAO 2012; IIASA, </w:t>
      </w:r>
      <w:proofErr w:type="spellStart"/>
      <w:r w:rsidRPr="00F16531">
        <w:t>Laxenburg</w:t>
      </w:r>
      <w:proofErr w:type="spellEnd"/>
      <w:r w:rsidRPr="00F16531">
        <w:t xml:space="preserve">, Austria and FAO, Rome, Italy. </w:t>
      </w:r>
      <w:hyperlink r:id="rId13" w:history="1">
        <w:r w:rsidRPr="00F16531">
          <w:rPr>
            <w:color w:val="0000FF" w:themeColor="hyperlink"/>
            <w:u w:val="single"/>
          </w:rPr>
          <w:t>http://www.gaez.iiasa.ac.at/</w:t>
        </w:r>
      </w:hyperlink>
    </w:p>
    <w:p w14:paraId="367519EC" w14:textId="77777777" w:rsidR="00E34C93" w:rsidRPr="00E34C93" w:rsidRDefault="00E34C93" w:rsidP="00266FFE">
      <w:pPr>
        <w:pStyle w:val="Paragraphedeliste"/>
        <w:numPr>
          <w:ilvl w:val="0"/>
          <w:numId w:val="7"/>
        </w:numPr>
        <w:spacing w:before="0" w:after="120"/>
        <w:ind w:left="714" w:hanging="357"/>
        <w:contextualSpacing w:val="0"/>
        <w:jc w:val="both"/>
        <w:rPr>
          <w:lang w:val="en-GB"/>
        </w:rPr>
      </w:pPr>
      <w:r w:rsidRPr="00E34C93">
        <w:rPr>
          <w:rFonts w:eastAsia="Times New Roman"/>
          <w:lang w:val="fr-FR" w:eastAsia="en-GB"/>
        </w:rPr>
        <w:t xml:space="preserve">Guyomard, Hervé. Vers des agricultures à hautes performances. Volume 1. Analyse des performances de l’agriculture biologique, INRA, (2013), 368 p. </w:t>
      </w:r>
      <w:hyperlink r:id="rId14" w:history="1">
        <w:r w:rsidRPr="00E34C93">
          <w:rPr>
            <w:rStyle w:val="Lienhypertexte"/>
            <w:rFonts w:eastAsia="Times New Roman"/>
            <w:lang w:val="fr-FR" w:eastAsia="en-GB"/>
          </w:rPr>
          <w:t>https://hal.archives-ouvertes.fr/hal-01209961/document</w:t>
        </w:r>
      </w:hyperlink>
      <w:r w:rsidRPr="00E34C93">
        <w:rPr>
          <w:rFonts w:eastAsia="Times New Roman"/>
          <w:lang w:val="fr-FR" w:eastAsia="en-GB"/>
        </w:rPr>
        <w:t xml:space="preserve"> </w:t>
      </w:r>
    </w:p>
    <w:p w14:paraId="4F9D621F" w14:textId="1C16EC54" w:rsidR="00CD2169" w:rsidRPr="00E34C93" w:rsidRDefault="00CD2169" w:rsidP="00266FFE">
      <w:pPr>
        <w:pStyle w:val="Paragraphedeliste"/>
        <w:numPr>
          <w:ilvl w:val="0"/>
          <w:numId w:val="7"/>
        </w:numPr>
        <w:spacing w:before="0" w:after="120"/>
        <w:ind w:left="714" w:hanging="357"/>
        <w:contextualSpacing w:val="0"/>
        <w:jc w:val="both"/>
        <w:rPr>
          <w:lang w:val="en-GB"/>
        </w:rPr>
      </w:pPr>
      <w:r w:rsidRPr="00E34C93">
        <w:rPr>
          <w:rFonts w:eastAsia="Times New Roman"/>
          <w:lang w:val="en-GB" w:eastAsia="fr-FR"/>
        </w:rPr>
        <w:t xml:space="preserve">Herrero, Mario, et al. "Biomass use, production, feed efficiencies, and greenhouse gas emissions from global livestock systems." </w:t>
      </w:r>
      <w:r w:rsidRPr="00E34C93">
        <w:rPr>
          <w:rFonts w:eastAsia="Times New Roman"/>
          <w:i/>
          <w:iCs/>
          <w:lang w:val="en-GB" w:eastAsia="fr-FR"/>
        </w:rPr>
        <w:t>Proceedings of the National Academy of Sciences</w:t>
      </w:r>
      <w:r w:rsidRPr="00E34C93">
        <w:rPr>
          <w:rFonts w:eastAsia="Times New Roman"/>
          <w:lang w:val="en-GB" w:eastAsia="fr-FR"/>
        </w:rPr>
        <w:t xml:space="preserve"> 110.52 (2013): 20888-20893. </w:t>
      </w:r>
      <w:hyperlink r:id="rId15" w:history="1">
        <w:r w:rsidRPr="00E34C93">
          <w:rPr>
            <w:rStyle w:val="Lienhypertexte"/>
            <w:rFonts w:eastAsia="Times New Roman"/>
            <w:lang w:val="en-GB" w:eastAsia="fr-FR"/>
          </w:rPr>
          <w:t>http://dx.doi.org/10.1073/pnas.1308149110</w:t>
        </w:r>
      </w:hyperlink>
      <w:r w:rsidRPr="00E34C93">
        <w:rPr>
          <w:rFonts w:eastAsia="Times New Roman"/>
          <w:lang w:val="en-GB" w:eastAsia="fr-FR"/>
        </w:rPr>
        <w:t xml:space="preserve"> </w:t>
      </w:r>
    </w:p>
    <w:p w14:paraId="63CA2683" w14:textId="77777777" w:rsidR="00CD2169" w:rsidRPr="00802BE7" w:rsidRDefault="00CD2169" w:rsidP="002E0EA8">
      <w:pPr>
        <w:pStyle w:val="Paragraphedeliste"/>
        <w:numPr>
          <w:ilvl w:val="0"/>
          <w:numId w:val="7"/>
        </w:numPr>
        <w:spacing w:after="120"/>
        <w:contextualSpacing w:val="0"/>
        <w:rPr>
          <w:lang w:val="en-GB"/>
        </w:rPr>
      </w:pPr>
      <w:r w:rsidRPr="00802BE7">
        <w:rPr>
          <w:rFonts w:eastAsia="Times New Roman"/>
          <w:lang w:val="en-GB" w:eastAsia="fr-FR"/>
        </w:rPr>
        <w:t>IPCC Climate Change. "Mitigation of climate change." Contribution of working group III to the fifth assessment report of the intergovernmental panel on climate change 1454 (2014).</w:t>
      </w:r>
    </w:p>
    <w:p w14:paraId="5D3454F7" w14:textId="77777777" w:rsidR="00CD2169" w:rsidRPr="00F16531" w:rsidRDefault="00CD2169" w:rsidP="002E0EA8">
      <w:pPr>
        <w:pStyle w:val="Paragraphedeliste"/>
        <w:numPr>
          <w:ilvl w:val="0"/>
          <w:numId w:val="7"/>
        </w:numPr>
        <w:spacing w:before="0" w:after="120"/>
        <w:ind w:left="714" w:hanging="357"/>
        <w:contextualSpacing w:val="0"/>
        <w:jc w:val="both"/>
        <w:rPr>
          <w:rFonts w:eastAsia="Times New Roman"/>
          <w:lang w:val="en-GB"/>
        </w:rPr>
      </w:pPr>
      <w:r w:rsidRPr="00F16531">
        <w:rPr>
          <w:rFonts w:eastAsia="Times New Roman"/>
          <w:lang w:val="fr-FR"/>
        </w:rPr>
        <w:t xml:space="preserve">Le Mouël, Chantal, De Lattre-Gasquet, and Olivier Mora. </w:t>
      </w:r>
      <w:r w:rsidRPr="00F16531">
        <w:rPr>
          <w:rFonts w:eastAsia="Times New Roman"/>
          <w:lang w:val="en-GB"/>
        </w:rPr>
        <w:t xml:space="preserve">Land use and food security in 2050: a narrow road. </w:t>
      </w:r>
      <w:proofErr w:type="spellStart"/>
      <w:r w:rsidRPr="00F16531">
        <w:rPr>
          <w:rFonts w:eastAsia="Times New Roman"/>
          <w:lang w:val="en-GB"/>
        </w:rPr>
        <w:t>éditions</w:t>
      </w:r>
      <w:proofErr w:type="spellEnd"/>
      <w:r w:rsidRPr="00F16531">
        <w:rPr>
          <w:rFonts w:eastAsia="Times New Roman"/>
          <w:lang w:val="en-GB"/>
        </w:rPr>
        <w:t xml:space="preserve"> </w:t>
      </w:r>
      <w:proofErr w:type="spellStart"/>
      <w:r w:rsidRPr="00F16531">
        <w:rPr>
          <w:rFonts w:eastAsia="Times New Roman"/>
          <w:lang w:val="en-GB"/>
        </w:rPr>
        <w:t>Quae</w:t>
      </w:r>
      <w:proofErr w:type="spellEnd"/>
      <w:r w:rsidRPr="00F16531">
        <w:rPr>
          <w:rFonts w:eastAsia="Times New Roman"/>
          <w:lang w:val="en-GB"/>
        </w:rPr>
        <w:t>, 2018.</w:t>
      </w:r>
      <w:r w:rsidRPr="00F16531">
        <w:rPr>
          <w:rFonts w:eastAsia="Times New Roman"/>
        </w:rPr>
        <w:t xml:space="preserve"> </w:t>
      </w:r>
      <w:hyperlink r:id="rId16" w:history="1">
        <w:r w:rsidRPr="00F16531">
          <w:rPr>
            <w:rStyle w:val="Lienhypertexte"/>
            <w:rFonts w:eastAsia="Times New Roman"/>
          </w:rPr>
          <w:t>http://dx.doi.org/10.35690/978-2-7592-2880-5</w:t>
        </w:r>
      </w:hyperlink>
      <w:r w:rsidRPr="00F16531">
        <w:rPr>
          <w:rFonts w:eastAsia="Times New Roman"/>
        </w:rPr>
        <w:t xml:space="preserve"> </w:t>
      </w:r>
    </w:p>
    <w:p w14:paraId="3BAC7EB8" w14:textId="77777777" w:rsidR="00CD2169" w:rsidRPr="00214EAA" w:rsidRDefault="00CD2169" w:rsidP="002E0EA8">
      <w:pPr>
        <w:pStyle w:val="Paragraphedeliste"/>
        <w:numPr>
          <w:ilvl w:val="0"/>
          <w:numId w:val="7"/>
        </w:numPr>
        <w:spacing w:before="0" w:after="120"/>
        <w:contextualSpacing w:val="0"/>
        <w:rPr>
          <w:rFonts w:eastAsia="Times New Roman"/>
          <w:lang w:val="en-GB" w:eastAsia="fr-FR"/>
        </w:rPr>
      </w:pPr>
      <w:proofErr w:type="spellStart"/>
      <w:r w:rsidRPr="002536F5">
        <w:rPr>
          <w:rFonts w:eastAsia="Times New Roman"/>
          <w:lang w:val="en-GB" w:eastAsia="fr-FR"/>
        </w:rPr>
        <w:t>Monfreda</w:t>
      </w:r>
      <w:proofErr w:type="spellEnd"/>
      <w:r w:rsidRPr="002536F5">
        <w:rPr>
          <w:rFonts w:eastAsia="Times New Roman"/>
          <w:lang w:val="en-GB" w:eastAsia="fr-FR"/>
        </w:rPr>
        <w:t xml:space="preserve">, Chad, </w:t>
      </w:r>
      <w:proofErr w:type="spellStart"/>
      <w:r w:rsidRPr="002536F5">
        <w:rPr>
          <w:rFonts w:eastAsia="Times New Roman"/>
          <w:lang w:val="en-GB" w:eastAsia="fr-FR"/>
        </w:rPr>
        <w:t>Navin</w:t>
      </w:r>
      <w:proofErr w:type="spellEnd"/>
      <w:r w:rsidRPr="002536F5">
        <w:rPr>
          <w:rFonts w:eastAsia="Times New Roman"/>
          <w:lang w:val="en-GB" w:eastAsia="fr-FR"/>
        </w:rPr>
        <w:t xml:space="preserve"> </w:t>
      </w:r>
      <w:proofErr w:type="spellStart"/>
      <w:r w:rsidRPr="002536F5">
        <w:rPr>
          <w:rFonts w:eastAsia="Times New Roman"/>
          <w:lang w:val="en-GB" w:eastAsia="fr-FR"/>
        </w:rPr>
        <w:t>Ramankutty</w:t>
      </w:r>
      <w:proofErr w:type="spellEnd"/>
      <w:r w:rsidRPr="002536F5">
        <w:rPr>
          <w:rFonts w:eastAsia="Times New Roman"/>
          <w:lang w:val="en-GB" w:eastAsia="fr-FR"/>
        </w:rPr>
        <w:t xml:space="preserve">, and Jonathan A. Foley. "Farming the planet: 2. Geographic distribution of crop areas, yields, physiological types, and net primary production in the year 2000." </w:t>
      </w:r>
      <w:r w:rsidRPr="00214EAA">
        <w:rPr>
          <w:rFonts w:eastAsia="Times New Roman"/>
          <w:i/>
          <w:iCs/>
          <w:lang w:val="en-GB" w:eastAsia="fr-FR"/>
        </w:rPr>
        <w:t>Global biogeochemical cycles</w:t>
      </w:r>
      <w:r w:rsidRPr="00214EAA">
        <w:rPr>
          <w:rFonts w:eastAsia="Times New Roman"/>
          <w:lang w:val="en-GB" w:eastAsia="fr-FR"/>
        </w:rPr>
        <w:t xml:space="preserve"> 22.1 (2008). </w:t>
      </w:r>
      <w:hyperlink r:id="rId17" w:history="1">
        <w:r w:rsidRPr="00214EAA">
          <w:rPr>
            <w:rStyle w:val="Lienhypertexte"/>
            <w:rFonts w:eastAsia="Times New Roman"/>
            <w:lang w:val="en-GB" w:eastAsia="fr-FR"/>
          </w:rPr>
          <w:t>http://dx.doi.org/10.1029/2007GB002947</w:t>
        </w:r>
      </w:hyperlink>
      <w:r w:rsidRPr="00214EAA">
        <w:rPr>
          <w:rFonts w:eastAsia="Times New Roman"/>
          <w:lang w:val="en-GB" w:eastAsia="fr-FR"/>
        </w:rPr>
        <w:t xml:space="preserve"> </w:t>
      </w:r>
    </w:p>
    <w:p w14:paraId="63861D67" w14:textId="77777777" w:rsidR="00CD2169" w:rsidRDefault="00CD2169" w:rsidP="002E0EA8">
      <w:pPr>
        <w:pStyle w:val="Paragraphedeliste"/>
        <w:numPr>
          <w:ilvl w:val="0"/>
          <w:numId w:val="7"/>
        </w:numPr>
        <w:spacing w:before="0" w:after="120" w:line="259" w:lineRule="auto"/>
        <w:ind w:left="714" w:hanging="357"/>
        <w:contextualSpacing w:val="0"/>
        <w:rPr>
          <w:rFonts w:eastAsia="Times New Roman"/>
          <w:lang w:val="en-GB" w:eastAsia="en-GB"/>
        </w:rPr>
      </w:pPr>
      <w:r w:rsidRPr="00F16531">
        <w:rPr>
          <w:rFonts w:eastAsia="Times New Roman"/>
          <w:lang w:val="en-GB" w:eastAsia="en-GB"/>
        </w:rPr>
        <w:t xml:space="preserve">Mora, Olivier, et al. "Exploring the future of land use and food security: A new set of global scenarios." </w:t>
      </w:r>
      <w:proofErr w:type="spellStart"/>
      <w:r w:rsidRPr="00F16531">
        <w:rPr>
          <w:rFonts w:eastAsia="Times New Roman"/>
          <w:lang w:val="en-GB" w:eastAsia="en-GB"/>
        </w:rPr>
        <w:t>PloS</w:t>
      </w:r>
      <w:proofErr w:type="spellEnd"/>
      <w:r w:rsidRPr="00F16531">
        <w:rPr>
          <w:rFonts w:eastAsia="Times New Roman"/>
          <w:lang w:val="en-GB" w:eastAsia="en-GB"/>
        </w:rPr>
        <w:t xml:space="preserve"> one 15.7 (2020). </w:t>
      </w:r>
      <w:hyperlink r:id="rId18" w:history="1">
        <w:r w:rsidRPr="00F16531">
          <w:rPr>
            <w:rStyle w:val="Lienhypertexte"/>
            <w:rFonts w:eastAsia="Times New Roman"/>
            <w:lang w:val="en-GB" w:eastAsia="en-GB"/>
          </w:rPr>
          <w:t>http://dx.doi.org/10.1371/journal.pone.0235597</w:t>
        </w:r>
      </w:hyperlink>
    </w:p>
    <w:p w14:paraId="2B22D9FA" w14:textId="05124CF0" w:rsidR="00CD2169" w:rsidRDefault="00CD2169" w:rsidP="002E0EA8">
      <w:pPr>
        <w:pStyle w:val="Paragraphedeliste"/>
        <w:numPr>
          <w:ilvl w:val="0"/>
          <w:numId w:val="7"/>
        </w:numPr>
        <w:spacing w:before="0" w:after="120"/>
        <w:ind w:left="714" w:hanging="357"/>
        <w:contextualSpacing w:val="0"/>
        <w:rPr>
          <w:rFonts w:eastAsia="Times New Roman"/>
          <w:lang w:val="fr-FR" w:eastAsia="fr-FR"/>
        </w:rPr>
      </w:pPr>
      <w:r w:rsidRPr="00F16531">
        <w:rPr>
          <w:rFonts w:eastAsia="Times New Roman"/>
          <w:lang w:val="en-GB" w:eastAsia="fr-FR"/>
        </w:rPr>
        <w:t xml:space="preserve">Müller, Christoph, and Richard D. Robertson. "Projecting future crop productivity for global economic </w:t>
      </w:r>
      <w:proofErr w:type="spellStart"/>
      <w:r w:rsidRPr="00F16531">
        <w:rPr>
          <w:rFonts w:eastAsia="Times New Roman"/>
          <w:lang w:val="en-GB" w:eastAsia="fr-FR"/>
        </w:rPr>
        <w:t>modeling</w:t>
      </w:r>
      <w:proofErr w:type="spellEnd"/>
      <w:r w:rsidRPr="00F16531">
        <w:rPr>
          <w:rFonts w:eastAsia="Times New Roman"/>
          <w:lang w:val="en-GB" w:eastAsia="fr-FR"/>
        </w:rPr>
        <w:t xml:space="preserve">." </w:t>
      </w:r>
      <w:r w:rsidRPr="00F16531">
        <w:rPr>
          <w:rFonts w:eastAsia="Times New Roman"/>
          <w:i/>
          <w:iCs/>
          <w:lang w:val="fr-FR" w:eastAsia="fr-FR"/>
        </w:rPr>
        <w:t xml:space="preserve">Agricultural </w:t>
      </w:r>
      <w:proofErr w:type="spellStart"/>
      <w:r w:rsidRPr="00F16531">
        <w:rPr>
          <w:rFonts w:eastAsia="Times New Roman"/>
          <w:i/>
          <w:iCs/>
          <w:lang w:val="fr-FR" w:eastAsia="fr-FR"/>
        </w:rPr>
        <w:t>Economics</w:t>
      </w:r>
      <w:proofErr w:type="spellEnd"/>
      <w:r w:rsidRPr="00F16531">
        <w:rPr>
          <w:rFonts w:eastAsia="Times New Roman"/>
          <w:lang w:val="fr-FR" w:eastAsia="fr-FR"/>
        </w:rPr>
        <w:t xml:space="preserve"> 45.1 (2014). </w:t>
      </w:r>
      <w:hyperlink r:id="rId19" w:history="1">
        <w:r w:rsidRPr="00F16531">
          <w:rPr>
            <w:rStyle w:val="Lienhypertexte"/>
            <w:rFonts w:eastAsia="Times New Roman"/>
            <w:lang w:val="fr-FR" w:eastAsia="fr-FR"/>
          </w:rPr>
          <w:t>http://dx.doi.org/10.1111/agec.12088</w:t>
        </w:r>
      </w:hyperlink>
      <w:r w:rsidRPr="00F16531">
        <w:rPr>
          <w:rFonts w:eastAsia="Times New Roman"/>
          <w:lang w:val="fr-FR" w:eastAsia="fr-FR"/>
        </w:rPr>
        <w:t xml:space="preserve"> </w:t>
      </w:r>
    </w:p>
    <w:p w14:paraId="4FEA22C2" w14:textId="6ADC3F28" w:rsidR="00E34C93" w:rsidRDefault="00E34C93" w:rsidP="002021C4">
      <w:pPr>
        <w:pStyle w:val="Paragraphedeliste"/>
        <w:numPr>
          <w:ilvl w:val="0"/>
          <w:numId w:val="7"/>
        </w:numPr>
        <w:spacing w:before="0" w:after="120" w:line="259" w:lineRule="auto"/>
        <w:ind w:left="714" w:hanging="357"/>
        <w:contextualSpacing w:val="0"/>
        <w:rPr>
          <w:rFonts w:eastAsia="Times New Roman"/>
          <w:lang w:val="en-GB" w:eastAsia="en-GB"/>
        </w:rPr>
      </w:pPr>
      <w:proofErr w:type="spellStart"/>
      <w:r w:rsidRPr="00E34C93">
        <w:rPr>
          <w:rFonts w:eastAsia="Times New Roman"/>
          <w:lang w:val="en-GB" w:eastAsia="fr-FR"/>
        </w:rPr>
        <w:t>Ponisio</w:t>
      </w:r>
      <w:proofErr w:type="spellEnd"/>
      <w:r w:rsidRPr="00E34C93">
        <w:rPr>
          <w:rFonts w:eastAsia="Times New Roman"/>
          <w:lang w:val="en-GB" w:eastAsia="fr-FR"/>
        </w:rPr>
        <w:t xml:space="preserve">, Lauren C, et al., « Diversification Practices Reduce Organic to Conventional Yield Gap ». Proceedings of the Royal Society B: Biological Sciences 282, no 1799 (2015). </w:t>
      </w:r>
      <w:hyperlink r:id="rId20" w:history="1">
        <w:r w:rsidRPr="0090618D">
          <w:rPr>
            <w:rStyle w:val="Lienhypertexte"/>
            <w:rFonts w:eastAsia="Times New Roman"/>
            <w:lang w:val="en-GB" w:eastAsia="fr-FR"/>
          </w:rPr>
          <w:t>http://dx.doi.org/10.1098/rspb.2014.1396</w:t>
        </w:r>
      </w:hyperlink>
      <w:r>
        <w:rPr>
          <w:rFonts w:eastAsia="Times New Roman"/>
          <w:lang w:val="en-GB" w:eastAsia="fr-FR"/>
        </w:rPr>
        <w:t xml:space="preserve"> </w:t>
      </w:r>
      <w:r w:rsidRPr="00E34C93">
        <w:rPr>
          <w:rFonts w:eastAsia="Times New Roman"/>
          <w:lang w:val="en-GB" w:eastAsia="fr-FR"/>
        </w:rPr>
        <w:t xml:space="preserve"> </w:t>
      </w:r>
      <w:r>
        <w:rPr>
          <w:rFonts w:eastAsia="Times New Roman"/>
          <w:lang w:val="en-GB" w:eastAsia="fr-FR"/>
        </w:rPr>
        <w:t xml:space="preserve"> </w:t>
      </w:r>
    </w:p>
    <w:p w14:paraId="1E6FC663" w14:textId="4CEE58B0" w:rsidR="00E34C93" w:rsidRDefault="00E34C93" w:rsidP="002021C4">
      <w:pPr>
        <w:pStyle w:val="Paragraphedeliste"/>
        <w:numPr>
          <w:ilvl w:val="0"/>
          <w:numId w:val="7"/>
        </w:numPr>
        <w:spacing w:before="0" w:after="120" w:line="259" w:lineRule="auto"/>
        <w:ind w:left="714" w:hanging="357"/>
        <w:contextualSpacing w:val="0"/>
        <w:rPr>
          <w:rFonts w:eastAsia="Times New Roman"/>
          <w:lang w:val="en-GB" w:eastAsia="en-GB"/>
        </w:rPr>
      </w:pPr>
      <w:r w:rsidRPr="00E34C93">
        <w:rPr>
          <w:rFonts w:eastAsia="Times New Roman"/>
          <w:lang w:val="fr-FR" w:eastAsia="en-GB"/>
        </w:rPr>
        <w:t xml:space="preserve">Poux, Xavier, and Pierre-Marie Aubert. </w:t>
      </w:r>
      <w:r w:rsidRPr="00E34C93">
        <w:rPr>
          <w:rFonts w:eastAsia="Times New Roman"/>
          <w:lang w:val="en-GB" w:eastAsia="en-GB"/>
        </w:rPr>
        <w:t xml:space="preserve">"An agroecological Europe in 2050: multifunctional agriculture for healthy eating." Findings from the Ten Years For Agroecology (TYFA) modelling exercise, </w:t>
      </w:r>
      <w:proofErr w:type="spellStart"/>
      <w:r w:rsidRPr="00E34C93">
        <w:rPr>
          <w:rFonts w:eastAsia="Times New Roman"/>
          <w:lang w:val="en-GB" w:eastAsia="en-GB"/>
        </w:rPr>
        <w:t>Iddri</w:t>
      </w:r>
      <w:proofErr w:type="spellEnd"/>
      <w:r w:rsidRPr="00E34C93">
        <w:rPr>
          <w:rFonts w:eastAsia="Times New Roman"/>
          <w:lang w:val="en-GB" w:eastAsia="en-GB"/>
        </w:rPr>
        <w:t xml:space="preserve">-AScA, Study 9 (2018), 18. </w:t>
      </w:r>
      <w:hyperlink r:id="rId21" w:history="1">
        <w:r w:rsidRPr="0090618D">
          <w:rPr>
            <w:rStyle w:val="Lienhypertexte"/>
            <w:rFonts w:eastAsia="Times New Roman"/>
            <w:lang w:val="en-GB" w:eastAsia="en-GB"/>
          </w:rPr>
          <w:t>https://www.iddri.org/en/publications-and-events/study/agroecological-europe-2050-multifunctional-agriculture-healthy-eating</w:t>
        </w:r>
      </w:hyperlink>
      <w:r>
        <w:rPr>
          <w:rFonts w:eastAsia="Times New Roman"/>
          <w:lang w:val="en-GB" w:eastAsia="en-GB"/>
        </w:rPr>
        <w:t xml:space="preserve"> </w:t>
      </w:r>
    </w:p>
    <w:p w14:paraId="73111253" w14:textId="52061F43" w:rsidR="00CD2169" w:rsidRPr="00E34C93" w:rsidRDefault="00CD2169" w:rsidP="002021C4">
      <w:pPr>
        <w:pStyle w:val="Paragraphedeliste"/>
        <w:numPr>
          <w:ilvl w:val="0"/>
          <w:numId w:val="7"/>
        </w:numPr>
        <w:spacing w:before="0" w:after="120" w:line="259" w:lineRule="auto"/>
        <w:ind w:left="714" w:hanging="357"/>
        <w:contextualSpacing w:val="0"/>
        <w:rPr>
          <w:rFonts w:eastAsia="Times New Roman"/>
          <w:lang w:val="en-GB" w:eastAsia="en-GB"/>
        </w:rPr>
      </w:pPr>
      <w:r w:rsidRPr="00E34C93">
        <w:rPr>
          <w:rFonts w:eastAsia="Times New Roman"/>
          <w:lang w:val="en-GB" w:eastAsia="en-GB"/>
        </w:rPr>
        <w:t xml:space="preserve">Schiavo, Michele et al. An agroecological Europe by 2050: What impact on land use, trade and global food </w:t>
      </w:r>
      <w:proofErr w:type="gramStart"/>
      <w:r w:rsidRPr="00E34C93">
        <w:rPr>
          <w:rFonts w:eastAsia="Times New Roman"/>
          <w:lang w:val="en-GB" w:eastAsia="en-GB"/>
        </w:rPr>
        <w:t>security?,</w:t>
      </w:r>
      <w:proofErr w:type="gramEnd"/>
      <w:r w:rsidRPr="00E34C93">
        <w:rPr>
          <w:rFonts w:eastAsia="Times New Roman"/>
          <w:lang w:val="en-GB" w:eastAsia="en-GB"/>
        </w:rPr>
        <w:t xml:space="preserve"> Working paper IDDRI-INRAE, (2021). </w:t>
      </w:r>
      <w:hyperlink r:id="rId22" w:history="1">
        <w:r w:rsidRPr="00E34C93">
          <w:rPr>
            <w:rStyle w:val="Lienhypertexte"/>
            <w:rFonts w:eastAsia="Times New Roman"/>
            <w:lang w:val="en-GB" w:eastAsia="en-GB"/>
          </w:rPr>
          <w:t>https://www.iddri.org/en/publications-and-events/study/agroecological-europe-2050-what-impact-land-use-trade-and-global-food</w:t>
        </w:r>
      </w:hyperlink>
    </w:p>
    <w:p w14:paraId="70F8F76E" w14:textId="05A80DD2" w:rsidR="00CD2169" w:rsidRDefault="00CD2169" w:rsidP="002E0EA8">
      <w:pPr>
        <w:pStyle w:val="Paragraphedeliste"/>
        <w:numPr>
          <w:ilvl w:val="0"/>
          <w:numId w:val="7"/>
        </w:numPr>
        <w:spacing w:after="120"/>
        <w:ind w:left="714" w:hanging="357"/>
        <w:contextualSpacing w:val="0"/>
        <w:rPr>
          <w:rFonts w:eastAsia="Times New Roman"/>
          <w:lang w:val="fr-FR"/>
        </w:rPr>
      </w:pPr>
      <w:r w:rsidRPr="00F16531">
        <w:rPr>
          <w:rFonts w:eastAsia="Times New Roman"/>
          <w:lang w:val="en-GB"/>
        </w:rPr>
        <w:t xml:space="preserve">Zabel, Florian, Birgitta </w:t>
      </w:r>
      <w:proofErr w:type="spellStart"/>
      <w:r w:rsidRPr="00F16531">
        <w:rPr>
          <w:rFonts w:eastAsia="Times New Roman"/>
          <w:lang w:val="en-GB"/>
        </w:rPr>
        <w:t>Putzenlechner</w:t>
      </w:r>
      <w:proofErr w:type="spellEnd"/>
      <w:r w:rsidRPr="00F16531">
        <w:rPr>
          <w:rFonts w:eastAsia="Times New Roman"/>
          <w:lang w:val="en-GB"/>
        </w:rPr>
        <w:t xml:space="preserve">, and Wolfram Mauser. "Global agricultural land resources–a high resolution suitability evaluation and its perspectives until 2100 under </w:t>
      </w:r>
      <w:r w:rsidRPr="00F16531">
        <w:rPr>
          <w:rFonts w:eastAsia="Times New Roman"/>
          <w:lang w:val="en-GB"/>
        </w:rPr>
        <w:lastRenderedPageBreak/>
        <w:t xml:space="preserve">climate change conditions." </w:t>
      </w:r>
      <w:proofErr w:type="spellStart"/>
      <w:r w:rsidRPr="00F16531">
        <w:rPr>
          <w:rFonts w:eastAsia="Times New Roman"/>
          <w:lang w:val="fr-FR"/>
        </w:rPr>
        <w:t>PloS</w:t>
      </w:r>
      <w:proofErr w:type="spellEnd"/>
      <w:r w:rsidRPr="00F16531">
        <w:rPr>
          <w:rFonts w:eastAsia="Times New Roman"/>
          <w:lang w:val="fr-FR"/>
        </w:rPr>
        <w:t xml:space="preserve"> one 9.9 (2014). </w:t>
      </w:r>
      <w:hyperlink r:id="rId23" w:history="1">
        <w:r w:rsidRPr="00F16531">
          <w:rPr>
            <w:rStyle w:val="Lienhypertexte"/>
            <w:rFonts w:eastAsia="Times New Roman"/>
            <w:lang w:val="fr-FR"/>
          </w:rPr>
          <w:t>http://dx.doi.org/10.1371/journal.pone.0107522</w:t>
        </w:r>
      </w:hyperlink>
      <w:r w:rsidRPr="00F16531">
        <w:rPr>
          <w:rFonts w:eastAsia="Times New Roman"/>
          <w:lang w:val="fr-FR"/>
        </w:rPr>
        <w:t xml:space="preserve"> </w:t>
      </w:r>
    </w:p>
    <w:p w14:paraId="1B26DF99" w14:textId="0C706CBB" w:rsidR="00370B2D" w:rsidRPr="00370B2D" w:rsidRDefault="00370B2D" w:rsidP="002E0EA8">
      <w:pPr>
        <w:pStyle w:val="Paragraphedeliste"/>
        <w:numPr>
          <w:ilvl w:val="0"/>
          <w:numId w:val="7"/>
        </w:numPr>
        <w:spacing w:before="0" w:after="120"/>
        <w:contextualSpacing w:val="0"/>
        <w:rPr>
          <w:rFonts w:eastAsia="Times New Roman"/>
          <w:lang w:val="fr-FR" w:eastAsia="fr-FR"/>
        </w:rPr>
      </w:pPr>
      <w:r w:rsidRPr="00370B2D">
        <w:rPr>
          <w:rFonts w:eastAsia="Times New Roman"/>
          <w:lang w:val="en-GB" w:eastAsia="fr-FR"/>
        </w:rPr>
        <w:t xml:space="preserve">Dumas, P. "GlobAgri: Disaggregation and reaggregation of livestock data." </w:t>
      </w:r>
      <w:r w:rsidRPr="00370B2D">
        <w:rPr>
          <w:rFonts w:eastAsia="Times New Roman"/>
          <w:i/>
          <w:iCs/>
          <w:lang w:val="fr-FR" w:eastAsia="fr-FR"/>
        </w:rPr>
        <w:t>Note rédigée pour Agrimonde-Terra</w:t>
      </w:r>
      <w:r w:rsidRPr="00370B2D">
        <w:rPr>
          <w:rFonts w:eastAsia="Times New Roman"/>
          <w:lang w:val="fr-FR" w:eastAsia="fr-FR"/>
        </w:rPr>
        <w:t xml:space="preserve"> (2014).</w:t>
      </w:r>
    </w:p>
    <w:p w14:paraId="11291D8F" w14:textId="77777777" w:rsidR="00F16531" w:rsidRDefault="00F16531" w:rsidP="00421E15">
      <w:pPr>
        <w:jc w:val="both"/>
        <w:rPr>
          <w:lang w:val="en-GB"/>
        </w:rPr>
      </w:pPr>
    </w:p>
    <w:sectPr w:rsidR="00F16531" w:rsidSect="0093429D">
      <w:headerReference w:type="even" r:id="rId24"/>
      <w:footerReference w:type="even" r:id="rId25"/>
      <w:footerReference w:type="default" r:id="rId26"/>
      <w:headerReference w:type="first" r:id="rId27"/>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42BE" w14:textId="77777777" w:rsidR="00A708E5" w:rsidRDefault="00A708E5" w:rsidP="00117666">
      <w:pPr>
        <w:spacing w:after="0"/>
      </w:pPr>
      <w:r>
        <w:separator/>
      </w:r>
    </w:p>
  </w:endnote>
  <w:endnote w:type="continuationSeparator" w:id="0">
    <w:p w14:paraId="68BF762C" w14:textId="77777777" w:rsidR="00A708E5" w:rsidRDefault="00A708E5"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MyriadPro-Regular">
    <w:charset w:val="00"/>
    <w:family w:val="swiss"/>
    <w:pitch w:val="variable"/>
    <w:sig w:usb0="A00002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025F" w14:textId="77777777" w:rsidR="00995F6A" w:rsidRPr="00577C4C" w:rsidRDefault="00C52A7B">
    <w:pPr>
      <w:rPr>
        <w:color w:val="C00000"/>
        <w:szCs w:val="24"/>
      </w:rPr>
    </w:pPr>
    <w:r>
      <w:rPr>
        <w:noProof/>
        <w:lang w:val="fr-FR" w:eastAsia="fr-FR"/>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2A1294FD"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6054FD">
                            <w:rPr>
                              <w:noProof/>
                              <w:color w:val="000000" w:themeColor="text1"/>
                              <w:szCs w:val="40"/>
                            </w:rPr>
                            <w:t>8</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2A1294FD"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6054FD">
                      <w:rPr>
                        <w:noProof/>
                        <w:color w:val="000000" w:themeColor="text1"/>
                        <w:szCs w:val="40"/>
                      </w:rPr>
                      <w:t>8</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6A35" w14:textId="77777777" w:rsidR="00995F6A" w:rsidRPr="00577C4C" w:rsidRDefault="00C52A7B">
    <w:pPr>
      <w:rPr>
        <w:b/>
        <w:sz w:val="20"/>
        <w:szCs w:val="24"/>
      </w:rPr>
    </w:pPr>
    <w:r>
      <w:rPr>
        <w:noProof/>
        <w:lang w:val="fr-FR" w:eastAsia="fr-FR"/>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181CD93"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6054FD">
                            <w:rPr>
                              <w:noProof/>
                              <w:color w:val="000000" w:themeColor="text1"/>
                              <w:szCs w:val="40"/>
                            </w:rPr>
                            <w:t>7</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70F0D09" w14:textId="7181CD93"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6054FD">
                      <w:rPr>
                        <w:noProof/>
                        <w:color w:val="000000" w:themeColor="text1"/>
                        <w:szCs w:val="40"/>
                      </w:rPr>
                      <w:t>7</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E3291" w14:textId="77777777" w:rsidR="00A708E5" w:rsidRDefault="00A708E5" w:rsidP="00117666">
      <w:pPr>
        <w:spacing w:after="0"/>
      </w:pPr>
      <w:r>
        <w:separator/>
      </w:r>
    </w:p>
  </w:footnote>
  <w:footnote w:type="continuationSeparator" w:id="0">
    <w:p w14:paraId="7719AC18" w14:textId="77777777" w:rsidR="00A708E5" w:rsidRDefault="00A708E5" w:rsidP="00117666">
      <w:pPr>
        <w:spacing w:after="0"/>
      </w:pPr>
      <w:r>
        <w:continuationSeparator/>
      </w:r>
    </w:p>
  </w:footnote>
  <w:footnote w:id="1">
    <w:p w14:paraId="54567A5C" w14:textId="77777777" w:rsidR="00BF4479" w:rsidRPr="00BF4479" w:rsidRDefault="00BF4479" w:rsidP="00BF4479">
      <w:pPr>
        <w:pStyle w:val="Notedebasdepage"/>
        <w:rPr>
          <w:rFonts w:cs="Times New Roman"/>
        </w:rPr>
      </w:pPr>
      <w:r w:rsidRPr="00BF4479">
        <w:rPr>
          <w:rStyle w:val="Appelnotedebasdep"/>
          <w:rFonts w:cs="Times New Roman"/>
        </w:rPr>
        <w:footnoteRef/>
      </w:r>
      <w:r w:rsidRPr="00BF4479">
        <w:rPr>
          <w:rFonts w:cs="Times New Roman"/>
        </w:rPr>
        <w:t xml:space="preserve"> Ratio between imports and total use of a commodity.</w:t>
      </w:r>
    </w:p>
  </w:footnote>
  <w:footnote w:id="2">
    <w:p w14:paraId="14A104ED" w14:textId="77777777" w:rsidR="00BF4479" w:rsidRPr="00BF4479" w:rsidRDefault="00BF4479" w:rsidP="00BF4479">
      <w:pPr>
        <w:pStyle w:val="Notedebasdepage"/>
        <w:rPr>
          <w:rFonts w:cs="Times New Roman"/>
        </w:rPr>
      </w:pPr>
      <w:r w:rsidRPr="00BF4479">
        <w:rPr>
          <w:rStyle w:val="Appelnotedebasdep"/>
          <w:rFonts w:cs="Times New Roman"/>
        </w:rPr>
        <w:footnoteRef/>
      </w:r>
      <w:r w:rsidRPr="00BF4479">
        <w:rPr>
          <w:rFonts w:cs="Times New Roman"/>
        </w:rPr>
        <w:t xml:space="preserve"> Ratio between the exports of a commodity of one region and the sum of total world exports of this commodity.</w:t>
      </w:r>
    </w:p>
  </w:footnote>
  <w:footnote w:id="3">
    <w:p w14:paraId="0046A1FD" w14:textId="77777777" w:rsidR="00BF4479" w:rsidRPr="002642B0" w:rsidRDefault="00BF4479" w:rsidP="00BF4479">
      <w:pPr>
        <w:pStyle w:val="Notedebasdepage"/>
      </w:pPr>
      <w:r w:rsidRPr="00BF4479">
        <w:rPr>
          <w:rStyle w:val="Appelnotedebasdep"/>
          <w:rFonts w:cs="Times New Roman"/>
        </w:rPr>
        <w:footnoteRef/>
      </w:r>
      <w:r w:rsidRPr="00BF4479">
        <w:rPr>
          <w:rFonts w:cs="Times New Roman"/>
        </w:rPr>
        <w:t xml:space="preserve"> </w:t>
      </w:r>
      <w:r w:rsidRPr="00BF4479">
        <w:rPr>
          <w:rFonts w:eastAsia="Times New Roman" w:cs="Times New Roman"/>
        </w:rPr>
        <w:t xml:space="preserve">In the GAEZ approach, land is classified according to its quality or suitability for agricultural production. There are eight classes ranging from ‘very suitable’ to ‘not suitable’. GAEZ suitability indices 1 to 4 correspond to ‘very suitable’ to ‘moderately suitable’ land. For more details, see Le Mouël </w:t>
      </w:r>
      <w:r w:rsidRPr="00BF4479">
        <w:rPr>
          <w:rFonts w:eastAsia="Times New Roman" w:cs="Times New Roman"/>
          <w:i/>
          <w:iCs/>
        </w:rPr>
        <w:t>et al.</w:t>
      </w:r>
      <w:r w:rsidRPr="00BF4479">
        <w:rPr>
          <w:rFonts w:eastAsia="Times New Roman" w:cs="Times New Roman"/>
        </w:rPr>
        <w:t xml:space="preserve"> (2018).</w:t>
      </w:r>
    </w:p>
  </w:footnote>
  <w:footnote w:id="4">
    <w:p w14:paraId="30C108A1" w14:textId="77777777" w:rsidR="00BF4479" w:rsidRPr="00175A65" w:rsidRDefault="00BF4479" w:rsidP="00BF4479">
      <w:pPr>
        <w:pStyle w:val="Notedebasdepage"/>
        <w:spacing w:after="120"/>
      </w:pPr>
      <w:r>
        <w:rPr>
          <w:rStyle w:val="Appelnotedebasdep"/>
        </w:rPr>
        <w:footnoteRef/>
      </w:r>
      <w:r w:rsidRPr="00175A65">
        <w:t xml:space="preserve"> </w:t>
      </w:r>
      <w:r>
        <w:t>We used the data for year 2000, the potential yields obtained with so-called “high inputs” cropping systems (potential yields are also available for “intermediate inputs” and “low inputs” cropping systems) and, for both actual and potential yields, a weighted average of rainfed and irrigated yields (the weights being the relative shares of rainfed and irrigated land areas).</w:t>
      </w:r>
    </w:p>
  </w:footnote>
  <w:footnote w:id="5">
    <w:p w14:paraId="7874D849" w14:textId="77777777" w:rsidR="00BF4479" w:rsidRPr="00392809" w:rsidRDefault="00BF4479" w:rsidP="00BF4479">
      <w:pPr>
        <w:autoSpaceDE w:val="0"/>
        <w:autoSpaceDN w:val="0"/>
        <w:adjustRightInd w:val="0"/>
        <w:spacing w:after="120"/>
        <w:rPr>
          <w:sz w:val="20"/>
          <w:szCs w:val="20"/>
        </w:rPr>
      </w:pPr>
      <w:r w:rsidRPr="00392809">
        <w:rPr>
          <w:rStyle w:val="Appelnotedebasdep"/>
          <w:sz w:val="20"/>
          <w:szCs w:val="20"/>
        </w:rPr>
        <w:footnoteRef/>
      </w:r>
      <w:r w:rsidRPr="00392809">
        <w:rPr>
          <w:sz w:val="20"/>
          <w:szCs w:val="20"/>
        </w:rPr>
        <w:t xml:space="preserve"> </w:t>
      </w:r>
      <w:r>
        <w:rPr>
          <w:sz w:val="20"/>
          <w:szCs w:val="20"/>
        </w:rPr>
        <w:t xml:space="preserve">As shown in Le Mouël </w:t>
      </w:r>
      <w:r w:rsidRPr="00945FB0">
        <w:rPr>
          <w:i/>
          <w:iCs/>
          <w:sz w:val="20"/>
          <w:szCs w:val="20"/>
        </w:rPr>
        <w:t>et al.</w:t>
      </w:r>
      <w:r>
        <w:rPr>
          <w:sz w:val="20"/>
          <w:szCs w:val="20"/>
        </w:rPr>
        <w:t xml:space="preserve"> (2018), </w:t>
      </w:r>
      <w:r w:rsidRPr="00392809">
        <w:rPr>
          <w:sz w:val="20"/>
          <w:szCs w:val="20"/>
        </w:rPr>
        <w:t xml:space="preserve">initial feed-to-output ratios of the mixed system in the beef sector in West Africa and ECS Africa are very high compared to those exhibited by the other regions. There are consistent explanations for such a situation related to the specific role of livestock in both regions: livestock provide </w:t>
      </w:r>
      <w:r w:rsidRPr="00392809">
        <w:rPr>
          <w:rFonts w:cs="MyriadPro-Regular"/>
          <w:sz w:val="20"/>
          <w:szCs w:val="20"/>
        </w:rPr>
        <w:t xml:space="preserve">nutrient-rich food but also draught power, organic </w:t>
      </w:r>
      <w:proofErr w:type="gramStart"/>
      <w:r w:rsidRPr="00392809">
        <w:rPr>
          <w:rFonts w:cs="MyriadPro-Regular"/>
          <w:sz w:val="20"/>
          <w:szCs w:val="20"/>
        </w:rPr>
        <w:t>manure</w:t>
      </w:r>
      <w:proofErr w:type="gramEnd"/>
      <w:r w:rsidRPr="00392809">
        <w:rPr>
          <w:rFonts w:cs="MyriadPro-Regular"/>
          <w:sz w:val="20"/>
          <w:szCs w:val="20"/>
        </w:rPr>
        <w:t xml:space="preserve"> and domestic fuel; livestock also serve as a source of income, as a means for capital accumulation and insurance against income shocks, etc. Despite huge uncertainties, we assumed however, notably </w:t>
      </w:r>
      <w:proofErr w:type="gramStart"/>
      <w:r w:rsidRPr="00392809">
        <w:rPr>
          <w:rFonts w:cs="MyriadPro-Regular"/>
          <w:sz w:val="20"/>
          <w:szCs w:val="20"/>
        </w:rPr>
        <w:t>on the basis of</w:t>
      </w:r>
      <w:proofErr w:type="gramEnd"/>
      <w:r w:rsidRPr="00392809">
        <w:rPr>
          <w:rFonts w:cs="MyriadPro-Regular"/>
          <w:sz w:val="20"/>
          <w:szCs w:val="20"/>
        </w:rPr>
        <w:t xml:space="preserve"> literature and experiences, that there exist rooms of </w:t>
      </w:r>
      <w:proofErr w:type="spellStart"/>
      <w:r w:rsidRPr="00392809">
        <w:rPr>
          <w:rFonts w:cs="MyriadPro-Regular"/>
          <w:sz w:val="20"/>
          <w:szCs w:val="20"/>
        </w:rPr>
        <w:t>manoeuvre</w:t>
      </w:r>
      <w:proofErr w:type="spellEnd"/>
      <w:r w:rsidRPr="00392809">
        <w:rPr>
          <w:rFonts w:cs="MyriadPro-Regular"/>
          <w:sz w:val="20"/>
          <w:szCs w:val="20"/>
        </w:rPr>
        <w:t xml:space="preserve"> for improving livestock feed-to-output ratios in West and ECS Africa, and that </w:t>
      </w:r>
      <w:proofErr w:type="spellStart"/>
      <w:r w:rsidRPr="00392809">
        <w:rPr>
          <w:rFonts w:cs="MyriadPro-Regular"/>
          <w:sz w:val="20"/>
          <w:szCs w:val="20"/>
        </w:rPr>
        <w:t>Bouwman</w:t>
      </w:r>
      <w:proofErr w:type="spellEnd"/>
      <w:r w:rsidRPr="00392809">
        <w:rPr>
          <w:rFonts w:cs="MyriadPro-Regular"/>
          <w:sz w:val="20"/>
          <w:szCs w:val="20"/>
        </w:rPr>
        <w:t xml:space="preserve"> </w:t>
      </w:r>
      <w:r w:rsidRPr="00945FB0">
        <w:rPr>
          <w:rFonts w:cs="MyriadPro-Regular"/>
          <w:i/>
          <w:iCs/>
          <w:sz w:val="20"/>
          <w:szCs w:val="20"/>
        </w:rPr>
        <w:t>et al.</w:t>
      </w:r>
      <w:r w:rsidRPr="00392809">
        <w:rPr>
          <w:rFonts w:cs="MyriadPro-Regular"/>
          <w:sz w:val="20"/>
          <w:szCs w:val="20"/>
        </w:rPr>
        <w:t>’s projections are rather pessimistic to this regard.</w:t>
      </w:r>
    </w:p>
  </w:footnote>
  <w:footnote w:id="6">
    <w:p w14:paraId="359A61E8" w14:textId="77777777" w:rsidR="00BF4479" w:rsidRPr="00BE0DED" w:rsidRDefault="00BF4479" w:rsidP="00BF4479">
      <w:pPr>
        <w:pStyle w:val="Notedebasdepage"/>
      </w:pPr>
      <w:r>
        <w:rPr>
          <w:rStyle w:val="Appelnotedebasdep"/>
        </w:rPr>
        <w:footnoteRef/>
      </w:r>
      <w:r w:rsidRPr="00BE0DED">
        <w:t xml:space="preserve"> For feed-to-o</w:t>
      </w:r>
      <w:r>
        <w:t>ut</w:t>
      </w:r>
      <w:r w:rsidRPr="00BE0DED">
        <w:t>put rat</w:t>
      </w:r>
      <w:r>
        <w:t>ios: decrease means that 1 ton</w:t>
      </w:r>
      <w:r w:rsidRPr="00BE0DED">
        <w:t xml:space="preserve"> of animal product requires less quantity of dry-matter feed</w:t>
      </w:r>
      <w:r>
        <w:t>, implying higher productivity of the production system.</w:t>
      </w:r>
    </w:p>
  </w:footnote>
  <w:footnote w:id="7">
    <w:p w14:paraId="7EAABEA5" w14:textId="77777777" w:rsidR="00BF4479" w:rsidRPr="0056086F" w:rsidRDefault="00BF4479" w:rsidP="00BF4479">
      <w:pPr>
        <w:pStyle w:val="Notedebasdepage"/>
        <w:spacing w:after="120"/>
      </w:pPr>
      <w:r w:rsidRPr="0056086F">
        <w:rPr>
          <w:rStyle w:val="Appelnotedebasdep"/>
        </w:rPr>
        <w:footnoteRef/>
      </w:r>
      <w:r w:rsidRPr="0056086F">
        <w:t xml:space="preserve"> For Grass, Occasional feeds and Stover, there is no international trade and no stock change. The only utilization is feed. The </w:t>
      </w:r>
      <w:r w:rsidRPr="0056086F">
        <w:rPr>
          <w:i/>
        </w:rPr>
        <w:t>Feed</w:t>
      </w:r>
      <w:r w:rsidRPr="0056086F">
        <w:t xml:space="preserve"> variable (linked to livestock production) determines alone, through the balance, the domestic production (</w:t>
      </w:r>
      <w:r w:rsidRPr="0056086F">
        <w:rPr>
          <w:i/>
        </w:rPr>
        <w:t>Prod</w:t>
      </w:r>
      <w:r w:rsidRPr="0056086F">
        <w:t>).</w:t>
      </w:r>
    </w:p>
  </w:footnote>
  <w:footnote w:id="8">
    <w:p w14:paraId="7760B713" w14:textId="77777777" w:rsidR="00BF4479" w:rsidRPr="0056086F" w:rsidRDefault="00BF4479" w:rsidP="00BF4479">
      <w:pPr>
        <w:pStyle w:val="Notedebasdepage"/>
        <w:spacing w:after="120"/>
      </w:pPr>
      <w:r w:rsidRPr="0056086F">
        <w:rPr>
          <w:rStyle w:val="Appelnotedebasdep"/>
        </w:rPr>
        <w:footnoteRef/>
      </w:r>
      <w:r w:rsidRPr="0056086F">
        <w:t xml:space="preserve"> In the case of co-products, such as ‘milk’</w:t>
      </w:r>
      <w:r>
        <w:t xml:space="preserve"> </w:t>
      </w:r>
      <w:r w:rsidRPr="0056086F">
        <w:t>and ‘bovine meat’ or ‘oil’ and ‘cake’, one co-product is chosen as a reference product while the other becomes a by-product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F00C"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68C6" w14:textId="77777777" w:rsidR="00995F6A" w:rsidRDefault="0093429D" w:rsidP="0093429D">
    <w:r w:rsidRPr="005A1D84">
      <w:rPr>
        <w:b/>
        <w:noProof/>
        <w:color w:val="A6A6A6" w:themeColor="background1" w:themeShade="A6"/>
        <w:lang w:val="fr-FR" w:eastAsia="fr-FR"/>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49FC"/>
    <w:multiLevelType w:val="hybridMultilevel"/>
    <w:tmpl w:val="6E10EC68"/>
    <w:lvl w:ilvl="0" w:tplc="9E6629D0">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 w15:restartNumberingAfterBreak="0">
    <w:nsid w:val="0CEA2D8C"/>
    <w:multiLevelType w:val="hybridMultilevel"/>
    <w:tmpl w:val="28A22F80"/>
    <w:lvl w:ilvl="0" w:tplc="D596574A">
      <w:start w:val="5"/>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1C46ED"/>
    <w:multiLevelType w:val="hybridMultilevel"/>
    <w:tmpl w:val="114E494E"/>
    <w:lvl w:ilvl="0" w:tplc="F98276C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C0601A"/>
    <w:multiLevelType w:val="multilevel"/>
    <w:tmpl w:val="2D740DBE"/>
    <w:styleLink w:val="Headings"/>
    <w:lvl w:ilvl="0">
      <w:start w:val="1"/>
      <w:numFmt w:val="decimal"/>
      <w:pStyle w:val="Titre1"/>
      <w:lvlText w:val="%1"/>
      <w:lvlJc w:val="left"/>
      <w:pPr>
        <w:tabs>
          <w:tab w:val="num" w:pos="567"/>
        </w:tabs>
        <w:ind w:left="567" w:hanging="567"/>
      </w:pPr>
      <w:rPr>
        <w:rFonts w:hint="default"/>
      </w:rPr>
    </w:lvl>
    <w:lvl w:ilvl="1">
      <w:start w:val="1"/>
      <w:numFmt w:val="decimal"/>
      <w:pStyle w:val="Titre2"/>
      <w:lvlText w:val="%1.%2"/>
      <w:lvlJc w:val="left"/>
      <w:pPr>
        <w:tabs>
          <w:tab w:val="num" w:pos="567"/>
        </w:tabs>
        <w:ind w:left="567" w:hanging="567"/>
      </w:pPr>
      <w:rPr>
        <w:rFonts w:hint="default"/>
      </w:rPr>
    </w:lvl>
    <w:lvl w:ilvl="2">
      <w:start w:val="1"/>
      <w:numFmt w:val="decimal"/>
      <w:pStyle w:val="Titre3"/>
      <w:lvlText w:val="%1.%2.%3"/>
      <w:lvlJc w:val="left"/>
      <w:pPr>
        <w:tabs>
          <w:tab w:val="num" w:pos="567"/>
        </w:tabs>
        <w:ind w:left="567" w:hanging="567"/>
      </w:pPr>
      <w:rPr>
        <w:rFonts w:hint="default"/>
      </w:rPr>
    </w:lvl>
    <w:lvl w:ilvl="3">
      <w:start w:val="1"/>
      <w:numFmt w:val="decimal"/>
      <w:pStyle w:val="Titre4"/>
      <w:lvlText w:val="%1.%2.%3.%4"/>
      <w:lvlJc w:val="left"/>
      <w:pPr>
        <w:tabs>
          <w:tab w:val="num" w:pos="567"/>
        </w:tabs>
        <w:ind w:left="567" w:hanging="567"/>
      </w:pPr>
      <w:rPr>
        <w:rFonts w:hint="default"/>
      </w:rPr>
    </w:lvl>
    <w:lvl w:ilvl="4">
      <w:start w:val="1"/>
      <w:numFmt w:val="decimal"/>
      <w:pStyle w:val="Titre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Paragraphedeliste"/>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73E2D4E"/>
    <w:multiLevelType w:val="hybridMultilevel"/>
    <w:tmpl w:val="64D22B00"/>
    <w:lvl w:ilvl="0" w:tplc="F98276CC">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981F43"/>
    <w:multiLevelType w:val="hybridMultilevel"/>
    <w:tmpl w:val="3DF0B1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3"/>
  </w:num>
  <w:num w:numId="3">
    <w:abstractNumId w:val="3"/>
  </w:num>
  <w:num w:numId="4">
    <w:abstractNumId w:val="2"/>
  </w:num>
  <w:num w:numId="5">
    <w:abstractNumId w:val="1"/>
  </w:num>
  <w:num w:numId="6">
    <w:abstractNumId w:val="0"/>
  </w:num>
  <w:num w:numId="7">
    <w:abstractNumId w:val="6"/>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0B5"/>
    <w:rsid w:val="00003231"/>
    <w:rsid w:val="0001436A"/>
    <w:rsid w:val="00026AA6"/>
    <w:rsid w:val="00034304"/>
    <w:rsid w:val="00035434"/>
    <w:rsid w:val="00052A14"/>
    <w:rsid w:val="00077D53"/>
    <w:rsid w:val="000B5D20"/>
    <w:rsid w:val="00102463"/>
    <w:rsid w:val="00105FD9"/>
    <w:rsid w:val="00117666"/>
    <w:rsid w:val="001549D3"/>
    <w:rsid w:val="00155FBE"/>
    <w:rsid w:val="00160065"/>
    <w:rsid w:val="00177D84"/>
    <w:rsid w:val="001C6176"/>
    <w:rsid w:val="00212B21"/>
    <w:rsid w:val="00214EAA"/>
    <w:rsid w:val="002536F5"/>
    <w:rsid w:val="00267D18"/>
    <w:rsid w:val="00274347"/>
    <w:rsid w:val="002868E2"/>
    <w:rsid w:val="002869C3"/>
    <w:rsid w:val="002919BF"/>
    <w:rsid w:val="002936E4"/>
    <w:rsid w:val="002B022E"/>
    <w:rsid w:val="002B4A57"/>
    <w:rsid w:val="002C74CA"/>
    <w:rsid w:val="002D627A"/>
    <w:rsid w:val="002E0EA8"/>
    <w:rsid w:val="003123F4"/>
    <w:rsid w:val="00345C0E"/>
    <w:rsid w:val="003544FB"/>
    <w:rsid w:val="003676BA"/>
    <w:rsid w:val="00370B2D"/>
    <w:rsid w:val="003B2A99"/>
    <w:rsid w:val="003D2F2D"/>
    <w:rsid w:val="00401590"/>
    <w:rsid w:val="00421E15"/>
    <w:rsid w:val="00447801"/>
    <w:rsid w:val="00452E9C"/>
    <w:rsid w:val="004735C8"/>
    <w:rsid w:val="004736D3"/>
    <w:rsid w:val="004947A6"/>
    <w:rsid w:val="004961FF"/>
    <w:rsid w:val="004B486B"/>
    <w:rsid w:val="004C7F6D"/>
    <w:rsid w:val="004D0036"/>
    <w:rsid w:val="00517A89"/>
    <w:rsid w:val="005250F2"/>
    <w:rsid w:val="00593EEA"/>
    <w:rsid w:val="005A5EEE"/>
    <w:rsid w:val="006054FD"/>
    <w:rsid w:val="0060574F"/>
    <w:rsid w:val="006375C7"/>
    <w:rsid w:val="00637F1D"/>
    <w:rsid w:val="00654E8F"/>
    <w:rsid w:val="00660D05"/>
    <w:rsid w:val="00680917"/>
    <w:rsid w:val="006820B1"/>
    <w:rsid w:val="006B7D14"/>
    <w:rsid w:val="00701727"/>
    <w:rsid w:val="0070566C"/>
    <w:rsid w:val="00714C50"/>
    <w:rsid w:val="00725A7D"/>
    <w:rsid w:val="0072632D"/>
    <w:rsid w:val="007501BE"/>
    <w:rsid w:val="00774573"/>
    <w:rsid w:val="00785B2C"/>
    <w:rsid w:val="00790BB3"/>
    <w:rsid w:val="007C206C"/>
    <w:rsid w:val="007C7EC0"/>
    <w:rsid w:val="00802BE7"/>
    <w:rsid w:val="00817DD6"/>
    <w:rsid w:val="00831228"/>
    <w:rsid w:val="008312A1"/>
    <w:rsid w:val="0083759F"/>
    <w:rsid w:val="00885156"/>
    <w:rsid w:val="008C4521"/>
    <w:rsid w:val="009151AA"/>
    <w:rsid w:val="0093429D"/>
    <w:rsid w:val="00935A99"/>
    <w:rsid w:val="00936050"/>
    <w:rsid w:val="009367C8"/>
    <w:rsid w:val="00943573"/>
    <w:rsid w:val="00964134"/>
    <w:rsid w:val="00970F7D"/>
    <w:rsid w:val="00974844"/>
    <w:rsid w:val="00994A3D"/>
    <w:rsid w:val="009C2B12"/>
    <w:rsid w:val="00A174D9"/>
    <w:rsid w:val="00A226CC"/>
    <w:rsid w:val="00A36442"/>
    <w:rsid w:val="00A708E5"/>
    <w:rsid w:val="00AA4D24"/>
    <w:rsid w:val="00AB6715"/>
    <w:rsid w:val="00AB75B8"/>
    <w:rsid w:val="00B1671E"/>
    <w:rsid w:val="00B168E4"/>
    <w:rsid w:val="00B25EB8"/>
    <w:rsid w:val="00B37F4D"/>
    <w:rsid w:val="00B76C32"/>
    <w:rsid w:val="00B87EAE"/>
    <w:rsid w:val="00BF4479"/>
    <w:rsid w:val="00C52A7B"/>
    <w:rsid w:val="00C56BAF"/>
    <w:rsid w:val="00C679AA"/>
    <w:rsid w:val="00C75972"/>
    <w:rsid w:val="00CD066B"/>
    <w:rsid w:val="00CD2169"/>
    <w:rsid w:val="00CE4FEE"/>
    <w:rsid w:val="00D060CF"/>
    <w:rsid w:val="00DA77D2"/>
    <w:rsid w:val="00DB59C3"/>
    <w:rsid w:val="00DC259A"/>
    <w:rsid w:val="00DE23E8"/>
    <w:rsid w:val="00E06A20"/>
    <w:rsid w:val="00E34C93"/>
    <w:rsid w:val="00E52377"/>
    <w:rsid w:val="00E537AD"/>
    <w:rsid w:val="00E611C7"/>
    <w:rsid w:val="00E64E17"/>
    <w:rsid w:val="00E866C9"/>
    <w:rsid w:val="00EA3D3C"/>
    <w:rsid w:val="00EC090A"/>
    <w:rsid w:val="00ED20B5"/>
    <w:rsid w:val="00EE4A87"/>
    <w:rsid w:val="00F16531"/>
    <w:rsid w:val="00F26EE7"/>
    <w:rsid w:val="00F46900"/>
    <w:rsid w:val="00F61D89"/>
    <w:rsid w:val="00F73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Titre1">
    <w:name w:val="heading 1"/>
    <w:basedOn w:val="Paragraphedeliste"/>
    <w:next w:val="Normal"/>
    <w:link w:val="Titre1Car"/>
    <w:uiPriority w:val="9"/>
    <w:qFormat/>
    <w:rsid w:val="00AB6715"/>
    <w:pPr>
      <w:numPr>
        <w:numId w:val="3"/>
      </w:numPr>
      <w:spacing w:before="240"/>
      <w:contextualSpacing w:val="0"/>
      <w:outlineLvl w:val="0"/>
    </w:pPr>
    <w:rPr>
      <w:b/>
    </w:rPr>
  </w:style>
  <w:style w:type="paragraph" w:styleId="Titre2">
    <w:name w:val="heading 2"/>
    <w:basedOn w:val="Titre1"/>
    <w:next w:val="Normal"/>
    <w:link w:val="Titre2Car"/>
    <w:uiPriority w:val="9"/>
    <w:qFormat/>
    <w:rsid w:val="00AB6715"/>
    <w:pPr>
      <w:numPr>
        <w:ilvl w:val="1"/>
      </w:numPr>
      <w:spacing w:after="200"/>
      <w:outlineLvl w:val="1"/>
    </w:pPr>
  </w:style>
  <w:style w:type="paragraph" w:styleId="Titre3">
    <w:name w:val="heading 3"/>
    <w:basedOn w:val="Normal"/>
    <w:next w:val="Normal"/>
    <w:link w:val="Titre3Car"/>
    <w:uiPriority w:val="9"/>
    <w:qFormat/>
    <w:rsid w:val="00AB6715"/>
    <w:pPr>
      <w:keepNext/>
      <w:keepLines/>
      <w:numPr>
        <w:ilvl w:val="2"/>
        <w:numId w:val="3"/>
      </w:numPr>
      <w:spacing w:before="40" w:after="120"/>
      <w:outlineLvl w:val="2"/>
    </w:pPr>
    <w:rPr>
      <w:rFonts w:eastAsiaTheme="majorEastAsia" w:cstheme="majorBidi"/>
      <w:b/>
      <w:szCs w:val="24"/>
    </w:rPr>
  </w:style>
  <w:style w:type="paragraph" w:styleId="Titre4">
    <w:name w:val="heading 4"/>
    <w:basedOn w:val="Titre3"/>
    <w:next w:val="Normal"/>
    <w:link w:val="Titre4Car"/>
    <w:uiPriority w:val="9"/>
    <w:qFormat/>
    <w:rsid w:val="00AB6715"/>
    <w:pPr>
      <w:numPr>
        <w:ilvl w:val="3"/>
      </w:numPr>
      <w:outlineLvl w:val="3"/>
    </w:pPr>
    <w:rPr>
      <w:iCs/>
    </w:rPr>
  </w:style>
  <w:style w:type="paragraph" w:styleId="Titre5">
    <w:name w:val="heading 5"/>
    <w:basedOn w:val="Titre4"/>
    <w:next w:val="Normal"/>
    <w:link w:val="Titre5Car"/>
    <w:uiPriority w:val="9"/>
    <w:qFormat/>
    <w:rsid w:val="00AB6715"/>
    <w:pPr>
      <w:numPr>
        <w:ilvl w:val="4"/>
      </w:numPr>
      <w:outlineLvl w:val="4"/>
    </w:pPr>
  </w:style>
  <w:style w:type="paragraph" w:styleId="Titre6">
    <w:name w:val="heading 6"/>
    <w:basedOn w:val="Normal"/>
    <w:next w:val="Normal"/>
    <w:link w:val="Titre6Car"/>
    <w:uiPriority w:val="9"/>
    <w:unhideWhenUsed/>
    <w:qFormat/>
    <w:rsid w:val="00BF4479"/>
    <w:pPr>
      <w:keepNext/>
      <w:keepLines/>
      <w:spacing w:before="200" w:after="0" w:line="264" w:lineRule="auto"/>
      <w:ind w:left="1152" w:hanging="1152"/>
      <w:jc w:val="both"/>
      <w:outlineLvl w:val="5"/>
    </w:pPr>
    <w:rPr>
      <w:rFonts w:asciiTheme="majorHAnsi" w:eastAsiaTheme="majorEastAsia" w:hAnsiTheme="majorHAnsi" w:cstheme="majorBidi"/>
      <w:i/>
      <w:iCs/>
      <w:color w:val="243F60" w:themeColor="accent1" w:themeShade="7F"/>
      <w:sz w:val="22"/>
      <w:lang w:val="en-GB" w:eastAsia="fr-FR"/>
    </w:rPr>
  </w:style>
  <w:style w:type="paragraph" w:styleId="Titre7">
    <w:name w:val="heading 7"/>
    <w:basedOn w:val="Normal"/>
    <w:next w:val="Normal"/>
    <w:link w:val="Titre7Car"/>
    <w:uiPriority w:val="9"/>
    <w:unhideWhenUsed/>
    <w:qFormat/>
    <w:rsid w:val="00BF4479"/>
    <w:pPr>
      <w:keepNext/>
      <w:keepLines/>
      <w:spacing w:before="200" w:after="0" w:line="264" w:lineRule="auto"/>
      <w:ind w:left="1296" w:hanging="1296"/>
      <w:jc w:val="both"/>
      <w:outlineLvl w:val="6"/>
    </w:pPr>
    <w:rPr>
      <w:rFonts w:asciiTheme="majorHAnsi" w:eastAsiaTheme="majorEastAsia" w:hAnsiTheme="majorHAnsi" w:cstheme="majorBidi"/>
      <w:i/>
      <w:iCs/>
      <w:color w:val="404040" w:themeColor="text1" w:themeTint="BF"/>
      <w:sz w:val="22"/>
      <w:lang w:val="en-GB" w:eastAsia="fr-FR"/>
    </w:rPr>
  </w:style>
  <w:style w:type="paragraph" w:styleId="Titre8">
    <w:name w:val="heading 8"/>
    <w:basedOn w:val="Normal"/>
    <w:next w:val="Normal"/>
    <w:link w:val="Titre8Car"/>
    <w:uiPriority w:val="9"/>
    <w:unhideWhenUsed/>
    <w:qFormat/>
    <w:rsid w:val="00BF4479"/>
    <w:pPr>
      <w:keepNext/>
      <w:keepLines/>
      <w:spacing w:before="200" w:after="0" w:line="264" w:lineRule="auto"/>
      <w:ind w:left="1440" w:hanging="1440"/>
      <w:jc w:val="both"/>
      <w:outlineLvl w:val="7"/>
    </w:pPr>
    <w:rPr>
      <w:rFonts w:asciiTheme="majorHAnsi" w:eastAsiaTheme="majorEastAsia" w:hAnsiTheme="majorHAnsi" w:cstheme="majorBidi"/>
      <w:color w:val="404040" w:themeColor="text1" w:themeTint="BF"/>
      <w:sz w:val="20"/>
      <w:szCs w:val="20"/>
      <w:lang w:val="en-GB" w:eastAsia="fr-FR"/>
    </w:rPr>
  </w:style>
  <w:style w:type="paragraph" w:styleId="Titre9">
    <w:name w:val="heading 9"/>
    <w:basedOn w:val="Normal"/>
    <w:next w:val="Normal"/>
    <w:link w:val="Titre9Car"/>
    <w:uiPriority w:val="9"/>
    <w:unhideWhenUsed/>
    <w:qFormat/>
    <w:rsid w:val="00BF4479"/>
    <w:pPr>
      <w:keepNext/>
      <w:keepLines/>
      <w:spacing w:before="200" w:after="0" w:line="264" w:lineRule="auto"/>
      <w:ind w:left="1584" w:hanging="1584"/>
      <w:jc w:val="both"/>
      <w:outlineLvl w:val="8"/>
    </w:pPr>
    <w:rPr>
      <w:rFonts w:asciiTheme="majorHAnsi" w:eastAsiaTheme="majorEastAsia" w:hAnsiTheme="majorHAnsi" w:cstheme="majorBidi"/>
      <w:i/>
      <w:iCs/>
      <w:color w:val="404040" w:themeColor="text1" w:themeTint="BF"/>
      <w:sz w:val="20"/>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6715"/>
    <w:rPr>
      <w:rFonts w:ascii="Times New Roman" w:eastAsia="Cambria" w:hAnsi="Times New Roman" w:cs="Times New Roman"/>
      <w:b/>
      <w:sz w:val="24"/>
      <w:szCs w:val="24"/>
    </w:rPr>
  </w:style>
  <w:style w:type="character" w:customStyle="1" w:styleId="Titre2Car">
    <w:name w:val="Titre 2 Car"/>
    <w:basedOn w:val="Policepardfaut"/>
    <w:link w:val="Titre2"/>
    <w:uiPriority w:val="9"/>
    <w:rsid w:val="00AB6715"/>
    <w:rPr>
      <w:rFonts w:ascii="Times New Roman" w:eastAsia="Cambria" w:hAnsi="Times New Roman" w:cs="Times New Roman"/>
      <w:b/>
      <w:sz w:val="24"/>
      <w:szCs w:val="24"/>
    </w:rPr>
  </w:style>
  <w:style w:type="paragraph" w:styleId="Sous-titre">
    <w:name w:val="Subtitle"/>
    <w:basedOn w:val="Normal"/>
    <w:next w:val="Normal"/>
    <w:link w:val="Sous-titreCar"/>
    <w:uiPriority w:val="99"/>
    <w:unhideWhenUsed/>
    <w:qFormat/>
    <w:rsid w:val="00AB6715"/>
    <w:pPr>
      <w:spacing w:before="240"/>
    </w:pPr>
    <w:rPr>
      <w:rFonts w:cs="Times New Roman"/>
      <w:b/>
      <w:szCs w:val="24"/>
    </w:rPr>
  </w:style>
  <w:style w:type="character" w:customStyle="1" w:styleId="Sous-titreCar">
    <w:name w:val="Sous-titre Car"/>
    <w:basedOn w:val="Policepardfaut"/>
    <w:link w:val="Sous-titre"/>
    <w:uiPriority w:val="99"/>
    <w:rsid w:val="00AB6715"/>
    <w:rPr>
      <w:rFonts w:ascii="Times New Roman" w:hAnsi="Times New Roman" w:cs="Times New Roman"/>
      <w:b/>
      <w:sz w:val="24"/>
      <w:szCs w:val="24"/>
    </w:rPr>
  </w:style>
  <w:style w:type="paragraph" w:customStyle="1" w:styleId="AuthorList">
    <w:name w:val="Author List"/>
    <w:aliases w:val="Keywords,Abstract"/>
    <w:basedOn w:val="Sous-titre"/>
    <w:next w:val="Normal"/>
    <w:uiPriority w:val="1"/>
    <w:qFormat/>
    <w:rsid w:val="00AB6715"/>
  </w:style>
  <w:style w:type="paragraph" w:styleId="Textedebulles">
    <w:name w:val="Balloon Text"/>
    <w:basedOn w:val="Normal"/>
    <w:link w:val="TextedebullesCar"/>
    <w:uiPriority w:val="99"/>
    <w:semiHidden/>
    <w:unhideWhenUsed/>
    <w:rsid w:val="00AB671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B6715"/>
    <w:rPr>
      <w:rFonts w:ascii="Tahoma" w:hAnsi="Tahoma" w:cs="Tahoma"/>
      <w:sz w:val="16"/>
      <w:szCs w:val="16"/>
    </w:rPr>
  </w:style>
  <w:style w:type="character" w:styleId="Titredulivre">
    <w:name w:val="Book Title"/>
    <w:basedOn w:val="Policepardfaut"/>
    <w:uiPriority w:val="33"/>
    <w:qFormat/>
    <w:rsid w:val="00AB6715"/>
    <w:rPr>
      <w:rFonts w:ascii="Times New Roman" w:hAnsi="Times New Roman"/>
      <w:b/>
      <w:bCs/>
      <w:i/>
      <w:iCs/>
      <w:spacing w:val="5"/>
    </w:rPr>
  </w:style>
  <w:style w:type="paragraph" w:styleId="Lgende">
    <w:name w:val="caption"/>
    <w:basedOn w:val="Normal"/>
    <w:next w:val="Sansinterligne"/>
    <w:uiPriority w:val="35"/>
    <w:unhideWhenUsed/>
    <w:qFormat/>
    <w:rsid w:val="00AB6715"/>
    <w:pPr>
      <w:keepNext/>
    </w:pPr>
    <w:rPr>
      <w:rFonts w:cs="Times New Roman"/>
      <w:b/>
      <w:bCs/>
      <w:szCs w:val="24"/>
    </w:rPr>
  </w:style>
  <w:style w:type="paragraph" w:styleId="Sansinterligne">
    <w:name w:val="No Spacing"/>
    <w:uiPriority w:val="99"/>
    <w:unhideWhenUsed/>
    <w:qFormat/>
    <w:rsid w:val="00AB6715"/>
    <w:pPr>
      <w:spacing w:after="0" w:line="240" w:lineRule="auto"/>
    </w:pPr>
    <w:rPr>
      <w:rFonts w:ascii="Times New Roman" w:hAnsi="Times New Roman"/>
      <w:sz w:val="24"/>
    </w:rPr>
  </w:style>
  <w:style w:type="character" w:styleId="Marquedecommentaire">
    <w:name w:val="annotation reference"/>
    <w:basedOn w:val="Policepardfaut"/>
    <w:uiPriority w:val="99"/>
    <w:semiHidden/>
    <w:unhideWhenUsed/>
    <w:rsid w:val="00AB6715"/>
    <w:rPr>
      <w:sz w:val="16"/>
      <w:szCs w:val="16"/>
    </w:rPr>
  </w:style>
  <w:style w:type="paragraph" w:styleId="Commentaire">
    <w:name w:val="annotation text"/>
    <w:basedOn w:val="Normal"/>
    <w:link w:val="CommentaireCar"/>
    <w:uiPriority w:val="99"/>
    <w:unhideWhenUsed/>
    <w:rsid w:val="00AB6715"/>
    <w:rPr>
      <w:sz w:val="20"/>
      <w:szCs w:val="20"/>
    </w:rPr>
  </w:style>
  <w:style w:type="character" w:customStyle="1" w:styleId="CommentaireCar">
    <w:name w:val="Commentaire Car"/>
    <w:basedOn w:val="Policepardfaut"/>
    <w:link w:val="Commentaire"/>
    <w:uiPriority w:val="99"/>
    <w:rsid w:val="00AB6715"/>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AB6715"/>
    <w:rPr>
      <w:b/>
      <w:bCs/>
    </w:rPr>
  </w:style>
  <w:style w:type="character" w:customStyle="1" w:styleId="ObjetducommentaireCar">
    <w:name w:val="Objet du commentaire Car"/>
    <w:basedOn w:val="CommentaireCar"/>
    <w:link w:val="Objetducommentaire"/>
    <w:uiPriority w:val="99"/>
    <w:semiHidden/>
    <w:rsid w:val="00AB6715"/>
    <w:rPr>
      <w:rFonts w:ascii="Times New Roman" w:hAnsi="Times New Roman"/>
      <w:b/>
      <w:bCs/>
      <w:sz w:val="20"/>
      <w:szCs w:val="20"/>
    </w:rPr>
  </w:style>
  <w:style w:type="character" w:styleId="Accentuation">
    <w:name w:val="Emphasis"/>
    <w:basedOn w:val="Policepardfaut"/>
    <w:uiPriority w:val="20"/>
    <w:qFormat/>
    <w:rsid w:val="00AB6715"/>
    <w:rPr>
      <w:rFonts w:ascii="Times New Roman" w:hAnsi="Times New Roman"/>
      <w:i/>
      <w:iCs/>
    </w:rPr>
  </w:style>
  <w:style w:type="character" w:styleId="Appeldenotedefin">
    <w:name w:val="endnote reference"/>
    <w:basedOn w:val="Policepardfaut"/>
    <w:uiPriority w:val="99"/>
    <w:semiHidden/>
    <w:unhideWhenUsed/>
    <w:rsid w:val="00AB6715"/>
    <w:rPr>
      <w:vertAlign w:val="superscript"/>
    </w:rPr>
  </w:style>
  <w:style w:type="paragraph" w:styleId="Notedefin">
    <w:name w:val="endnote text"/>
    <w:basedOn w:val="Normal"/>
    <w:link w:val="NotedefinCar"/>
    <w:uiPriority w:val="99"/>
    <w:semiHidden/>
    <w:unhideWhenUsed/>
    <w:rsid w:val="00AB6715"/>
    <w:pPr>
      <w:spacing w:after="0"/>
    </w:pPr>
    <w:rPr>
      <w:sz w:val="20"/>
      <w:szCs w:val="20"/>
    </w:rPr>
  </w:style>
  <w:style w:type="character" w:customStyle="1" w:styleId="NotedefinCar">
    <w:name w:val="Note de fin Car"/>
    <w:basedOn w:val="Policepardfaut"/>
    <w:link w:val="Notedefin"/>
    <w:uiPriority w:val="99"/>
    <w:semiHidden/>
    <w:rsid w:val="00AB6715"/>
    <w:rPr>
      <w:rFonts w:ascii="Times New Roman" w:hAnsi="Times New Roman"/>
      <w:sz w:val="20"/>
      <w:szCs w:val="20"/>
    </w:rPr>
  </w:style>
  <w:style w:type="character" w:styleId="Lienhypertextesuivivisit">
    <w:name w:val="FollowedHyperlink"/>
    <w:basedOn w:val="Policepardfaut"/>
    <w:uiPriority w:val="99"/>
    <w:semiHidden/>
    <w:unhideWhenUsed/>
    <w:rsid w:val="00AB6715"/>
    <w:rPr>
      <w:color w:val="800080" w:themeColor="followedHyperlink"/>
      <w:u w:val="single"/>
    </w:rPr>
  </w:style>
  <w:style w:type="paragraph" w:styleId="Pieddepage">
    <w:name w:val="footer"/>
    <w:basedOn w:val="Normal"/>
    <w:link w:val="PieddepageCar"/>
    <w:uiPriority w:val="99"/>
    <w:unhideWhenUsed/>
    <w:rsid w:val="00AB6715"/>
    <w:pPr>
      <w:tabs>
        <w:tab w:val="center" w:pos="4844"/>
        <w:tab w:val="right" w:pos="9689"/>
      </w:tabs>
      <w:spacing w:after="0"/>
    </w:pPr>
  </w:style>
  <w:style w:type="character" w:customStyle="1" w:styleId="PieddepageCar">
    <w:name w:val="Pied de page Car"/>
    <w:basedOn w:val="Policepardfaut"/>
    <w:link w:val="Pieddepage"/>
    <w:uiPriority w:val="99"/>
    <w:rsid w:val="00AB6715"/>
    <w:rPr>
      <w:rFonts w:ascii="Times New Roman" w:hAnsi="Times New Roman"/>
      <w:sz w:val="24"/>
    </w:rPr>
  </w:style>
  <w:style w:type="character" w:styleId="Appelnotedebasdep">
    <w:name w:val="footnote reference"/>
    <w:basedOn w:val="Policepardfaut"/>
    <w:uiPriority w:val="99"/>
    <w:unhideWhenUsed/>
    <w:rsid w:val="00AB6715"/>
    <w:rPr>
      <w:vertAlign w:val="superscript"/>
    </w:rPr>
  </w:style>
  <w:style w:type="paragraph" w:styleId="Notedebasdepage">
    <w:name w:val="footnote text"/>
    <w:aliases w:val="Note de bas de page Car Car Car,Note de bas de page Car Car Car Car Car Car,Note de bas de page Car Car Car Car Car Car Car,Note de bas de page Car Car Car Car Car Car Car Car Car Car Car,FOOTNOTES,fn,single space,ADB"/>
    <w:basedOn w:val="Normal"/>
    <w:link w:val="NotedebasdepageCar"/>
    <w:uiPriority w:val="99"/>
    <w:unhideWhenUsed/>
    <w:rsid w:val="00AB6715"/>
    <w:pPr>
      <w:spacing w:after="0"/>
    </w:pPr>
    <w:rPr>
      <w:sz w:val="20"/>
      <w:szCs w:val="20"/>
    </w:rPr>
  </w:style>
  <w:style w:type="character" w:customStyle="1" w:styleId="NotedebasdepageCar">
    <w:name w:val="Note de bas de page Car"/>
    <w:aliases w:val="Note de bas de page Car Car Car Car,Note de bas de page Car Car Car Car Car Car Car1,Note de bas de page Car Car Car Car Car Car Car Car,Note de bas de page Car Car Car Car Car Car Car Car Car Car Car Car,FOOTNOTES Car,fn Car"/>
    <w:basedOn w:val="Policepardfaut"/>
    <w:link w:val="Notedebasdepage"/>
    <w:uiPriority w:val="99"/>
    <w:rsid w:val="00AB6715"/>
    <w:rPr>
      <w:rFonts w:ascii="Times New Roman" w:hAnsi="Times New Roman"/>
      <w:sz w:val="20"/>
      <w:szCs w:val="20"/>
    </w:rPr>
  </w:style>
  <w:style w:type="paragraph" w:styleId="En-tte">
    <w:name w:val="header"/>
    <w:basedOn w:val="Normal"/>
    <w:link w:val="En-tteCar"/>
    <w:uiPriority w:val="99"/>
    <w:unhideWhenUsed/>
    <w:rsid w:val="00AB6715"/>
    <w:pPr>
      <w:tabs>
        <w:tab w:val="center" w:pos="4844"/>
        <w:tab w:val="right" w:pos="9689"/>
      </w:tabs>
    </w:pPr>
    <w:rPr>
      <w:b/>
    </w:rPr>
  </w:style>
  <w:style w:type="character" w:customStyle="1" w:styleId="En-tteCar">
    <w:name w:val="En-tête Car"/>
    <w:basedOn w:val="Policepardfaut"/>
    <w:link w:val="En-tte"/>
    <w:uiPriority w:val="99"/>
    <w:rsid w:val="00AB6715"/>
    <w:rPr>
      <w:rFonts w:ascii="Times New Roman" w:hAnsi="Times New Roman"/>
      <w:b/>
      <w:sz w:val="24"/>
    </w:rPr>
  </w:style>
  <w:style w:type="paragraph" w:styleId="Paragraphedeliste">
    <w:name w:val="List Paragraph"/>
    <w:basedOn w:val="Normal"/>
    <w:uiPriority w:val="34"/>
    <w:qFormat/>
    <w:rsid w:val="00AB6715"/>
    <w:pPr>
      <w:numPr>
        <w:numId w:val="1"/>
      </w:numPr>
      <w:contextualSpacing/>
    </w:pPr>
    <w:rPr>
      <w:rFonts w:eastAsia="Cambria" w:cs="Times New Roman"/>
      <w:szCs w:val="24"/>
    </w:rPr>
  </w:style>
  <w:style w:type="numbering" w:customStyle="1" w:styleId="Headings">
    <w:name w:val="Headings"/>
    <w:uiPriority w:val="99"/>
    <w:rsid w:val="00AB6715"/>
    <w:pPr>
      <w:numPr>
        <w:numId w:val="2"/>
      </w:numPr>
    </w:pPr>
  </w:style>
  <w:style w:type="character" w:styleId="Lienhypertexte">
    <w:name w:val="Hyperlink"/>
    <w:basedOn w:val="Policepardfaut"/>
    <w:uiPriority w:val="99"/>
    <w:unhideWhenUsed/>
    <w:rsid w:val="00AB6715"/>
    <w:rPr>
      <w:color w:val="0000FF"/>
      <w:u w:val="single"/>
    </w:rPr>
  </w:style>
  <w:style w:type="character" w:styleId="Accentuationintense">
    <w:name w:val="Intense Emphasis"/>
    <w:basedOn w:val="Policepardfaut"/>
    <w:uiPriority w:val="21"/>
    <w:unhideWhenUsed/>
    <w:rsid w:val="00AB6715"/>
    <w:rPr>
      <w:rFonts w:ascii="Times New Roman" w:hAnsi="Times New Roman"/>
      <w:i/>
      <w:iCs/>
      <w:color w:val="auto"/>
    </w:rPr>
  </w:style>
  <w:style w:type="character" w:styleId="Rfrenceintense">
    <w:name w:val="Intense Reference"/>
    <w:basedOn w:val="Policepardfaut"/>
    <w:uiPriority w:val="32"/>
    <w:qFormat/>
    <w:rsid w:val="00AB6715"/>
    <w:rPr>
      <w:b/>
      <w:bCs/>
      <w:smallCaps/>
      <w:color w:val="auto"/>
      <w:spacing w:val="5"/>
    </w:rPr>
  </w:style>
  <w:style w:type="character" w:styleId="Numrodeligne">
    <w:name w:val="line number"/>
    <w:basedOn w:val="Policepardfaut"/>
    <w:uiPriority w:val="99"/>
    <w:semiHidden/>
    <w:unhideWhenUsed/>
    <w:rsid w:val="00AB6715"/>
  </w:style>
  <w:style w:type="character" w:customStyle="1" w:styleId="Titre3Car">
    <w:name w:val="Titre 3 Car"/>
    <w:basedOn w:val="Policepardfaut"/>
    <w:link w:val="Titre3"/>
    <w:uiPriority w:val="9"/>
    <w:rsid w:val="00AB6715"/>
    <w:rPr>
      <w:rFonts w:ascii="Times New Roman" w:eastAsiaTheme="majorEastAsia" w:hAnsi="Times New Roman" w:cstheme="majorBidi"/>
      <w:b/>
      <w:sz w:val="24"/>
      <w:szCs w:val="24"/>
    </w:rPr>
  </w:style>
  <w:style w:type="character" w:customStyle="1" w:styleId="Titre4Car">
    <w:name w:val="Titre 4 Car"/>
    <w:basedOn w:val="Policepardfaut"/>
    <w:link w:val="Titre4"/>
    <w:uiPriority w:val="9"/>
    <w:rsid w:val="00AB6715"/>
    <w:rPr>
      <w:rFonts w:ascii="Times New Roman" w:eastAsiaTheme="majorEastAsia" w:hAnsi="Times New Roman" w:cstheme="majorBidi"/>
      <w:b/>
      <w:iCs/>
      <w:sz w:val="24"/>
      <w:szCs w:val="24"/>
    </w:rPr>
  </w:style>
  <w:style w:type="character" w:customStyle="1" w:styleId="Titre5Car">
    <w:name w:val="Titre 5 Car"/>
    <w:basedOn w:val="Policepardfaut"/>
    <w:link w:val="Titre5"/>
    <w:uiPriority w:val="9"/>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Citation">
    <w:name w:val="Quote"/>
    <w:basedOn w:val="Normal"/>
    <w:next w:val="Normal"/>
    <w:link w:val="CitationCar"/>
    <w:uiPriority w:val="29"/>
    <w:qFormat/>
    <w:rsid w:val="00AB671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AB6715"/>
    <w:rPr>
      <w:rFonts w:ascii="Times New Roman" w:hAnsi="Times New Roman"/>
      <w:i/>
      <w:iCs/>
      <w:color w:val="404040" w:themeColor="text1" w:themeTint="BF"/>
      <w:sz w:val="24"/>
    </w:rPr>
  </w:style>
  <w:style w:type="character" w:styleId="lev">
    <w:name w:val="Strong"/>
    <w:basedOn w:val="Policepardfaut"/>
    <w:uiPriority w:val="22"/>
    <w:qFormat/>
    <w:rsid w:val="00AB6715"/>
    <w:rPr>
      <w:rFonts w:ascii="Times New Roman" w:hAnsi="Times New Roman"/>
      <w:b/>
      <w:bCs/>
    </w:rPr>
  </w:style>
  <w:style w:type="character" w:styleId="Accentuationlgre">
    <w:name w:val="Subtle Emphasis"/>
    <w:basedOn w:val="Policepardfaut"/>
    <w:uiPriority w:val="19"/>
    <w:qFormat/>
    <w:rsid w:val="00AB6715"/>
    <w:rPr>
      <w:rFonts w:ascii="Times New Roman" w:hAnsi="Times New Roman"/>
      <w:i/>
      <w:iCs/>
      <w:color w:val="404040" w:themeColor="text1" w:themeTint="BF"/>
    </w:rPr>
  </w:style>
  <w:style w:type="table" w:styleId="Grilledutableau">
    <w:name w:val="Table Grid"/>
    <w:basedOn w:val="Tableau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AB6715"/>
    <w:pPr>
      <w:suppressLineNumbers/>
      <w:spacing w:before="240" w:after="360"/>
      <w:jc w:val="center"/>
    </w:pPr>
    <w:rPr>
      <w:rFonts w:cs="Times New Roman"/>
      <w:b/>
      <w:sz w:val="32"/>
      <w:szCs w:val="32"/>
    </w:rPr>
  </w:style>
  <w:style w:type="character" w:customStyle="1" w:styleId="TitreCar">
    <w:name w:val="Titre Car"/>
    <w:basedOn w:val="Policepardfaut"/>
    <w:link w:val="Titre"/>
    <w:uiPriority w:val="10"/>
    <w:rsid w:val="00AB6715"/>
    <w:rPr>
      <w:rFonts w:ascii="Times New Roman" w:hAnsi="Times New Roman" w:cs="Times New Roman"/>
      <w:b/>
      <w:sz w:val="32"/>
      <w:szCs w:val="32"/>
    </w:rPr>
  </w:style>
  <w:style w:type="paragraph" w:customStyle="1" w:styleId="SupplementaryMaterial">
    <w:name w:val="Supplementary Material"/>
    <w:basedOn w:val="Titre"/>
    <w:next w:val="Titre"/>
    <w:qFormat/>
    <w:rsid w:val="0001436A"/>
    <w:pPr>
      <w:spacing w:after="120"/>
    </w:pPr>
    <w:rPr>
      <w:i/>
    </w:rPr>
  </w:style>
  <w:style w:type="character" w:customStyle="1" w:styleId="Titre6Car">
    <w:name w:val="Titre 6 Car"/>
    <w:basedOn w:val="Policepardfaut"/>
    <w:link w:val="Titre6"/>
    <w:uiPriority w:val="9"/>
    <w:rsid w:val="00BF4479"/>
    <w:rPr>
      <w:rFonts w:asciiTheme="majorHAnsi" w:eastAsiaTheme="majorEastAsia" w:hAnsiTheme="majorHAnsi" w:cstheme="majorBidi"/>
      <w:i/>
      <w:iCs/>
      <w:color w:val="243F60" w:themeColor="accent1" w:themeShade="7F"/>
      <w:lang w:val="en-GB" w:eastAsia="fr-FR"/>
    </w:rPr>
  </w:style>
  <w:style w:type="character" w:customStyle="1" w:styleId="Titre7Car">
    <w:name w:val="Titre 7 Car"/>
    <w:basedOn w:val="Policepardfaut"/>
    <w:link w:val="Titre7"/>
    <w:uiPriority w:val="9"/>
    <w:rsid w:val="00BF4479"/>
    <w:rPr>
      <w:rFonts w:asciiTheme="majorHAnsi" w:eastAsiaTheme="majorEastAsia" w:hAnsiTheme="majorHAnsi" w:cstheme="majorBidi"/>
      <w:i/>
      <w:iCs/>
      <w:color w:val="404040" w:themeColor="text1" w:themeTint="BF"/>
      <w:lang w:val="en-GB" w:eastAsia="fr-FR"/>
    </w:rPr>
  </w:style>
  <w:style w:type="character" w:customStyle="1" w:styleId="Titre8Car">
    <w:name w:val="Titre 8 Car"/>
    <w:basedOn w:val="Policepardfaut"/>
    <w:link w:val="Titre8"/>
    <w:uiPriority w:val="9"/>
    <w:rsid w:val="00BF4479"/>
    <w:rPr>
      <w:rFonts w:asciiTheme="majorHAnsi" w:eastAsiaTheme="majorEastAsia" w:hAnsiTheme="majorHAnsi" w:cstheme="majorBidi"/>
      <w:color w:val="404040" w:themeColor="text1" w:themeTint="BF"/>
      <w:sz w:val="20"/>
      <w:szCs w:val="20"/>
      <w:lang w:val="en-GB" w:eastAsia="fr-FR"/>
    </w:rPr>
  </w:style>
  <w:style w:type="character" w:customStyle="1" w:styleId="Titre9Car">
    <w:name w:val="Titre 9 Car"/>
    <w:basedOn w:val="Policepardfaut"/>
    <w:link w:val="Titre9"/>
    <w:uiPriority w:val="9"/>
    <w:rsid w:val="00BF4479"/>
    <w:rPr>
      <w:rFonts w:asciiTheme="majorHAnsi" w:eastAsiaTheme="majorEastAsia" w:hAnsiTheme="majorHAnsi" w:cstheme="majorBidi"/>
      <w:i/>
      <w:iCs/>
      <w:color w:val="404040" w:themeColor="text1" w:themeTint="BF"/>
      <w:sz w:val="20"/>
      <w:szCs w:val="20"/>
      <w:lang w:val="en-GB" w:eastAsia="fr-FR"/>
    </w:rPr>
  </w:style>
  <w:style w:type="character" w:customStyle="1" w:styleId="apple-converted-space">
    <w:name w:val="apple-converted-space"/>
    <w:basedOn w:val="Policepardfaut"/>
    <w:rsid w:val="00BF4479"/>
  </w:style>
  <w:style w:type="paragraph" w:styleId="En-ttedetabledesmatires">
    <w:name w:val="TOC Heading"/>
    <w:basedOn w:val="Titre1"/>
    <w:next w:val="Normal"/>
    <w:uiPriority w:val="39"/>
    <w:semiHidden/>
    <w:unhideWhenUsed/>
    <w:qFormat/>
    <w:rsid w:val="00BF4479"/>
    <w:pPr>
      <w:keepNext/>
      <w:keepLines/>
      <w:numPr>
        <w:numId w:val="0"/>
      </w:numPr>
      <w:spacing w:before="480"/>
      <w:outlineLvl w:val="9"/>
    </w:pPr>
    <w:rPr>
      <w:rFonts w:ascii="Calibri" w:eastAsiaTheme="majorEastAsia" w:hAnsi="Calibri" w:cstheme="majorBidi"/>
      <w:bCs/>
      <w:color w:val="FF0000"/>
      <w:sz w:val="28"/>
      <w:szCs w:val="28"/>
      <w:lang w:val="en-GB" w:eastAsia="fr-FR"/>
    </w:rPr>
  </w:style>
  <w:style w:type="paragraph" w:styleId="TM1">
    <w:name w:val="toc 1"/>
    <w:basedOn w:val="Normal"/>
    <w:next w:val="Normal"/>
    <w:autoRedefine/>
    <w:uiPriority w:val="39"/>
    <w:unhideWhenUsed/>
    <w:rsid w:val="00BF4479"/>
    <w:pPr>
      <w:spacing w:before="0" w:after="100" w:line="264" w:lineRule="auto"/>
      <w:jc w:val="both"/>
    </w:pPr>
    <w:rPr>
      <w:rFonts w:asciiTheme="minorHAnsi" w:eastAsiaTheme="minorEastAsia" w:hAnsiTheme="minorHAnsi"/>
      <w:color w:val="FF0000"/>
      <w:sz w:val="22"/>
      <w:lang w:val="en-GB" w:eastAsia="fr-FR"/>
    </w:rPr>
  </w:style>
  <w:style w:type="paragraph" w:styleId="TM2">
    <w:name w:val="toc 2"/>
    <w:basedOn w:val="Normal"/>
    <w:next w:val="Normal"/>
    <w:autoRedefine/>
    <w:uiPriority w:val="39"/>
    <w:unhideWhenUsed/>
    <w:rsid w:val="00BF4479"/>
    <w:pPr>
      <w:spacing w:before="0" w:after="100" w:line="264" w:lineRule="auto"/>
      <w:ind w:left="220"/>
      <w:jc w:val="both"/>
    </w:pPr>
    <w:rPr>
      <w:rFonts w:asciiTheme="minorHAnsi" w:eastAsiaTheme="minorEastAsia" w:hAnsiTheme="minorHAnsi"/>
      <w:sz w:val="22"/>
      <w:lang w:val="en-GB" w:eastAsia="fr-FR"/>
    </w:rPr>
  </w:style>
  <w:style w:type="paragraph" w:styleId="TM3">
    <w:name w:val="toc 3"/>
    <w:basedOn w:val="Normal"/>
    <w:next w:val="Normal"/>
    <w:autoRedefine/>
    <w:uiPriority w:val="39"/>
    <w:unhideWhenUsed/>
    <w:rsid w:val="00BF4479"/>
    <w:pPr>
      <w:spacing w:before="0" w:after="100" w:line="264" w:lineRule="auto"/>
      <w:ind w:left="440"/>
      <w:jc w:val="both"/>
    </w:pPr>
    <w:rPr>
      <w:rFonts w:asciiTheme="minorHAnsi" w:eastAsiaTheme="minorEastAsia" w:hAnsiTheme="minorHAnsi"/>
      <w:sz w:val="22"/>
      <w:lang w:val="en-GB" w:eastAsia="fr-FR"/>
    </w:rPr>
  </w:style>
  <w:style w:type="table" w:styleId="Trameclaire-Accent1">
    <w:name w:val="Light Shading Accent 1"/>
    <w:basedOn w:val="TableauNormal"/>
    <w:uiPriority w:val="60"/>
    <w:rsid w:val="00BF4479"/>
    <w:pPr>
      <w:spacing w:after="0" w:line="240" w:lineRule="auto"/>
    </w:pPr>
    <w:rPr>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ibliographie">
    <w:name w:val="Bibliography"/>
    <w:basedOn w:val="Normal"/>
    <w:next w:val="Normal"/>
    <w:uiPriority w:val="37"/>
    <w:unhideWhenUsed/>
    <w:rsid w:val="00BF4479"/>
    <w:pPr>
      <w:spacing w:before="0" w:after="40" w:line="480" w:lineRule="auto"/>
      <w:ind w:left="720" w:hanging="720"/>
      <w:jc w:val="both"/>
    </w:pPr>
    <w:rPr>
      <w:rFonts w:asciiTheme="minorHAnsi" w:eastAsiaTheme="minorEastAsia" w:hAnsiTheme="minorHAnsi"/>
      <w:sz w:val="22"/>
      <w:lang w:val="en-GB" w:eastAsia="fr-FR"/>
    </w:rPr>
  </w:style>
  <w:style w:type="paragraph" w:styleId="Explorateurdedocuments">
    <w:name w:val="Document Map"/>
    <w:basedOn w:val="Normal"/>
    <w:link w:val="ExplorateurdedocumentsCar"/>
    <w:uiPriority w:val="99"/>
    <w:semiHidden/>
    <w:unhideWhenUsed/>
    <w:rsid w:val="00BF4479"/>
    <w:pPr>
      <w:spacing w:before="0" w:after="40"/>
      <w:jc w:val="both"/>
    </w:pPr>
    <w:rPr>
      <w:rFonts w:ascii="Lucida Grande" w:eastAsiaTheme="minorEastAsia" w:hAnsi="Lucida Grande" w:cs="Lucida Grande"/>
      <w:szCs w:val="24"/>
      <w:lang w:val="en-GB" w:eastAsia="fr-FR"/>
    </w:rPr>
  </w:style>
  <w:style w:type="character" w:customStyle="1" w:styleId="ExplorateurdedocumentsCar">
    <w:name w:val="Explorateur de documents Car"/>
    <w:basedOn w:val="Policepardfaut"/>
    <w:link w:val="Explorateurdedocuments"/>
    <w:uiPriority w:val="99"/>
    <w:semiHidden/>
    <w:rsid w:val="00BF4479"/>
    <w:rPr>
      <w:rFonts w:ascii="Lucida Grande" w:eastAsiaTheme="minorEastAsia" w:hAnsi="Lucida Grande" w:cs="Lucida Grande"/>
      <w:sz w:val="24"/>
      <w:szCs w:val="24"/>
      <w:lang w:val="en-GB" w:eastAsia="fr-FR"/>
    </w:rPr>
  </w:style>
  <w:style w:type="paragraph" w:styleId="TM4">
    <w:name w:val="toc 4"/>
    <w:basedOn w:val="Normal"/>
    <w:next w:val="Normal"/>
    <w:autoRedefine/>
    <w:uiPriority w:val="39"/>
    <w:unhideWhenUsed/>
    <w:rsid w:val="00BF4479"/>
    <w:pPr>
      <w:spacing w:before="0" w:after="40" w:line="264" w:lineRule="auto"/>
      <w:ind w:left="660"/>
      <w:jc w:val="both"/>
    </w:pPr>
    <w:rPr>
      <w:rFonts w:asciiTheme="minorHAnsi" w:eastAsiaTheme="minorEastAsia" w:hAnsiTheme="minorHAnsi"/>
      <w:sz w:val="22"/>
      <w:lang w:val="en-GB" w:eastAsia="fr-FR"/>
    </w:rPr>
  </w:style>
  <w:style w:type="paragraph" w:customStyle="1" w:styleId="sourcenotesfigure">
    <w:name w:val="source_notes_figure"/>
    <w:basedOn w:val="Normal"/>
    <w:qFormat/>
    <w:rsid w:val="00BF4479"/>
    <w:pPr>
      <w:spacing w:before="0" w:after="0" w:line="264" w:lineRule="auto"/>
      <w:jc w:val="both"/>
    </w:pPr>
    <w:rPr>
      <w:rFonts w:asciiTheme="minorHAnsi" w:eastAsiaTheme="minorEastAsia" w:hAnsiTheme="minorHAnsi"/>
      <w:sz w:val="18"/>
      <w:szCs w:val="18"/>
      <w:lang w:val="en-GB" w:eastAsia="fr-FR"/>
    </w:rPr>
  </w:style>
  <w:style w:type="paragraph" w:customStyle="1" w:styleId="Box">
    <w:name w:val="Box"/>
    <w:basedOn w:val="Normal"/>
    <w:qFormat/>
    <w:rsid w:val="00BF4479"/>
    <w:pPr>
      <w:shd w:val="clear" w:color="auto" w:fill="BFBFBF" w:themeFill="background1" w:themeFillShade="BF"/>
      <w:spacing w:before="0" w:after="40" w:line="264" w:lineRule="auto"/>
      <w:jc w:val="both"/>
    </w:pPr>
    <w:rPr>
      <w:rFonts w:asciiTheme="minorHAnsi" w:eastAsiaTheme="minorEastAsia" w:hAnsiTheme="minorHAnsi"/>
      <w:sz w:val="22"/>
      <w:lang w:val="en-GB" w:eastAsia="fr-FR"/>
    </w:rPr>
  </w:style>
  <w:style w:type="paragraph" w:customStyle="1" w:styleId="Titrebox">
    <w:name w:val="Titre_box"/>
    <w:basedOn w:val="Lgende"/>
    <w:qFormat/>
    <w:rsid w:val="00BF4479"/>
    <w:pPr>
      <w:spacing w:before="0" w:after="40"/>
    </w:pPr>
    <w:rPr>
      <w:rFonts w:asciiTheme="minorHAnsi" w:eastAsiaTheme="minorEastAsia" w:hAnsiTheme="minorHAnsi" w:cstheme="minorBidi"/>
      <w:sz w:val="22"/>
      <w:szCs w:val="22"/>
      <w:lang w:val="en-GB" w:eastAsia="fr-FR"/>
    </w:rPr>
  </w:style>
  <w:style w:type="paragraph" w:styleId="TM5">
    <w:name w:val="toc 5"/>
    <w:basedOn w:val="Normal"/>
    <w:next w:val="Normal"/>
    <w:autoRedefine/>
    <w:uiPriority w:val="39"/>
    <w:unhideWhenUsed/>
    <w:rsid w:val="00BF4479"/>
    <w:pPr>
      <w:spacing w:before="0" w:after="40" w:line="264" w:lineRule="auto"/>
      <w:ind w:left="880"/>
      <w:jc w:val="both"/>
    </w:pPr>
    <w:rPr>
      <w:rFonts w:asciiTheme="minorHAnsi" w:eastAsiaTheme="minorEastAsia" w:hAnsiTheme="minorHAnsi"/>
      <w:sz w:val="22"/>
      <w:lang w:val="en-GB" w:eastAsia="fr-FR"/>
    </w:rPr>
  </w:style>
  <w:style w:type="paragraph" w:styleId="TM6">
    <w:name w:val="toc 6"/>
    <w:basedOn w:val="Normal"/>
    <w:next w:val="Normal"/>
    <w:autoRedefine/>
    <w:uiPriority w:val="39"/>
    <w:unhideWhenUsed/>
    <w:rsid w:val="00BF4479"/>
    <w:pPr>
      <w:spacing w:before="0" w:after="40" w:line="264" w:lineRule="auto"/>
      <w:ind w:left="1100"/>
      <w:jc w:val="both"/>
    </w:pPr>
    <w:rPr>
      <w:rFonts w:asciiTheme="minorHAnsi" w:eastAsiaTheme="minorEastAsia" w:hAnsiTheme="minorHAnsi"/>
      <w:sz w:val="22"/>
      <w:lang w:val="en-GB" w:eastAsia="fr-FR"/>
    </w:rPr>
  </w:style>
  <w:style w:type="paragraph" w:styleId="TM7">
    <w:name w:val="toc 7"/>
    <w:basedOn w:val="Normal"/>
    <w:next w:val="Normal"/>
    <w:autoRedefine/>
    <w:uiPriority w:val="39"/>
    <w:unhideWhenUsed/>
    <w:rsid w:val="00BF4479"/>
    <w:pPr>
      <w:spacing w:before="0" w:after="40" w:line="264" w:lineRule="auto"/>
      <w:ind w:left="1320"/>
      <w:jc w:val="both"/>
    </w:pPr>
    <w:rPr>
      <w:rFonts w:asciiTheme="minorHAnsi" w:eastAsiaTheme="minorEastAsia" w:hAnsiTheme="minorHAnsi"/>
      <w:sz w:val="22"/>
      <w:lang w:val="en-GB" w:eastAsia="fr-FR"/>
    </w:rPr>
  </w:style>
  <w:style w:type="paragraph" w:styleId="TM8">
    <w:name w:val="toc 8"/>
    <w:basedOn w:val="Normal"/>
    <w:next w:val="Normal"/>
    <w:autoRedefine/>
    <w:uiPriority w:val="39"/>
    <w:unhideWhenUsed/>
    <w:rsid w:val="00BF4479"/>
    <w:pPr>
      <w:spacing w:before="0" w:after="40" w:line="264" w:lineRule="auto"/>
      <w:ind w:left="1540"/>
      <w:jc w:val="both"/>
    </w:pPr>
    <w:rPr>
      <w:rFonts w:asciiTheme="minorHAnsi" w:eastAsiaTheme="minorEastAsia" w:hAnsiTheme="minorHAnsi"/>
      <w:sz w:val="22"/>
      <w:lang w:val="en-GB" w:eastAsia="fr-FR"/>
    </w:rPr>
  </w:style>
  <w:style w:type="paragraph" w:styleId="TM9">
    <w:name w:val="toc 9"/>
    <w:basedOn w:val="Normal"/>
    <w:next w:val="Normal"/>
    <w:autoRedefine/>
    <w:uiPriority w:val="39"/>
    <w:unhideWhenUsed/>
    <w:rsid w:val="00BF4479"/>
    <w:pPr>
      <w:spacing w:before="0" w:after="40" w:line="264" w:lineRule="auto"/>
      <w:ind w:left="1760"/>
      <w:jc w:val="both"/>
    </w:pPr>
    <w:rPr>
      <w:rFonts w:asciiTheme="minorHAnsi" w:eastAsiaTheme="minorEastAsia" w:hAnsiTheme="minorHAnsi"/>
      <w:sz w:val="22"/>
      <w:lang w:val="en-GB" w:eastAsia="fr-FR"/>
    </w:rPr>
  </w:style>
  <w:style w:type="paragraph" w:styleId="Citationintense">
    <w:name w:val="Intense Quote"/>
    <w:basedOn w:val="Normal"/>
    <w:next w:val="Normal"/>
    <w:link w:val="CitationintenseCar"/>
    <w:uiPriority w:val="30"/>
    <w:rsid w:val="00BF4479"/>
    <w:pPr>
      <w:pBdr>
        <w:top w:val="single" w:sz="4" w:space="10" w:color="4F81BD" w:themeColor="accent1"/>
        <w:bottom w:val="single" w:sz="4" w:space="10" w:color="4F81BD" w:themeColor="accent1"/>
      </w:pBdr>
      <w:spacing w:before="360" w:after="360" w:line="264" w:lineRule="auto"/>
      <w:ind w:left="864" w:right="864"/>
      <w:jc w:val="center"/>
    </w:pPr>
    <w:rPr>
      <w:rFonts w:asciiTheme="minorHAnsi" w:eastAsiaTheme="minorEastAsia" w:hAnsiTheme="minorHAnsi"/>
      <w:i/>
      <w:iCs/>
      <w:color w:val="4F81BD" w:themeColor="accent1"/>
      <w:sz w:val="22"/>
      <w:lang w:val="en-GB" w:eastAsia="fr-FR"/>
    </w:rPr>
  </w:style>
  <w:style w:type="character" w:customStyle="1" w:styleId="CitationintenseCar">
    <w:name w:val="Citation intense Car"/>
    <w:basedOn w:val="Policepardfaut"/>
    <w:link w:val="Citationintense"/>
    <w:uiPriority w:val="30"/>
    <w:rsid w:val="00BF4479"/>
    <w:rPr>
      <w:rFonts w:eastAsiaTheme="minorEastAsia"/>
      <w:i/>
      <w:iCs/>
      <w:color w:val="4F81BD" w:themeColor="accent1"/>
      <w:lang w:val="en-GB" w:eastAsia="fr-FR"/>
    </w:rPr>
  </w:style>
  <w:style w:type="table" w:customStyle="1" w:styleId="Grilledutableau1">
    <w:name w:val="Grille du tableau1"/>
    <w:basedOn w:val="TableauNormal"/>
    <w:next w:val="Grilledutableau"/>
    <w:uiPriority w:val="59"/>
    <w:rsid w:val="00BF4479"/>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
    <w:name w:val="Grid Table 4"/>
    <w:basedOn w:val="TableauNormal"/>
    <w:uiPriority w:val="49"/>
    <w:rsid w:val="00BF4479"/>
    <w:pPr>
      <w:spacing w:after="0" w:line="240" w:lineRule="auto"/>
    </w:pPr>
    <w:rPr>
      <w:lang w:val="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vision">
    <w:name w:val="Revision"/>
    <w:hidden/>
    <w:uiPriority w:val="99"/>
    <w:semiHidden/>
    <w:rsid w:val="00BF4479"/>
    <w:pPr>
      <w:spacing w:after="0" w:line="240" w:lineRule="auto"/>
    </w:pPr>
    <w:rPr>
      <w:rFonts w:eastAsiaTheme="minorEastAsia"/>
      <w:lang w:val="en-GB" w:eastAsia="fr-FR"/>
    </w:rPr>
  </w:style>
  <w:style w:type="table" w:styleId="Tableausimple1">
    <w:name w:val="Plain Table 1"/>
    <w:basedOn w:val="TableauNormal"/>
    <w:uiPriority w:val="99"/>
    <w:rsid w:val="00BF4479"/>
    <w:pPr>
      <w:spacing w:after="0" w:line="240" w:lineRule="auto"/>
    </w:pPr>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desillustrations">
    <w:name w:val="table of figures"/>
    <w:basedOn w:val="Normal"/>
    <w:next w:val="Normal"/>
    <w:uiPriority w:val="99"/>
    <w:unhideWhenUsed/>
    <w:rsid w:val="00BF4479"/>
    <w:pPr>
      <w:spacing w:before="0" w:after="0" w:line="264" w:lineRule="auto"/>
      <w:jc w:val="both"/>
    </w:pPr>
    <w:rPr>
      <w:rFonts w:asciiTheme="minorHAnsi" w:eastAsiaTheme="minorEastAsia" w:hAnsiTheme="minorHAnsi"/>
      <w:sz w:val="22"/>
      <w:lang w:val="en-GB" w:eastAsia="fr-FR"/>
    </w:rPr>
  </w:style>
  <w:style w:type="character" w:customStyle="1" w:styleId="Mentionnonrsolue1">
    <w:name w:val="Mention non résolue1"/>
    <w:basedOn w:val="Policepardfaut"/>
    <w:uiPriority w:val="99"/>
    <w:semiHidden/>
    <w:unhideWhenUsed/>
    <w:rsid w:val="00F16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333146615">
      <w:bodyDiv w:val="1"/>
      <w:marLeft w:val="0"/>
      <w:marRight w:val="0"/>
      <w:marTop w:val="0"/>
      <w:marBottom w:val="0"/>
      <w:divBdr>
        <w:top w:val="none" w:sz="0" w:space="0" w:color="auto"/>
        <w:left w:val="none" w:sz="0" w:space="0" w:color="auto"/>
        <w:bottom w:val="none" w:sz="0" w:space="0" w:color="auto"/>
        <w:right w:val="none" w:sz="0" w:space="0" w:color="auto"/>
      </w:divBdr>
      <w:divsChild>
        <w:div w:id="511378943">
          <w:marLeft w:val="0"/>
          <w:marRight w:val="0"/>
          <w:marTop w:val="0"/>
          <w:marBottom w:val="0"/>
          <w:divBdr>
            <w:top w:val="none" w:sz="0" w:space="0" w:color="auto"/>
            <w:left w:val="none" w:sz="0" w:space="0" w:color="auto"/>
            <w:bottom w:val="none" w:sz="0" w:space="0" w:color="auto"/>
            <w:right w:val="none" w:sz="0" w:space="0" w:color="auto"/>
          </w:divBdr>
        </w:div>
      </w:divsChild>
    </w:div>
    <w:div w:id="716205616">
      <w:bodyDiv w:val="1"/>
      <w:marLeft w:val="0"/>
      <w:marRight w:val="0"/>
      <w:marTop w:val="0"/>
      <w:marBottom w:val="0"/>
      <w:divBdr>
        <w:top w:val="none" w:sz="0" w:space="0" w:color="auto"/>
        <w:left w:val="none" w:sz="0" w:space="0" w:color="auto"/>
        <w:bottom w:val="none" w:sz="0" w:space="0" w:color="auto"/>
        <w:right w:val="none" w:sz="0" w:space="0" w:color="auto"/>
      </w:divBdr>
      <w:divsChild>
        <w:div w:id="467668200">
          <w:marLeft w:val="0"/>
          <w:marRight w:val="0"/>
          <w:marTop w:val="0"/>
          <w:marBottom w:val="0"/>
          <w:divBdr>
            <w:top w:val="none" w:sz="0" w:space="0" w:color="auto"/>
            <w:left w:val="none" w:sz="0" w:space="0" w:color="auto"/>
            <w:bottom w:val="none" w:sz="0" w:space="0" w:color="auto"/>
            <w:right w:val="none" w:sz="0" w:space="0" w:color="auto"/>
          </w:divBdr>
        </w:div>
      </w:divsChild>
    </w:div>
    <w:div w:id="851337317">
      <w:bodyDiv w:val="1"/>
      <w:marLeft w:val="0"/>
      <w:marRight w:val="0"/>
      <w:marTop w:val="0"/>
      <w:marBottom w:val="0"/>
      <w:divBdr>
        <w:top w:val="none" w:sz="0" w:space="0" w:color="auto"/>
        <w:left w:val="none" w:sz="0" w:space="0" w:color="auto"/>
        <w:bottom w:val="none" w:sz="0" w:space="0" w:color="auto"/>
        <w:right w:val="none" w:sz="0" w:space="0" w:color="auto"/>
      </w:divBdr>
      <w:divsChild>
        <w:div w:id="561524617">
          <w:marLeft w:val="0"/>
          <w:marRight w:val="0"/>
          <w:marTop w:val="0"/>
          <w:marBottom w:val="0"/>
          <w:divBdr>
            <w:top w:val="none" w:sz="0" w:space="0" w:color="auto"/>
            <w:left w:val="none" w:sz="0" w:space="0" w:color="auto"/>
            <w:bottom w:val="none" w:sz="0" w:space="0" w:color="auto"/>
            <w:right w:val="none" w:sz="0" w:space="0" w:color="auto"/>
          </w:divBdr>
        </w:div>
      </w:divsChild>
    </w:div>
    <w:div w:id="1308969403">
      <w:bodyDiv w:val="1"/>
      <w:marLeft w:val="0"/>
      <w:marRight w:val="0"/>
      <w:marTop w:val="0"/>
      <w:marBottom w:val="0"/>
      <w:divBdr>
        <w:top w:val="none" w:sz="0" w:space="0" w:color="auto"/>
        <w:left w:val="none" w:sz="0" w:space="0" w:color="auto"/>
        <w:bottom w:val="none" w:sz="0" w:space="0" w:color="auto"/>
        <w:right w:val="none" w:sz="0" w:space="0" w:color="auto"/>
      </w:divBdr>
      <w:divsChild>
        <w:div w:id="446890566">
          <w:marLeft w:val="0"/>
          <w:marRight w:val="0"/>
          <w:marTop w:val="0"/>
          <w:marBottom w:val="0"/>
          <w:divBdr>
            <w:top w:val="none" w:sz="0" w:space="0" w:color="auto"/>
            <w:left w:val="none" w:sz="0" w:space="0" w:color="auto"/>
            <w:bottom w:val="none" w:sz="0" w:space="0" w:color="auto"/>
            <w:right w:val="none" w:sz="0" w:space="0" w:color="auto"/>
          </w:divBdr>
        </w:div>
      </w:divsChild>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 w:id="1666587505">
      <w:bodyDiv w:val="1"/>
      <w:marLeft w:val="0"/>
      <w:marRight w:val="0"/>
      <w:marTop w:val="0"/>
      <w:marBottom w:val="0"/>
      <w:divBdr>
        <w:top w:val="none" w:sz="0" w:space="0" w:color="auto"/>
        <w:left w:val="none" w:sz="0" w:space="0" w:color="auto"/>
        <w:bottom w:val="none" w:sz="0" w:space="0" w:color="auto"/>
        <w:right w:val="none" w:sz="0" w:space="0" w:color="auto"/>
      </w:divBdr>
      <w:divsChild>
        <w:div w:id="521287116">
          <w:marLeft w:val="0"/>
          <w:marRight w:val="0"/>
          <w:marTop w:val="0"/>
          <w:marBottom w:val="0"/>
          <w:divBdr>
            <w:top w:val="none" w:sz="0" w:space="0" w:color="auto"/>
            <w:left w:val="none" w:sz="0" w:space="0" w:color="auto"/>
            <w:bottom w:val="none" w:sz="0" w:space="0" w:color="auto"/>
            <w:right w:val="none" w:sz="0" w:space="0" w:color="auto"/>
          </w:divBdr>
        </w:div>
      </w:divsChild>
    </w:div>
    <w:div w:id="1810587177">
      <w:bodyDiv w:val="1"/>
      <w:marLeft w:val="0"/>
      <w:marRight w:val="0"/>
      <w:marTop w:val="0"/>
      <w:marBottom w:val="0"/>
      <w:divBdr>
        <w:top w:val="none" w:sz="0" w:space="0" w:color="auto"/>
        <w:left w:val="none" w:sz="0" w:space="0" w:color="auto"/>
        <w:bottom w:val="none" w:sz="0" w:space="0" w:color="auto"/>
        <w:right w:val="none" w:sz="0" w:space="0" w:color="auto"/>
      </w:divBdr>
      <w:divsChild>
        <w:div w:id="464739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ez.iiasa.ac.at/" TargetMode="External"/><Relationship Id="rId18" Type="http://schemas.openxmlformats.org/officeDocument/2006/relationships/hyperlink" Target="http://dx.doi.org/10.1371/journal.pone.023559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ddri.org/en/publications-and-events/study/agroecological-europe-2050-multifunctional-agriculture-healthy-eating" TargetMode="External"/><Relationship Id="rId7" Type="http://schemas.openxmlformats.org/officeDocument/2006/relationships/endnotes" Target="endnotes.xml"/><Relationship Id="rId12" Type="http://schemas.openxmlformats.org/officeDocument/2006/relationships/hyperlink" Target="http://www.fao.org/faostat/en/" TargetMode="External"/><Relationship Id="rId17" Type="http://schemas.openxmlformats.org/officeDocument/2006/relationships/hyperlink" Target="http://dx.doi.org/10.1029/2007GB002947"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35690/978-2-7592-2880-5" TargetMode="External"/><Relationship Id="rId20" Type="http://schemas.openxmlformats.org/officeDocument/2006/relationships/hyperlink" Target="http://dx.doi.org/10.1098/rspb.2014.139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agsy.2004.05.00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dx.doi.org/10.1073/pnas.1308149110" TargetMode="External"/><Relationship Id="rId23" Type="http://schemas.openxmlformats.org/officeDocument/2006/relationships/hyperlink" Target="http://dx.doi.org/10.1371/journal.pone.0107522"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dx.doi.org/10.1111/agec.1208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al.archives-ouvertes.fr/hal-01209961/document" TargetMode="External"/><Relationship Id="rId22" Type="http://schemas.openxmlformats.org/officeDocument/2006/relationships/hyperlink" Target="https://www.iddri.org/en/publications-and-events/study/agroecological-europe-2050-what-impact-land-use-trade-and-global-food"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8DE1C19-391F-4C05-9F8F-99EFA9157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0</TotalTime>
  <Pages>18</Pages>
  <Words>5281</Words>
  <Characters>29047</Characters>
  <Application>Microsoft Office Word</Application>
  <DocSecurity>0</DocSecurity>
  <Lines>242</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Michele SCHIAVO</cp:lastModifiedBy>
  <cp:revision>3</cp:revision>
  <cp:lastPrinted>2013-10-03T12:51:00Z</cp:lastPrinted>
  <dcterms:created xsi:type="dcterms:W3CDTF">2023-06-21T12:04:00Z</dcterms:created>
  <dcterms:modified xsi:type="dcterms:W3CDTF">2023-06-21T12:17:00Z</dcterms:modified>
</cp:coreProperties>
</file>