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48FB" w14:textId="55F93CD0" w:rsidR="00081B18" w:rsidRPr="00A73AC0" w:rsidRDefault="005A608E" w:rsidP="00A73AC0">
      <w:pPr>
        <w:spacing w:line="480" w:lineRule="auto"/>
        <w:jc w:val="center"/>
        <w:rPr>
          <w:rFonts w:ascii="Times New Roman" w:hAnsi="Times New Roman" w:cs="Times New Roman"/>
          <w:color w:val="000000"/>
          <w:szCs w:val="21"/>
        </w:rPr>
      </w:pPr>
      <w:bookmarkStart w:id="0" w:name="_Hlk124180902"/>
      <w:bookmarkEnd w:id="0"/>
      <w:r w:rsidRPr="00A73AC0">
        <w:rPr>
          <w:rFonts w:ascii="Times New Roman" w:hAnsi="Times New Roman" w:cs="Times New Roman"/>
          <w:color w:val="000000"/>
          <w:szCs w:val="21"/>
        </w:rPr>
        <w:t>Supplemental materials</w:t>
      </w:r>
    </w:p>
    <w:p w14:paraId="02FE9CFC" w14:textId="2C91D6C6" w:rsidR="0092391D" w:rsidRPr="00A73AC0" w:rsidRDefault="0092391D" w:rsidP="00A73AC0">
      <w:pPr>
        <w:spacing w:line="480" w:lineRule="auto"/>
        <w:jc w:val="center"/>
        <w:rPr>
          <w:rFonts w:ascii="Times New Roman" w:hAnsi="Times New Roman" w:cs="Times New Roman"/>
          <w:color w:val="000000"/>
          <w:szCs w:val="21"/>
        </w:rPr>
      </w:pPr>
      <w:r w:rsidRPr="00A73AC0">
        <w:rPr>
          <w:rFonts w:ascii="Times New Roman" w:hAnsi="Times New Roman" w:cs="Times New Roman"/>
          <w:color w:val="000000"/>
          <w:szCs w:val="21"/>
        </w:rPr>
        <w:t>Contents</w:t>
      </w:r>
    </w:p>
    <w:p w14:paraId="507BECE3" w14:textId="080A1BB1" w:rsidR="0092391D" w:rsidRPr="00A73AC0" w:rsidRDefault="0092391D" w:rsidP="00A73AC0">
      <w:pPr>
        <w:widowControl/>
        <w:spacing w:line="480" w:lineRule="auto"/>
        <w:jc w:val="center"/>
        <w:rPr>
          <w:rFonts w:ascii="Times New Roman" w:eastAsia="宋体" w:hAnsi="Times New Roman" w:cs="Times New Roman"/>
          <w:kern w:val="0"/>
          <w:szCs w:val="21"/>
        </w:rPr>
      </w:pPr>
      <w:r w:rsidRPr="00A73AC0">
        <w:rPr>
          <w:rFonts w:ascii="Times New Roman" w:eastAsia="宋体" w:hAnsi="Times New Roman" w:cs="Times New Roman"/>
          <w:color w:val="000000"/>
          <w:kern w:val="0"/>
          <w:szCs w:val="21"/>
        </w:rPr>
        <w:t>1.Search strategy...............................................................................................</w:t>
      </w:r>
      <w:r w:rsidR="00441974" w:rsidRPr="00A73AC0">
        <w:rPr>
          <w:rFonts w:ascii="Times New Roman" w:eastAsia="宋体" w:hAnsi="Times New Roman" w:cs="Times New Roman"/>
          <w:color w:val="000000"/>
          <w:kern w:val="0"/>
          <w:szCs w:val="21"/>
        </w:rPr>
        <w:t>.</w:t>
      </w:r>
      <w:r w:rsidRPr="00A73AC0">
        <w:rPr>
          <w:rFonts w:ascii="Times New Roman" w:eastAsia="宋体" w:hAnsi="Times New Roman" w:cs="Times New Roman"/>
          <w:color w:val="000000"/>
          <w:kern w:val="0"/>
          <w:szCs w:val="21"/>
        </w:rPr>
        <w:t>2</w:t>
      </w:r>
    </w:p>
    <w:p w14:paraId="6002A2BD" w14:textId="3BA61B58" w:rsidR="004B1154" w:rsidRPr="00A73AC0" w:rsidRDefault="004B1154" w:rsidP="00A73AC0">
      <w:pPr>
        <w:spacing w:line="480" w:lineRule="auto"/>
        <w:jc w:val="center"/>
        <w:rPr>
          <w:rFonts w:ascii="Times New Roman" w:hAnsi="Times New Roman" w:cs="Times New Roman"/>
          <w:bCs/>
          <w:szCs w:val="21"/>
        </w:rPr>
      </w:pPr>
      <w:r w:rsidRPr="00A73AC0">
        <w:rPr>
          <w:rFonts w:ascii="Times New Roman" w:eastAsia="宋体" w:hAnsi="Times New Roman" w:cs="Times New Roman"/>
          <w:color w:val="000000"/>
          <w:kern w:val="0"/>
          <w:szCs w:val="21"/>
        </w:rPr>
        <w:t>2.</w:t>
      </w:r>
      <w:r w:rsidRPr="00A73AC0">
        <w:rPr>
          <w:rFonts w:ascii="Times New Roman" w:eastAsia="宋体" w:hAnsi="Times New Roman" w:cs="Times New Roman"/>
          <w:bCs/>
          <w:szCs w:val="21"/>
        </w:rPr>
        <w:t>Data Synthesis</w:t>
      </w:r>
      <w:r w:rsidRPr="00A73AC0">
        <w:rPr>
          <w:rFonts w:ascii="Times New Roman" w:eastAsia="宋体" w:hAnsi="Times New Roman" w:cs="Times New Roman"/>
          <w:color w:val="000000"/>
          <w:kern w:val="0"/>
          <w:szCs w:val="21"/>
        </w:rPr>
        <w:t>...............................................................................................</w:t>
      </w:r>
      <w:r w:rsidR="00441974" w:rsidRPr="00A73AC0">
        <w:rPr>
          <w:rFonts w:ascii="Times New Roman" w:eastAsia="宋体" w:hAnsi="Times New Roman" w:cs="Times New Roman"/>
          <w:color w:val="000000"/>
          <w:kern w:val="0"/>
          <w:szCs w:val="21"/>
        </w:rPr>
        <w:t>..</w:t>
      </w:r>
      <w:r w:rsidR="000759BC">
        <w:rPr>
          <w:rFonts w:ascii="Times New Roman" w:eastAsia="宋体" w:hAnsi="Times New Roman" w:cs="Times New Roman"/>
          <w:color w:val="000000"/>
          <w:kern w:val="0"/>
          <w:szCs w:val="21"/>
        </w:rPr>
        <w:t>4</w:t>
      </w:r>
    </w:p>
    <w:p w14:paraId="3D3BAB2A" w14:textId="6D06923B" w:rsidR="0092391D" w:rsidRPr="00A73AC0" w:rsidRDefault="004B1154" w:rsidP="00A73AC0">
      <w:pPr>
        <w:widowControl/>
        <w:spacing w:line="480" w:lineRule="auto"/>
        <w:jc w:val="center"/>
        <w:rPr>
          <w:rFonts w:ascii="Times New Roman" w:eastAsia="宋体" w:hAnsi="Times New Roman" w:cs="Times New Roman"/>
          <w:kern w:val="0"/>
          <w:szCs w:val="21"/>
        </w:rPr>
      </w:pPr>
      <w:r w:rsidRPr="00A73AC0">
        <w:rPr>
          <w:rFonts w:ascii="Times New Roman" w:eastAsia="宋体" w:hAnsi="Times New Roman" w:cs="Times New Roman"/>
          <w:color w:val="000000"/>
          <w:kern w:val="0"/>
          <w:szCs w:val="21"/>
        </w:rPr>
        <w:t>3</w:t>
      </w:r>
      <w:r w:rsidR="0092391D" w:rsidRPr="00A73AC0">
        <w:rPr>
          <w:rFonts w:ascii="Times New Roman" w:eastAsia="宋体" w:hAnsi="Times New Roman" w:cs="Times New Roman"/>
          <w:color w:val="000000"/>
          <w:kern w:val="0"/>
          <w:szCs w:val="21"/>
        </w:rPr>
        <w:t>.The inclusion criteria......................................................................................</w:t>
      </w:r>
      <w:r w:rsidR="00441974" w:rsidRPr="00A73AC0">
        <w:rPr>
          <w:rFonts w:ascii="Times New Roman" w:eastAsia="宋体" w:hAnsi="Times New Roman" w:cs="Times New Roman"/>
          <w:color w:val="000000"/>
          <w:kern w:val="0"/>
          <w:szCs w:val="21"/>
        </w:rPr>
        <w:t>.</w:t>
      </w:r>
      <w:r w:rsidR="000759BC">
        <w:rPr>
          <w:rFonts w:ascii="Times New Roman" w:eastAsia="宋体" w:hAnsi="Times New Roman" w:cs="Times New Roman"/>
          <w:color w:val="000000"/>
          <w:kern w:val="0"/>
          <w:szCs w:val="21"/>
        </w:rPr>
        <w:t>5</w:t>
      </w:r>
    </w:p>
    <w:p w14:paraId="352236E9" w14:textId="10AF0A73" w:rsidR="0092391D" w:rsidRPr="00A73AC0" w:rsidRDefault="004B1154" w:rsidP="00A73AC0">
      <w:pPr>
        <w:widowControl/>
        <w:spacing w:line="480" w:lineRule="auto"/>
        <w:jc w:val="center"/>
        <w:rPr>
          <w:rFonts w:ascii="Times New Roman" w:eastAsia="宋体" w:hAnsi="Times New Roman" w:cs="Times New Roman"/>
          <w:kern w:val="0"/>
          <w:szCs w:val="21"/>
        </w:rPr>
      </w:pPr>
      <w:r w:rsidRPr="00A73AC0">
        <w:rPr>
          <w:rFonts w:ascii="Times New Roman" w:eastAsia="宋体" w:hAnsi="Times New Roman" w:cs="Times New Roman"/>
          <w:color w:val="000000"/>
          <w:kern w:val="0"/>
          <w:szCs w:val="21"/>
        </w:rPr>
        <w:t>4</w:t>
      </w:r>
      <w:r w:rsidR="0092391D" w:rsidRPr="00A73AC0">
        <w:rPr>
          <w:rFonts w:ascii="Times New Roman" w:eastAsia="宋体" w:hAnsi="Times New Roman" w:cs="Times New Roman"/>
          <w:color w:val="000000"/>
          <w:kern w:val="0"/>
          <w:szCs w:val="21"/>
        </w:rPr>
        <w:t>.Characteristics of included studies................................................................</w:t>
      </w:r>
      <w:r w:rsidR="00441974" w:rsidRPr="00A73AC0">
        <w:rPr>
          <w:rFonts w:ascii="Times New Roman" w:eastAsia="宋体" w:hAnsi="Times New Roman" w:cs="Times New Roman"/>
          <w:color w:val="000000"/>
          <w:kern w:val="0"/>
          <w:szCs w:val="21"/>
        </w:rPr>
        <w:t>..</w:t>
      </w:r>
      <w:r w:rsidR="000759BC">
        <w:rPr>
          <w:rFonts w:ascii="Times New Roman" w:eastAsia="宋体" w:hAnsi="Times New Roman" w:cs="Times New Roman"/>
          <w:color w:val="000000"/>
          <w:kern w:val="0"/>
          <w:szCs w:val="21"/>
        </w:rPr>
        <w:t>6</w:t>
      </w:r>
    </w:p>
    <w:p w14:paraId="7CA15B83" w14:textId="31694EF7" w:rsidR="0092391D" w:rsidRPr="00A73AC0" w:rsidRDefault="004B1154" w:rsidP="00A73AC0">
      <w:pPr>
        <w:widowControl/>
        <w:spacing w:line="480" w:lineRule="auto"/>
        <w:jc w:val="center"/>
        <w:rPr>
          <w:rFonts w:ascii="Times New Roman" w:eastAsia="宋体" w:hAnsi="Times New Roman" w:cs="Times New Roman"/>
          <w:kern w:val="0"/>
          <w:szCs w:val="21"/>
        </w:rPr>
      </w:pPr>
      <w:r w:rsidRPr="00A73AC0">
        <w:rPr>
          <w:rFonts w:ascii="Times New Roman" w:eastAsia="宋体" w:hAnsi="Times New Roman" w:cs="Times New Roman"/>
          <w:color w:val="000000"/>
          <w:kern w:val="0"/>
          <w:szCs w:val="21"/>
        </w:rPr>
        <w:t>5</w:t>
      </w:r>
      <w:r w:rsidR="0092391D" w:rsidRPr="00A73AC0">
        <w:rPr>
          <w:rFonts w:ascii="Times New Roman" w:eastAsia="宋体" w:hAnsi="Times New Roman" w:cs="Times New Roman"/>
          <w:color w:val="000000"/>
          <w:kern w:val="0"/>
          <w:szCs w:val="21"/>
        </w:rPr>
        <w:t>.Risk of bias in cohort study............................................................................</w:t>
      </w:r>
      <w:r w:rsidR="00441974" w:rsidRPr="00A73AC0">
        <w:rPr>
          <w:rFonts w:ascii="Times New Roman" w:eastAsia="宋体" w:hAnsi="Times New Roman" w:cs="Times New Roman"/>
          <w:color w:val="000000"/>
          <w:kern w:val="0"/>
          <w:szCs w:val="21"/>
        </w:rPr>
        <w:t>.</w:t>
      </w:r>
      <w:r w:rsidR="000759BC">
        <w:rPr>
          <w:rFonts w:ascii="Times New Roman" w:eastAsia="宋体" w:hAnsi="Times New Roman" w:cs="Times New Roman"/>
          <w:color w:val="000000"/>
          <w:kern w:val="0"/>
          <w:szCs w:val="21"/>
        </w:rPr>
        <w:t>6</w:t>
      </w:r>
    </w:p>
    <w:p w14:paraId="5540ACBF" w14:textId="79C88D8F" w:rsidR="0092391D" w:rsidRPr="00A73AC0" w:rsidRDefault="004B1154" w:rsidP="00A73AC0">
      <w:pPr>
        <w:widowControl/>
        <w:spacing w:line="480" w:lineRule="auto"/>
        <w:jc w:val="center"/>
        <w:rPr>
          <w:rFonts w:ascii="Times New Roman" w:eastAsia="宋体" w:hAnsi="Times New Roman" w:cs="Times New Roman"/>
          <w:kern w:val="0"/>
          <w:szCs w:val="21"/>
        </w:rPr>
      </w:pPr>
      <w:r w:rsidRPr="00A73AC0">
        <w:rPr>
          <w:rFonts w:ascii="Times New Roman" w:eastAsia="宋体" w:hAnsi="Times New Roman" w:cs="Times New Roman"/>
          <w:color w:val="000000"/>
          <w:kern w:val="0"/>
          <w:szCs w:val="21"/>
        </w:rPr>
        <w:t>6</w:t>
      </w:r>
      <w:r w:rsidR="0092391D" w:rsidRPr="00A73AC0">
        <w:rPr>
          <w:rFonts w:ascii="Times New Roman" w:eastAsia="宋体" w:hAnsi="Times New Roman" w:cs="Times New Roman"/>
          <w:color w:val="000000"/>
          <w:kern w:val="0"/>
          <w:szCs w:val="21"/>
        </w:rPr>
        <w:t>.Supplemental figure legend………………………………………………</w:t>
      </w:r>
      <w:proofErr w:type="gramStart"/>
      <w:r w:rsidR="0092391D" w:rsidRPr="00A73AC0">
        <w:rPr>
          <w:rFonts w:ascii="Times New Roman" w:eastAsia="宋体" w:hAnsi="Times New Roman" w:cs="Times New Roman"/>
          <w:color w:val="000000"/>
          <w:kern w:val="0"/>
          <w:szCs w:val="21"/>
        </w:rPr>
        <w:t>....</w:t>
      </w:r>
      <w:r w:rsidR="00441974" w:rsidRPr="00A73AC0">
        <w:rPr>
          <w:rFonts w:ascii="Times New Roman" w:eastAsia="宋体" w:hAnsi="Times New Roman" w:cs="Times New Roman"/>
          <w:color w:val="000000"/>
          <w:kern w:val="0"/>
          <w:szCs w:val="21"/>
        </w:rPr>
        <w:t>.</w:t>
      </w:r>
      <w:proofErr w:type="gramEnd"/>
      <w:r w:rsidR="00B94563">
        <w:rPr>
          <w:rFonts w:ascii="Times New Roman" w:eastAsia="宋体" w:hAnsi="Times New Roman" w:cs="Times New Roman"/>
          <w:color w:val="000000"/>
          <w:kern w:val="0"/>
          <w:szCs w:val="21"/>
        </w:rPr>
        <w:t>7</w:t>
      </w:r>
    </w:p>
    <w:p w14:paraId="4EB4FE20" w14:textId="7C5B757C" w:rsidR="00B53BC9" w:rsidRPr="00A73AC0" w:rsidRDefault="004B1154" w:rsidP="00A73AC0">
      <w:pPr>
        <w:spacing w:line="480" w:lineRule="auto"/>
        <w:jc w:val="center"/>
        <w:rPr>
          <w:rFonts w:ascii="Times New Roman" w:hAnsi="Times New Roman" w:cs="Times New Roman"/>
          <w:szCs w:val="21"/>
        </w:rPr>
      </w:pPr>
      <w:r w:rsidRPr="00A73AC0">
        <w:rPr>
          <w:rFonts w:ascii="Times New Roman" w:eastAsia="宋体" w:hAnsi="Times New Roman" w:cs="Times New Roman"/>
          <w:color w:val="000000"/>
          <w:kern w:val="0"/>
          <w:szCs w:val="21"/>
        </w:rPr>
        <w:t>7</w:t>
      </w:r>
      <w:r w:rsidR="00B53BC9" w:rsidRPr="00A73AC0">
        <w:rPr>
          <w:rFonts w:ascii="Times New Roman" w:eastAsia="宋体" w:hAnsi="Times New Roman" w:cs="Times New Roman"/>
          <w:color w:val="000000"/>
          <w:kern w:val="0"/>
          <w:szCs w:val="21"/>
        </w:rPr>
        <w:t>.Supplemental figure.......................................................................................</w:t>
      </w:r>
      <w:r w:rsidR="00441974" w:rsidRPr="00A73AC0">
        <w:rPr>
          <w:rFonts w:ascii="Times New Roman" w:eastAsia="宋体" w:hAnsi="Times New Roman" w:cs="Times New Roman"/>
          <w:color w:val="000000"/>
          <w:kern w:val="0"/>
          <w:szCs w:val="21"/>
        </w:rPr>
        <w:t>..</w:t>
      </w:r>
      <w:r w:rsidR="00B53BC9" w:rsidRPr="00A73AC0">
        <w:rPr>
          <w:rFonts w:ascii="Times New Roman" w:eastAsia="宋体" w:hAnsi="Times New Roman" w:cs="Times New Roman"/>
          <w:color w:val="000000"/>
          <w:kern w:val="0"/>
          <w:szCs w:val="21"/>
        </w:rPr>
        <w:t>7</w:t>
      </w:r>
    </w:p>
    <w:p w14:paraId="3659D4F4" w14:textId="13BE235E" w:rsidR="00B53BC9" w:rsidRPr="009E33ED" w:rsidRDefault="00B53BC9" w:rsidP="00EE567A">
      <w:pPr>
        <w:widowControl/>
        <w:spacing w:line="480" w:lineRule="auto"/>
        <w:rPr>
          <w:rFonts w:ascii="Times New Roman" w:hAnsi="Times New Roman" w:cs="Times New Roman"/>
          <w:color w:val="000000"/>
          <w:sz w:val="15"/>
          <w:szCs w:val="15"/>
        </w:rPr>
      </w:pPr>
      <w:r w:rsidRPr="00A73AC0">
        <w:rPr>
          <w:rFonts w:ascii="Times New Roman" w:eastAsia="宋体" w:hAnsi="Times New Roman" w:cs="Times New Roman"/>
          <w:color w:val="000000"/>
          <w:kern w:val="0"/>
          <w:szCs w:val="21"/>
        </w:rPr>
        <w:br w:type="page"/>
      </w:r>
      <w:r w:rsidRPr="009E33ED">
        <w:rPr>
          <w:rFonts w:ascii="Times New Roman" w:hAnsi="Times New Roman" w:cs="Times New Roman"/>
          <w:color w:val="000000"/>
          <w:sz w:val="15"/>
          <w:szCs w:val="15"/>
        </w:rPr>
        <w:lastRenderedPageBreak/>
        <w:t>Search strategy</w:t>
      </w:r>
    </w:p>
    <w:p w14:paraId="38739E44" w14:textId="2FE7E138" w:rsidR="00B53BC9" w:rsidRPr="009E33ED" w:rsidRDefault="00087AB5" w:rsidP="00087AB5">
      <w:pPr>
        <w:pStyle w:val="11"/>
        <w:spacing w:line="480" w:lineRule="auto"/>
        <w:ind w:firstLineChars="0" w:firstLine="0"/>
        <w:jc w:val="left"/>
        <w:rPr>
          <w:rFonts w:ascii="Times New Roman" w:hAnsi="Times New Roman"/>
          <w:sz w:val="15"/>
          <w:szCs w:val="15"/>
        </w:rPr>
      </w:pPr>
      <w:r>
        <w:rPr>
          <w:rFonts w:ascii="Times New Roman" w:hAnsi="Times New Roman"/>
          <w:sz w:val="15"/>
          <w:szCs w:val="15"/>
        </w:rPr>
        <w:t>1.</w:t>
      </w:r>
      <w:r w:rsidR="00B53BC9" w:rsidRPr="009E33ED">
        <w:rPr>
          <w:rFonts w:ascii="Times New Roman" w:hAnsi="Times New Roman"/>
          <w:sz w:val="15"/>
          <w:szCs w:val="15"/>
        </w:rPr>
        <w:t xml:space="preserve">Search strategy for </w:t>
      </w:r>
      <w:proofErr w:type="spellStart"/>
      <w:proofErr w:type="gramStart"/>
      <w:r w:rsidR="00B53BC9" w:rsidRPr="009E33ED">
        <w:rPr>
          <w:rFonts w:ascii="Times New Roman" w:hAnsi="Times New Roman"/>
          <w:sz w:val="15"/>
          <w:szCs w:val="15"/>
        </w:rPr>
        <w:t>Pubmed</w:t>
      </w:r>
      <w:proofErr w:type="spellEnd"/>
      <w:r w:rsidR="00B53BC9" w:rsidRPr="009E33ED">
        <w:rPr>
          <w:rFonts w:ascii="Times New Roman" w:hAnsi="Times New Roman"/>
          <w:sz w:val="15"/>
          <w:szCs w:val="15"/>
        </w:rPr>
        <w:t xml:space="preserve"> :</w:t>
      </w:r>
      <w:proofErr w:type="gramEnd"/>
    </w:p>
    <w:p w14:paraId="150DEFCA" w14:textId="62B6532E" w:rsidR="00B53BC9" w:rsidRPr="009E33ED" w:rsidRDefault="00B53BC9" w:rsidP="00B53BC9">
      <w:pPr>
        <w:spacing w:line="480" w:lineRule="auto"/>
        <w:rPr>
          <w:rStyle w:val="a3"/>
          <w:rFonts w:ascii="Times New Roman" w:eastAsia="宋体" w:hAnsi="Times New Roman" w:cs="Times New Roman"/>
          <w:b w:val="0"/>
          <w:bCs w:val="0"/>
          <w:color w:val="000000" w:themeColor="text1"/>
          <w:sz w:val="15"/>
          <w:szCs w:val="15"/>
          <w:shd w:val="clear" w:color="auto" w:fill="F6F6F6"/>
        </w:rPr>
      </w:pPr>
      <w:r w:rsidRPr="009E33ED">
        <w:rPr>
          <w:rStyle w:val="a3"/>
          <w:rFonts w:ascii="Times New Roman" w:eastAsia="Segoe UI" w:hAnsi="Times New Roman" w:cs="Times New Roman"/>
          <w:b w:val="0"/>
          <w:bCs w:val="0"/>
          <w:color w:val="000000" w:themeColor="text1"/>
          <w:sz w:val="15"/>
          <w:szCs w:val="15"/>
          <w:shd w:val="clear" w:color="auto" w:fill="F6F6F6"/>
        </w:rPr>
        <w:t>(((((((((((((((PD-1 checkpoints inhibitors[Title/Abstract]) OR (PD-1 blockade[Title/Abstract])) OR (Nivolumab[Title/Abstract])) OR (pembrolizumab[Title/Abstract])) OR (lambrolizumab[Title/Abstract])) OR (</w:t>
      </w:r>
      <w:proofErr w:type="spellStart"/>
      <w:r w:rsidRPr="009E33ED">
        <w:rPr>
          <w:rStyle w:val="a3"/>
          <w:rFonts w:ascii="Times New Roman" w:eastAsia="Segoe UI" w:hAnsi="Times New Roman" w:cs="Times New Roman"/>
          <w:b w:val="0"/>
          <w:bCs w:val="0"/>
          <w:color w:val="000000" w:themeColor="text1"/>
          <w:sz w:val="15"/>
          <w:szCs w:val="15"/>
          <w:shd w:val="clear" w:color="auto" w:fill="F6F6F6"/>
        </w:rPr>
        <w:t>sintilimab</w:t>
      </w:r>
      <w:proofErr w:type="spellEnd"/>
      <w:r w:rsidRPr="009E33ED">
        <w:rPr>
          <w:rStyle w:val="a3"/>
          <w:rFonts w:ascii="Times New Roman" w:eastAsia="Segoe UI" w:hAnsi="Times New Roman" w:cs="Times New Roman"/>
          <w:b w:val="0"/>
          <w:bCs w:val="0"/>
          <w:color w:val="000000" w:themeColor="text1"/>
          <w:sz w:val="15"/>
          <w:szCs w:val="15"/>
          <w:shd w:val="clear" w:color="auto" w:fill="F6F6F6"/>
        </w:rPr>
        <w:t>[Title/Abstract])) OR (</w:t>
      </w:r>
      <w:proofErr w:type="spellStart"/>
      <w:r w:rsidRPr="009E33ED">
        <w:rPr>
          <w:rStyle w:val="a3"/>
          <w:rFonts w:ascii="Times New Roman" w:eastAsia="Segoe UI" w:hAnsi="Times New Roman" w:cs="Times New Roman"/>
          <w:b w:val="0"/>
          <w:bCs w:val="0"/>
          <w:color w:val="000000" w:themeColor="text1"/>
          <w:sz w:val="15"/>
          <w:szCs w:val="15"/>
          <w:shd w:val="clear" w:color="auto" w:fill="F6F6F6"/>
        </w:rPr>
        <w:t>camrelizumab</w:t>
      </w:r>
      <w:proofErr w:type="spellEnd"/>
      <w:r w:rsidRPr="009E33ED">
        <w:rPr>
          <w:rStyle w:val="a3"/>
          <w:rFonts w:ascii="Times New Roman" w:eastAsia="Segoe UI" w:hAnsi="Times New Roman" w:cs="Times New Roman"/>
          <w:b w:val="0"/>
          <w:bCs w:val="0"/>
          <w:color w:val="000000" w:themeColor="text1"/>
          <w:sz w:val="15"/>
          <w:szCs w:val="15"/>
          <w:shd w:val="clear" w:color="auto" w:fill="F6F6F6"/>
        </w:rPr>
        <w:t>[Title/Abstract])) OR (</w:t>
      </w:r>
      <w:proofErr w:type="spellStart"/>
      <w:r w:rsidRPr="009E33ED">
        <w:rPr>
          <w:rStyle w:val="a3"/>
          <w:rFonts w:ascii="Times New Roman" w:eastAsia="Segoe UI" w:hAnsi="Times New Roman" w:cs="Times New Roman"/>
          <w:b w:val="0"/>
          <w:bCs w:val="0"/>
          <w:color w:val="000000" w:themeColor="text1"/>
          <w:sz w:val="15"/>
          <w:szCs w:val="15"/>
          <w:shd w:val="clear" w:color="auto" w:fill="F6F6F6"/>
        </w:rPr>
        <w:t>Cemiplimab</w:t>
      </w:r>
      <w:proofErr w:type="spellEnd"/>
      <w:r w:rsidRPr="009E33ED">
        <w:rPr>
          <w:rStyle w:val="a3"/>
          <w:rFonts w:ascii="Times New Roman" w:eastAsia="Segoe UI" w:hAnsi="Times New Roman" w:cs="Times New Roman"/>
          <w:b w:val="0"/>
          <w:bCs w:val="0"/>
          <w:color w:val="000000" w:themeColor="text1"/>
          <w:sz w:val="15"/>
          <w:szCs w:val="15"/>
          <w:shd w:val="clear" w:color="auto" w:fill="F6F6F6"/>
        </w:rPr>
        <w:t xml:space="preserve">[Title/Abstract])) OR (PD-L1 blockade[Title/Abstract])) OR (PD-L1 checkpoints </w:t>
      </w:r>
      <w:proofErr w:type="spellStart"/>
      <w:r w:rsidRPr="009E33ED">
        <w:rPr>
          <w:rStyle w:val="a3"/>
          <w:rFonts w:ascii="Times New Roman" w:eastAsia="Segoe UI" w:hAnsi="Times New Roman" w:cs="Times New Roman"/>
          <w:b w:val="0"/>
          <w:bCs w:val="0"/>
          <w:color w:val="000000" w:themeColor="text1"/>
          <w:sz w:val="15"/>
          <w:szCs w:val="15"/>
          <w:shd w:val="clear" w:color="auto" w:fill="F6F6F6"/>
        </w:rPr>
        <w:t>inhabitors</w:t>
      </w:r>
      <w:proofErr w:type="spellEnd"/>
      <w:r w:rsidRPr="009E33ED">
        <w:rPr>
          <w:rStyle w:val="a3"/>
          <w:rFonts w:ascii="Times New Roman" w:eastAsia="Segoe UI" w:hAnsi="Times New Roman" w:cs="Times New Roman"/>
          <w:b w:val="0"/>
          <w:bCs w:val="0"/>
          <w:color w:val="000000" w:themeColor="text1"/>
          <w:sz w:val="15"/>
          <w:szCs w:val="15"/>
          <w:shd w:val="clear" w:color="auto" w:fill="F6F6F6"/>
        </w:rPr>
        <w:t>[Title/Abstract])) OR (Atezolizumab[Title/Abstract])) OR (durvalumab[Title/Abstract])) OR (avelumab[Title/Abstract])) OR (</w:t>
      </w:r>
      <w:proofErr w:type="spellStart"/>
      <w:r w:rsidRPr="009E33ED">
        <w:rPr>
          <w:rStyle w:val="a3"/>
          <w:rFonts w:ascii="Times New Roman" w:eastAsia="Segoe UI" w:hAnsi="Times New Roman" w:cs="Times New Roman"/>
          <w:b w:val="0"/>
          <w:bCs w:val="0"/>
          <w:color w:val="000000" w:themeColor="text1"/>
          <w:sz w:val="15"/>
          <w:szCs w:val="15"/>
          <w:shd w:val="clear" w:color="auto" w:fill="F6F6F6"/>
        </w:rPr>
        <w:t>toripalimab</w:t>
      </w:r>
      <w:proofErr w:type="spellEnd"/>
      <w:r w:rsidRPr="009E33ED">
        <w:rPr>
          <w:rStyle w:val="a3"/>
          <w:rFonts w:ascii="Times New Roman" w:eastAsia="Segoe UI" w:hAnsi="Times New Roman" w:cs="Times New Roman"/>
          <w:b w:val="0"/>
          <w:bCs w:val="0"/>
          <w:color w:val="000000" w:themeColor="text1"/>
          <w:sz w:val="15"/>
          <w:szCs w:val="15"/>
          <w:shd w:val="clear" w:color="auto" w:fill="F6F6F6"/>
        </w:rPr>
        <w:t>[Title/Abstract])) OR (tislelizumab[Title/Abstract])) AND ((((((((stomach neoplasms[Title/Abstract]) OR (stomach carcinoma[Title/Abstract])) OR (stomach adenocarcinoma[Title/Abstract])) OR (stomach tumor[Title/Abstract])) OR (gastric carcinoma[Title/Abstract])) OR (gastric adenocarcinoma[Title/Abstract])) OR (gastric tumor[Title/Abstract])) OR (gastric cancer[Title/Abstract]))) AND ((((((((((((((neoadjuvant[Title/Abstract]) OR (neoadjuvant therapy[Title/Abstract])) OR (preoperative[Title/Abstract])) OR (</w:t>
      </w:r>
      <w:proofErr w:type="spellStart"/>
      <w:r w:rsidRPr="009E33ED">
        <w:rPr>
          <w:rStyle w:val="a3"/>
          <w:rFonts w:ascii="Times New Roman" w:eastAsia="Segoe UI" w:hAnsi="Times New Roman" w:cs="Times New Roman"/>
          <w:b w:val="0"/>
          <w:bCs w:val="0"/>
          <w:color w:val="000000" w:themeColor="text1"/>
          <w:sz w:val="15"/>
          <w:szCs w:val="15"/>
          <w:shd w:val="clear" w:color="auto" w:fill="F6F6F6"/>
        </w:rPr>
        <w:t>preoperation</w:t>
      </w:r>
      <w:proofErr w:type="spellEnd"/>
      <w:r w:rsidRPr="009E33ED">
        <w:rPr>
          <w:rStyle w:val="a3"/>
          <w:rFonts w:ascii="Times New Roman" w:eastAsia="Segoe UI" w:hAnsi="Times New Roman" w:cs="Times New Roman"/>
          <w:b w:val="0"/>
          <w:bCs w:val="0"/>
          <w:color w:val="000000" w:themeColor="text1"/>
          <w:sz w:val="15"/>
          <w:szCs w:val="15"/>
          <w:shd w:val="clear" w:color="auto" w:fill="F6F6F6"/>
        </w:rPr>
        <w:t>[Title/Abstract])) OR (pre-operation[Title/Abstract])) OR (pre-op[Title/Abstract])) OR (before the operation[Title/Abstract])) OR (before the surgery[Title/Abstract])) OR (before operations[Title/Abstract])) OR (before surgeries[Title/Abstract])) OR (prior to the operation[Title/Abstract])) OR (prior to the surgery[Title/Abstract])) OR (prior to operations[Title/Abstract])) OR (prior to surgeries[Title/Abstract]))</w:t>
      </w:r>
      <w:r w:rsidRPr="009E33ED">
        <w:rPr>
          <w:rStyle w:val="a3"/>
          <w:rFonts w:ascii="Times New Roman" w:eastAsia="宋体" w:hAnsi="Times New Roman" w:cs="Times New Roman"/>
          <w:b w:val="0"/>
          <w:bCs w:val="0"/>
          <w:color w:val="000000" w:themeColor="text1"/>
          <w:sz w:val="15"/>
          <w:szCs w:val="15"/>
          <w:shd w:val="clear" w:color="auto" w:fill="F6F6F6"/>
        </w:rPr>
        <w:t xml:space="preserve"> </w:t>
      </w:r>
    </w:p>
    <w:p w14:paraId="42FC8933" w14:textId="4968B6FD" w:rsidR="00B53BC9" w:rsidRPr="009E33ED" w:rsidRDefault="00087AB5" w:rsidP="00087AB5">
      <w:pPr>
        <w:pStyle w:val="11"/>
        <w:spacing w:line="480" w:lineRule="auto"/>
        <w:ind w:firstLineChars="0" w:firstLine="0"/>
        <w:jc w:val="left"/>
        <w:rPr>
          <w:rFonts w:ascii="Times New Roman" w:hAnsi="Times New Roman"/>
          <w:sz w:val="15"/>
          <w:szCs w:val="15"/>
        </w:rPr>
      </w:pPr>
      <w:r>
        <w:rPr>
          <w:rFonts w:ascii="Times New Roman" w:hAnsi="Times New Roman"/>
          <w:sz w:val="15"/>
          <w:szCs w:val="15"/>
        </w:rPr>
        <w:t>2.</w:t>
      </w:r>
      <w:r w:rsidR="00B53BC9" w:rsidRPr="009E33ED">
        <w:rPr>
          <w:rFonts w:ascii="Times New Roman" w:hAnsi="Times New Roman"/>
          <w:sz w:val="15"/>
          <w:szCs w:val="15"/>
        </w:rPr>
        <w:t xml:space="preserve">Search strategy for Web of science: </w:t>
      </w:r>
    </w:p>
    <w:p w14:paraId="2F0D7D39" w14:textId="79D314D9" w:rsidR="00B53BC9" w:rsidRPr="009E33ED" w:rsidRDefault="00B53BC9" w:rsidP="00B53BC9">
      <w:pPr>
        <w:spacing w:line="480" w:lineRule="auto"/>
        <w:rPr>
          <w:rStyle w:val="a3"/>
          <w:rFonts w:ascii="Times New Roman" w:eastAsia="Segoe UI" w:hAnsi="Times New Roman" w:cs="Times New Roman"/>
          <w:b w:val="0"/>
          <w:bCs w:val="0"/>
          <w:color w:val="212121"/>
          <w:sz w:val="15"/>
          <w:szCs w:val="15"/>
          <w:shd w:val="clear" w:color="auto" w:fill="F6F6F6"/>
        </w:rPr>
      </w:pPr>
      <w:r w:rsidRPr="009E33ED">
        <w:rPr>
          <w:rStyle w:val="a3"/>
          <w:rFonts w:ascii="Times New Roman" w:eastAsia="Segoe UI" w:hAnsi="Times New Roman" w:cs="Times New Roman"/>
          <w:b w:val="0"/>
          <w:bCs w:val="0"/>
          <w:color w:val="212121"/>
          <w:sz w:val="15"/>
          <w:szCs w:val="15"/>
          <w:shd w:val="clear" w:color="auto" w:fill="F6F6F6"/>
        </w:rPr>
        <w:t xml:space="preserve">TS=(immunotherapy OR PD-1 checkpoints inhibitors OR PD-1 blockade OR Nivolumab OR pembrolizumab OR lambrolizumab OR </w:t>
      </w:r>
      <w:proofErr w:type="spellStart"/>
      <w:r w:rsidRPr="009E33ED">
        <w:rPr>
          <w:rStyle w:val="a3"/>
          <w:rFonts w:ascii="Times New Roman" w:eastAsia="Segoe UI" w:hAnsi="Times New Roman" w:cs="Times New Roman"/>
          <w:b w:val="0"/>
          <w:bCs w:val="0"/>
          <w:color w:val="212121"/>
          <w:sz w:val="15"/>
          <w:szCs w:val="15"/>
          <w:shd w:val="clear" w:color="auto" w:fill="F6F6F6"/>
        </w:rPr>
        <w:t>sintilimab</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OR </w:t>
      </w:r>
      <w:proofErr w:type="spellStart"/>
      <w:r w:rsidRPr="009E33ED">
        <w:rPr>
          <w:rStyle w:val="a3"/>
          <w:rFonts w:ascii="Times New Roman" w:eastAsia="Segoe UI" w:hAnsi="Times New Roman" w:cs="Times New Roman"/>
          <w:b w:val="0"/>
          <w:bCs w:val="0"/>
          <w:color w:val="212121"/>
          <w:sz w:val="15"/>
          <w:szCs w:val="15"/>
          <w:shd w:val="clear" w:color="auto" w:fill="F6F6F6"/>
        </w:rPr>
        <w:t>camrelizumab</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OR </w:t>
      </w:r>
      <w:proofErr w:type="spellStart"/>
      <w:r w:rsidRPr="009E33ED">
        <w:rPr>
          <w:rStyle w:val="a3"/>
          <w:rFonts w:ascii="Times New Roman" w:eastAsia="Segoe UI" w:hAnsi="Times New Roman" w:cs="Times New Roman"/>
          <w:b w:val="0"/>
          <w:bCs w:val="0"/>
          <w:color w:val="212121"/>
          <w:sz w:val="15"/>
          <w:szCs w:val="15"/>
          <w:shd w:val="clear" w:color="auto" w:fill="F6F6F6"/>
        </w:rPr>
        <w:t>Cemiplimab</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OR PD-L1 blockade OR PD-L1 checkpoints </w:t>
      </w:r>
      <w:proofErr w:type="spellStart"/>
      <w:r w:rsidRPr="009E33ED">
        <w:rPr>
          <w:rStyle w:val="a3"/>
          <w:rFonts w:ascii="Times New Roman" w:eastAsia="Segoe UI" w:hAnsi="Times New Roman" w:cs="Times New Roman"/>
          <w:b w:val="0"/>
          <w:bCs w:val="0"/>
          <w:color w:val="212121"/>
          <w:sz w:val="15"/>
          <w:szCs w:val="15"/>
          <w:shd w:val="clear" w:color="auto" w:fill="F6F6F6"/>
        </w:rPr>
        <w:t>inhabitors</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OR Atezolizumab OR durvalumab OR avelumab OR </w:t>
      </w:r>
      <w:proofErr w:type="spellStart"/>
      <w:r w:rsidRPr="009E33ED">
        <w:rPr>
          <w:rStyle w:val="a3"/>
          <w:rFonts w:ascii="Times New Roman" w:eastAsia="Segoe UI" w:hAnsi="Times New Roman" w:cs="Times New Roman"/>
          <w:b w:val="0"/>
          <w:bCs w:val="0"/>
          <w:color w:val="212121"/>
          <w:sz w:val="15"/>
          <w:szCs w:val="15"/>
          <w:shd w:val="clear" w:color="auto" w:fill="F6F6F6"/>
        </w:rPr>
        <w:t>toripalimab</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OR tislelizumab) AND TS=(stomach neoplasms OR stomach carcinoma OR stomach adenocarcinoma OR stomach tumor OR gastric carcinoma OR gastric adenocarcinoma OR gastric tumor OR gastric cancer)</w:t>
      </w:r>
      <w:r w:rsidRPr="009E33ED">
        <w:rPr>
          <w:rStyle w:val="a3"/>
          <w:rFonts w:ascii="Times New Roman" w:eastAsia="宋体" w:hAnsi="Times New Roman" w:cs="Times New Roman"/>
          <w:b w:val="0"/>
          <w:bCs w:val="0"/>
          <w:color w:val="212121"/>
          <w:sz w:val="15"/>
          <w:szCs w:val="15"/>
          <w:shd w:val="clear" w:color="auto" w:fill="F6F6F6"/>
        </w:rPr>
        <w:t xml:space="preserve"> AND </w:t>
      </w:r>
      <w:r w:rsidRPr="009E33ED">
        <w:rPr>
          <w:rStyle w:val="a3"/>
          <w:rFonts w:ascii="Times New Roman" w:eastAsia="Segoe UI" w:hAnsi="Times New Roman" w:cs="Times New Roman"/>
          <w:b w:val="0"/>
          <w:bCs w:val="0"/>
          <w:color w:val="212121"/>
          <w:sz w:val="15"/>
          <w:szCs w:val="15"/>
          <w:shd w:val="clear" w:color="auto" w:fill="F6F6F6"/>
        </w:rPr>
        <w:t xml:space="preserve">TS=(neoadjuvant OR neoadjuvant therapy OR preoperative OR </w:t>
      </w:r>
      <w:proofErr w:type="spellStart"/>
      <w:r w:rsidRPr="009E33ED">
        <w:rPr>
          <w:rStyle w:val="a3"/>
          <w:rFonts w:ascii="Times New Roman" w:eastAsia="Segoe UI" w:hAnsi="Times New Roman" w:cs="Times New Roman"/>
          <w:b w:val="0"/>
          <w:bCs w:val="0"/>
          <w:color w:val="212121"/>
          <w:sz w:val="15"/>
          <w:szCs w:val="15"/>
          <w:shd w:val="clear" w:color="auto" w:fill="F6F6F6"/>
        </w:rPr>
        <w:t>preoperation</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OR pre-operation OR pre-op OR before the operation OR before the surgery OR before operations OR before surgeries OR prior to the operation OR prior to the surgery OR prior to operations OR prior to surgeries)</w:t>
      </w:r>
    </w:p>
    <w:p w14:paraId="6A482A5B" w14:textId="062F19DD" w:rsidR="00B53BC9" w:rsidRPr="00087AB5" w:rsidRDefault="00087AB5" w:rsidP="00087AB5">
      <w:pPr>
        <w:rPr>
          <w:rFonts w:ascii="Times New Roman" w:hAnsi="Times New Roman" w:cs="Times New Roman"/>
          <w:sz w:val="15"/>
          <w:szCs w:val="15"/>
        </w:rPr>
      </w:pPr>
      <w:r>
        <w:rPr>
          <w:rFonts w:ascii="Times New Roman" w:hAnsi="Times New Roman" w:cs="Times New Roman"/>
          <w:sz w:val="15"/>
          <w:szCs w:val="15"/>
        </w:rPr>
        <w:t>3.</w:t>
      </w:r>
      <w:r w:rsidR="00B53BC9" w:rsidRPr="00087AB5">
        <w:rPr>
          <w:rFonts w:ascii="Times New Roman" w:hAnsi="Times New Roman" w:cs="Times New Roman"/>
          <w:sz w:val="15"/>
          <w:szCs w:val="15"/>
        </w:rPr>
        <w:t xml:space="preserve">Search strategy for </w:t>
      </w:r>
      <w:r w:rsidR="00B53BC9" w:rsidRPr="00087AB5">
        <w:rPr>
          <w:rFonts w:ascii="Times New Roman" w:hAnsi="Times New Roman" w:cs="Times New Roman"/>
          <w:color w:val="212121"/>
          <w:sz w:val="15"/>
          <w:szCs w:val="15"/>
          <w:shd w:val="clear" w:color="auto" w:fill="FFFFFF"/>
        </w:rPr>
        <w:t>Cochrane CENTRAL</w:t>
      </w:r>
    </w:p>
    <w:p w14:paraId="31D3C810" w14:textId="51B00F4F" w:rsidR="00B53BC9" w:rsidRPr="009E33ED" w:rsidRDefault="00B53BC9" w:rsidP="000B0CC0">
      <w:pPr>
        <w:spacing w:line="480" w:lineRule="auto"/>
        <w:rPr>
          <w:rFonts w:ascii="Times New Roman" w:hAnsi="Times New Roman" w:cs="Times New Roman"/>
          <w:sz w:val="15"/>
          <w:szCs w:val="15"/>
        </w:rPr>
      </w:pPr>
      <w:r w:rsidRPr="009E33ED">
        <w:rPr>
          <w:rStyle w:val="a3"/>
          <w:rFonts w:ascii="Times New Roman" w:eastAsia="Segoe UI" w:hAnsi="Times New Roman" w:cs="Times New Roman"/>
          <w:b w:val="0"/>
          <w:bCs w:val="0"/>
          <w:color w:val="212121"/>
          <w:sz w:val="15"/>
          <w:szCs w:val="15"/>
          <w:shd w:val="clear" w:color="auto" w:fill="F6F6F6"/>
        </w:rPr>
        <w:t xml:space="preserve">(stomach neoplasms OR stomach carcinoma OR stomach adenocarcinoma OR stomach tumor OR gastric carcinoma OR gastric </w:t>
      </w:r>
      <w:r w:rsidRPr="009E33ED">
        <w:rPr>
          <w:rStyle w:val="a3"/>
          <w:rFonts w:ascii="Times New Roman" w:eastAsia="Segoe UI" w:hAnsi="Times New Roman" w:cs="Times New Roman"/>
          <w:b w:val="0"/>
          <w:bCs w:val="0"/>
          <w:color w:val="212121"/>
          <w:sz w:val="15"/>
          <w:szCs w:val="15"/>
          <w:shd w:val="clear" w:color="auto" w:fill="F6F6F6"/>
        </w:rPr>
        <w:lastRenderedPageBreak/>
        <w:t>adenocarcinoma OR gastric tumor OR gastric cancer):</w:t>
      </w:r>
      <w:proofErr w:type="spellStart"/>
      <w:r w:rsidRPr="009E33ED">
        <w:rPr>
          <w:rStyle w:val="a3"/>
          <w:rFonts w:ascii="Times New Roman" w:eastAsia="Segoe UI" w:hAnsi="Times New Roman" w:cs="Times New Roman"/>
          <w:b w:val="0"/>
          <w:bCs w:val="0"/>
          <w:color w:val="212121"/>
          <w:sz w:val="15"/>
          <w:szCs w:val="15"/>
          <w:shd w:val="clear" w:color="auto" w:fill="F6F6F6"/>
        </w:rPr>
        <w:t>ti,ab,kw</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AND (immunotherapy OR PD-1 checkpoints inhibitors OR PD-1 blockade OR Nivolumab OR pembrolizumab OR lambrolizumab OR </w:t>
      </w:r>
      <w:proofErr w:type="spellStart"/>
      <w:r w:rsidRPr="009E33ED">
        <w:rPr>
          <w:rStyle w:val="a3"/>
          <w:rFonts w:ascii="Times New Roman" w:eastAsia="Segoe UI" w:hAnsi="Times New Roman" w:cs="Times New Roman"/>
          <w:b w:val="0"/>
          <w:bCs w:val="0"/>
          <w:color w:val="212121"/>
          <w:sz w:val="15"/>
          <w:szCs w:val="15"/>
          <w:shd w:val="clear" w:color="auto" w:fill="F6F6F6"/>
        </w:rPr>
        <w:t>sintilimab</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OR </w:t>
      </w:r>
      <w:proofErr w:type="spellStart"/>
      <w:r w:rsidRPr="009E33ED">
        <w:rPr>
          <w:rStyle w:val="a3"/>
          <w:rFonts w:ascii="Times New Roman" w:eastAsia="Segoe UI" w:hAnsi="Times New Roman" w:cs="Times New Roman"/>
          <w:b w:val="0"/>
          <w:bCs w:val="0"/>
          <w:color w:val="212121"/>
          <w:sz w:val="15"/>
          <w:szCs w:val="15"/>
          <w:shd w:val="clear" w:color="auto" w:fill="F6F6F6"/>
        </w:rPr>
        <w:t>camrelizumab</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OR </w:t>
      </w:r>
      <w:proofErr w:type="spellStart"/>
      <w:r w:rsidRPr="009E33ED">
        <w:rPr>
          <w:rStyle w:val="a3"/>
          <w:rFonts w:ascii="Times New Roman" w:eastAsia="Segoe UI" w:hAnsi="Times New Roman" w:cs="Times New Roman"/>
          <w:b w:val="0"/>
          <w:bCs w:val="0"/>
          <w:color w:val="212121"/>
          <w:sz w:val="15"/>
          <w:szCs w:val="15"/>
          <w:shd w:val="clear" w:color="auto" w:fill="F6F6F6"/>
        </w:rPr>
        <w:t>Cemiplimab</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OR PD-L1 blockade OR PD-L1 checkpoints </w:t>
      </w:r>
      <w:proofErr w:type="spellStart"/>
      <w:r w:rsidRPr="009E33ED">
        <w:rPr>
          <w:rStyle w:val="a3"/>
          <w:rFonts w:ascii="Times New Roman" w:eastAsia="Segoe UI" w:hAnsi="Times New Roman" w:cs="Times New Roman"/>
          <w:b w:val="0"/>
          <w:bCs w:val="0"/>
          <w:color w:val="212121"/>
          <w:sz w:val="15"/>
          <w:szCs w:val="15"/>
          <w:shd w:val="clear" w:color="auto" w:fill="F6F6F6"/>
        </w:rPr>
        <w:t>inhabitors</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OR Atezolizumab OR durvalumab OR avelumab OR </w:t>
      </w:r>
      <w:proofErr w:type="spellStart"/>
      <w:r w:rsidRPr="009E33ED">
        <w:rPr>
          <w:rStyle w:val="a3"/>
          <w:rFonts w:ascii="Times New Roman" w:eastAsia="Segoe UI" w:hAnsi="Times New Roman" w:cs="Times New Roman"/>
          <w:b w:val="0"/>
          <w:bCs w:val="0"/>
          <w:color w:val="212121"/>
          <w:sz w:val="15"/>
          <w:szCs w:val="15"/>
          <w:shd w:val="clear" w:color="auto" w:fill="F6F6F6"/>
        </w:rPr>
        <w:t>toripalimab</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OR tislelizumab):</w:t>
      </w:r>
      <w:proofErr w:type="spellStart"/>
      <w:r w:rsidRPr="009E33ED">
        <w:rPr>
          <w:rStyle w:val="a3"/>
          <w:rFonts w:ascii="Times New Roman" w:eastAsia="Segoe UI" w:hAnsi="Times New Roman" w:cs="Times New Roman"/>
          <w:b w:val="0"/>
          <w:bCs w:val="0"/>
          <w:color w:val="212121"/>
          <w:sz w:val="15"/>
          <w:szCs w:val="15"/>
          <w:shd w:val="clear" w:color="auto" w:fill="F6F6F6"/>
        </w:rPr>
        <w:t>ti,ab,kw</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AND (neoadjuvant OR neoadjuvant therapy OR preoperative OR </w:t>
      </w:r>
      <w:proofErr w:type="spellStart"/>
      <w:r w:rsidRPr="009E33ED">
        <w:rPr>
          <w:rStyle w:val="a3"/>
          <w:rFonts w:ascii="Times New Roman" w:eastAsia="Segoe UI" w:hAnsi="Times New Roman" w:cs="Times New Roman"/>
          <w:b w:val="0"/>
          <w:bCs w:val="0"/>
          <w:color w:val="212121"/>
          <w:sz w:val="15"/>
          <w:szCs w:val="15"/>
          <w:shd w:val="clear" w:color="auto" w:fill="F6F6F6"/>
        </w:rPr>
        <w:t>preoperation</w:t>
      </w:r>
      <w:proofErr w:type="spellEnd"/>
      <w:r w:rsidRPr="009E33ED">
        <w:rPr>
          <w:rStyle w:val="a3"/>
          <w:rFonts w:ascii="Times New Roman" w:eastAsia="Segoe UI" w:hAnsi="Times New Roman" w:cs="Times New Roman"/>
          <w:b w:val="0"/>
          <w:bCs w:val="0"/>
          <w:color w:val="212121"/>
          <w:sz w:val="15"/>
          <w:szCs w:val="15"/>
          <w:shd w:val="clear" w:color="auto" w:fill="F6F6F6"/>
        </w:rPr>
        <w:t xml:space="preserve"> OR pre-operation OR pre-op OR before the operation OR before the surgery OR before operations OR before surgeries OR prior to the operation OR prior to the surgery OR prior to operations OR prior to surgeries):</w:t>
      </w:r>
      <w:proofErr w:type="spellStart"/>
      <w:r w:rsidRPr="009E33ED">
        <w:rPr>
          <w:rStyle w:val="a3"/>
          <w:rFonts w:ascii="Times New Roman" w:eastAsia="Segoe UI" w:hAnsi="Times New Roman" w:cs="Times New Roman"/>
          <w:b w:val="0"/>
          <w:bCs w:val="0"/>
          <w:color w:val="212121"/>
          <w:sz w:val="15"/>
          <w:szCs w:val="15"/>
          <w:shd w:val="clear" w:color="auto" w:fill="F6F6F6"/>
        </w:rPr>
        <w:t>ti,ab,kw</w:t>
      </w:r>
      <w:proofErr w:type="spellEnd"/>
    </w:p>
    <w:p w14:paraId="17CE309C" w14:textId="5558294E" w:rsidR="004B1154" w:rsidRPr="009E33ED" w:rsidRDefault="004B1154">
      <w:pPr>
        <w:widowControl/>
        <w:jc w:val="left"/>
        <w:rPr>
          <w:rFonts w:ascii="Times New Roman" w:eastAsia="宋体" w:hAnsi="Times New Roman" w:cs="Times New Roman"/>
          <w:color w:val="000000" w:themeColor="text1"/>
          <w:kern w:val="0"/>
          <w:sz w:val="15"/>
          <w:szCs w:val="15"/>
        </w:rPr>
      </w:pPr>
    </w:p>
    <w:p w14:paraId="46222C97" w14:textId="77777777" w:rsidR="00F566F6" w:rsidRDefault="00F566F6" w:rsidP="000B0CC0">
      <w:pPr>
        <w:spacing w:line="480" w:lineRule="auto"/>
        <w:rPr>
          <w:rFonts w:ascii="Times New Roman" w:eastAsia="宋体" w:hAnsi="Times New Roman" w:cs="Times New Roman"/>
          <w:b/>
          <w:sz w:val="15"/>
          <w:szCs w:val="15"/>
        </w:rPr>
      </w:pPr>
    </w:p>
    <w:p w14:paraId="5A1B6079" w14:textId="77777777" w:rsidR="00F566F6" w:rsidRDefault="00F566F6" w:rsidP="000B0CC0">
      <w:pPr>
        <w:spacing w:line="480" w:lineRule="auto"/>
        <w:rPr>
          <w:rFonts w:ascii="Times New Roman" w:eastAsia="宋体" w:hAnsi="Times New Roman" w:cs="Times New Roman"/>
          <w:b/>
          <w:sz w:val="15"/>
          <w:szCs w:val="15"/>
        </w:rPr>
      </w:pPr>
    </w:p>
    <w:p w14:paraId="267F9697" w14:textId="77777777" w:rsidR="00F566F6" w:rsidRDefault="00F566F6" w:rsidP="000B0CC0">
      <w:pPr>
        <w:spacing w:line="480" w:lineRule="auto"/>
        <w:rPr>
          <w:rFonts w:ascii="Times New Roman" w:eastAsia="宋体" w:hAnsi="Times New Roman" w:cs="Times New Roman"/>
          <w:b/>
          <w:sz w:val="15"/>
          <w:szCs w:val="15"/>
        </w:rPr>
      </w:pPr>
    </w:p>
    <w:p w14:paraId="0E9932CA" w14:textId="77777777" w:rsidR="00F566F6" w:rsidRDefault="00F566F6" w:rsidP="000B0CC0">
      <w:pPr>
        <w:spacing w:line="480" w:lineRule="auto"/>
        <w:rPr>
          <w:rFonts w:ascii="Times New Roman" w:eastAsia="宋体" w:hAnsi="Times New Roman" w:cs="Times New Roman"/>
          <w:b/>
          <w:sz w:val="15"/>
          <w:szCs w:val="15"/>
        </w:rPr>
      </w:pPr>
    </w:p>
    <w:p w14:paraId="3C5E3A78" w14:textId="77777777" w:rsidR="00F566F6" w:rsidRDefault="00F566F6" w:rsidP="000B0CC0">
      <w:pPr>
        <w:spacing w:line="480" w:lineRule="auto"/>
        <w:rPr>
          <w:rFonts w:ascii="Times New Roman" w:eastAsia="宋体" w:hAnsi="Times New Roman" w:cs="Times New Roman"/>
          <w:b/>
          <w:sz w:val="15"/>
          <w:szCs w:val="15"/>
        </w:rPr>
      </w:pPr>
    </w:p>
    <w:p w14:paraId="44BF6A60" w14:textId="77777777" w:rsidR="00F566F6" w:rsidRDefault="00F566F6" w:rsidP="000B0CC0">
      <w:pPr>
        <w:spacing w:line="480" w:lineRule="auto"/>
        <w:rPr>
          <w:rFonts w:ascii="Times New Roman" w:eastAsia="宋体" w:hAnsi="Times New Roman" w:cs="Times New Roman"/>
          <w:b/>
          <w:sz w:val="15"/>
          <w:szCs w:val="15"/>
        </w:rPr>
      </w:pPr>
    </w:p>
    <w:p w14:paraId="630AE6EC" w14:textId="77777777" w:rsidR="00F566F6" w:rsidRDefault="00F566F6" w:rsidP="000B0CC0">
      <w:pPr>
        <w:spacing w:line="480" w:lineRule="auto"/>
        <w:rPr>
          <w:rFonts w:ascii="Times New Roman" w:eastAsia="宋体" w:hAnsi="Times New Roman" w:cs="Times New Roman"/>
          <w:b/>
          <w:sz w:val="15"/>
          <w:szCs w:val="15"/>
        </w:rPr>
      </w:pPr>
    </w:p>
    <w:p w14:paraId="1143BB01" w14:textId="77777777" w:rsidR="00F566F6" w:rsidRDefault="00F566F6" w:rsidP="000B0CC0">
      <w:pPr>
        <w:spacing w:line="480" w:lineRule="auto"/>
        <w:rPr>
          <w:rFonts w:ascii="Times New Roman" w:eastAsia="宋体" w:hAnsi="Times New Roman" w:cs="Times New Roman"/>
          <w:b/>
          <w:sz w:val="15"/>
          <w:szCs w:val="15"/>
        </w:rPr>
      </w:pPr>
    </w:p>
    <w:p w14:paraId="6AA3F947" w14:textId="77777777" w:rsidR="00F566F6" w:rsidRDefault="00F566F6" w:rsidP="000B0CC0">
      <w:pPr>
        <w:spacing w:line="480" w:lineRule="auto"/>
        <w:rPr>
          <w:rFonts w:ascii="Times New Roman" w:eastAsia="宋体" w:hAnsi="Times New Roman" w:cs="Times New Roman"/>
          <w:b/>
          <w:sz w:val="15"/>
          <w:szCs w:val="15"/>
        </w:rPr>
      </w:pPr>
    </w:p>
    <w:p w14:paraId="0110F40B" w14:textId="77777777" w:rsidR="00F566F6" w:rsidRDefault="00F566F6" w:rsidP="000B0CC0">
      <w:pPr>
        <w:spacing w:line="480" w:lineRule="auto"/>
        <w:rPr>
          <w:rFonts w:ascii="Times New Roman" w:eastAsia="宋体" w:hAnsi="Times New Roman" w:cs="Times New Roman"/>
          <w:b/>
          <w:sz w:val="15"/>
          <w:szCs w:val="15"/>
        </w:rPr>
      </w:pPr>
    </w:p>
    <w:p w14:paraId="76BF9F79" w14:textId="77777777" w:rsidR="00F566F6" w:rsidRDefault="00F566F6" w:rsidP="000B0CC0">
      <w:pPr>
        <w:spacing w:line="480" w:lineRule="auto"/>
        <w:rPr>
          <w:rFonts w:ascii="Times New Roman" w:eastAsia="宋体" w:hAnsi="Times New Roman" w:cs="Times New Roman"/>
          <w:b/>
          <w:sz w:val="15"/>
          <w:szCs w:val="15"/>
        </w:rPr>
      </w:pPr>
    </w:p>
    <w:p w14:paraId="6843F7AF" w14:textId="77777777" w:rsidR="00F566F6" w:rsidRDefault="00F566F6" w:rsidP="000B0CC0">
      <w:pPr>
        <w:spacing w:line="480" w:lineRule="auto"/>
        <w:rPr>
          <w:rFonts w:ascii="Times New Roman" w:eastAsia="宋体" w:hAnsi="Times New Roman" w:cs="Times New Roman"/>
          <w:b/>
          <w:sz w:val="15"/>
          <w:szCs w:val="15"/>
        </w:rPr>
      </w:pPr>
    </w:p>
    <w:p w14:paraId="1BAA09B9" w14:textId="77777777" w:rsidR="00F566F6" w:rsidRDefault="00F566F6" w:rsidP="000B0CC0">
      <w:pPr>
        <w:spacing w:line="480" w:lineRule="auto"/>
        <w:rPr>
          <w:rFonts w:ascii="Times New Roman" w:eastAsia="宋体" w:hAnsi="Times New Roman" w:cs="Times New Roman"/>
          <w:b/>
          <w:sz w:val="15"/>
          <w:szCs w:val="15"/>
        </w:rPr>
      </w:pPr>
    </w:p>
    <w:p w14:paraId="7129B690" w14:textId="77777777" w:rsidR="00F566F6" w:rsidRDefault="00F566F6" w:rsidP="000B0CC0">
      <w:pPr>
        <w:spacing w:line="480" w:lineRule="auto"/>
        <w:rPr>
          <w:rFonts w:ascii="Times New Roman" w:eastAsia="宋体" w:hAnsi="Times New Roman" w:cs="Times New Roman"/>
          <w:b/>
          <w:sz w:val="15"/>
          <w:szCs w:val="15"/>
        </w:rPr>
      </w:pPr>
    </w:p>
    <w:p w14:paraId="056D7ECF" w14:textId="77777777" w:rsidR="00F566F6" w:rsidRDefault="00F566F6" w:rsidP="000B0CC0">
      <w:pPr>
        <w:spacing w:line="480" w:lineRule="auto"/>
        <w:rPr>
          <w:rFonts w:ascii="Times New Roman" w:eastAsia="宋体" w:hAnsi="Times New Roman" w:cs="Times New Roman"/>
          <w:b/>
          <w:sz w:val="15"/>
          <w:szCs w:val="15"/>
        </w:rPr>
      </w:pPr>
    </w:p>
    <w:p w14:paraId="11343196" w14:textId="77777777" w:rsidR="00F566F6" w:rsidRDefault="00F566F6" w:rsidP="000B0CC0">
      <w:pPr>
        <w:spacing w:line="480" w:lineRule="auto"/>
        <w:rPr>
          <w:rFonts w:ascii="Times New Roman" w:eastAsia="宋体" w:hAnsi="Times New Roman" w:cs="Times New Roman"/>
          <w:b/>
          <w:sz w:val="15"/>
          <w:szCs w:val="15"/>
        </w:rPr>
      </w:pPr>
    </w:p>
    <w:p w14:paraId="68778EC9" w14:textId="54A6771B" w:rsidR="000B0CC0" w:rsidRPr="009E33ED" w:rsidRDefault="000B0CC0" w:rsidP="000B0CC0">
      <w:pPr>
        <w:spacing w:line="480" w:lineRule="auto"/>
        <w:rPr>
          <w:rFonts w:ascii="Times New Roman" w:eastAsia="宋体" w:hAnsi="Times New Roman" w:cs="Times New Roman"/>
          <w:b/>
          <w:sz w:val="15"/>
          <w:szCs w:val="15"/>
        </w:rPr>
      </w:pPr>
      <w:r w:rsidRPr="009E33ED">
        <w:rPr>
          <w:rFonts w:ascii="Times New Roman" w:eastAsia="宋体" w:hAnsi="Times New Roman" w:cs="Times New Roman"/>
          <w:b/>
          <w:sz w:val="15"/>
          <w:szCs w:val="15"/>
        </w:rPr>
        <w:lastRenderedPageBreak/>
        <w:t>Data Synthesis</w:t>
      </w:r>
      <w:r w:rsidRPr="009E33ED">
        <w:rPr>
          <w:rFonts w:ascii="Times New Roman" w:eastAsia="宋体" w:hAnsi="Times New Roman" w:cs="Times New Roman"/>
          <w:b/>
          <w:sz w:val="15"/>
          <w:szCs w:val="15"/>
        </w:rPr>
        <w:t>：</w:t>
      </w:r>
    </w:p>
    <w:p w14:paraId="424D4022" w14:textId="6354C5C8" w:rsidR="00EB1668" w:rsidRPr="00751758" w:rsidRDefault="000B0CC0" w:rsidP="00023B64">
      <w:pPr>
        <w:spacing w:line="480" w:lineRule="auto"/>
        <w:rPr>
          <w:rFonts w:ascii="Times New Roman" w:hAnsi="Times New Roman" w:cs="Times New Roman"/>
          <w:i/>
          <w:sz w:val="15"/>
          <w:szCs w:val="15"/>
        </w:rPr>
      </w:pPr>
      <w:r w:rsidRPr="009E33ED">
        <w:rPr>
          <w:rFonts w:ascii="Times New Roman" w:hAnsi="Times New Roman" w:cs="Times New Roman"/>
          <w:sz w:val="15"/>
          <w:szCs w:val="15"/>
        </w:rPr>
        <w:t>Pathological complete response (</w:t>
      </w:r>
      <w:proofErr w:type="spellStart"/>
      <w:r w:rsidRPr="009E33ED">
        <w:rPr>
          <w:rFonts w:ascii="Times New Roman" w:hAnsi="Times New Roman" w:cs="Times New Roman"/>
          <w:sz w:val="15"/>
          <w:szCs w:val="15"/>
        </w:rPr>
        <w:t>pCR</w:t>
      </w:r>
      <w:proofErr w:type="spellEnd"/>
      <w:r w:rsidRPr="009E33ED">
        <w:rPr>
          <w:rFonts w:ascii="Times New Roman" w:hAnsi="Times New Roman" w:cs="Times New Roman"/>
          <w:sz w:val="15"/>
          <w:szCs w:val="15"/>
        </w:rPr>
        <w:t>) and major pathologic response (MPR) were used to evaluate the efficacy of neoadjuvant immunotherapy. Safety of neoadjuvant immunotherapy assessed by the incidence of grade 3-4 TRAEs and surgical complications. When the results of the included studies do not accord with the normal distribution, it is necessary to perform Freeman-Tukey double-arcsine transformation for raw incidence rates</w:t>
      </w:r>
      <w:r w:rsidR="005812A3">
        <w:rPr>
          <w:rFonts w:ascii="Times New Roman" w:hAnsi="Times New Roman" w:cs="Times New Roman"/>
          <w:sz w:val="15"/>
          <w:szCs w:val="15"/>
        </w:rPr>
        <w:fldChar w:fldCharType="begin"/>
      </w:r>
      <w:r w:rsidR="005812A3">
        <w:rPr>
          <w:rFonts w:ascii="Times New Roman" w:hAnsi="Times New Roman" w:cs="Times New Roman"/>
          <w:sz w:val="15"/>
          <w:szCs w:val="15"/>
        </w:rPr>
        <w:instrText xml:space="preserve"> ADDIN NE.Ref.{585EEDEA-A8BE-4564-ADE7-C16C3D879001}</w:instrText>
      </w:r>
      <w:r w:rsidR="005812A3">
        <w:rPr>
          <w:rFonts w:ascii="Times New Roman" w:hAnsi="Times New Roman" w:cs="Times New Roman"/>
          <w:sz w:val="15"/>
          <w:szCs w:val="15"/>
        </w:rPr>
        <w:fldChar w:fldCharType="separate"/>
      </w:r>
      <w:r w:rsidR="00E12960">
        <w:rPr>
          <w:rFonts w:ascii="Times New Roman" w:hAnsi="Times New Roman" w:cs="Times New Roman"/>
          <w:color w:val="000000"/>
          <w:kern w:val="0"/>
          <w:sz w:val="15"/>
          <w:szCs w:val="15"/>
          <w:vertAlign w:val="superscript"/>
        </w:rPr>
        <w:t>1</w:t>
      </w:r>
      <w:r w:rsidR="005812A3">
        <w:rPr>
          <w:rFonts w:ascii="Times New Roman" w:hAnsi="Times New Roman" w:cs="Times New Roman"/>
          <w:sz w:val="15"/>
          <w:szCs w:val="15"/>
        </w:rPr>
        <w:fldChar w:fldCharType="end"/>
      </w:r>
      <w:r w:rsidRPr="009E33ED">
        <w:rPr>
          <w:rFonts w:ascii="Times New Roman" w:hAnsi="Times New Roman" w:cs="Times New Roman"/>
          <w:sz w:val="15"/>
          <w:szCs w:val="15"/>
        </w:rPr>
        <w:t>.</w:t>
      </w:r>
      <w:r w:rsidR="005812A3" w:rsidRPr="009E33ED">
        <w:rPr>
          <w:rFonts w:ascii="Times New Roman" w:hAnsi="Times New Roman" w:cs="Times New Roman"/>
          <w:sz w:val="15"/>
          <w:szCs w:val="15"/>
        </w:rPr>
        <w:t xml:space="preserve"> </w:t>
      </w:r>
      <w:r w:rsidRPr="009E33ED">
        <w:rPr>
          <w:rFonts w:ascii="Times New Roman" w:hAnsi="Times New Roman" w:cs="Times New Roman"/>
          <w:sz w:val="15"/>
          <w:szCs w:val="15"/>
        </w:rPr>
        <w:t xml:space="preserve">The calculation of the effect index (P) and its standard error SE (P) of non-comparative binary outcomes was performed according to the formula: P=ln(odds)=ln(X/(n–X)). SE(P)= </w:t>
      </w:r>
      <w:proofErr w:type="gramStart"/>
      <w:r w:rsidRPr="009E33ED">
        <w:rPr>
          <w:rFonts w:ascii="Times New Roman" w:hAnsi="Times New Roman" w:cs="Times New Roman"/>
          <w:sz w:val="15"/>
          <w:szCs w:val="15"/>
        </w:rPr>
        <w:t>SE(</w:t>
      </w:r>
      <w:proofErr w:type="gramEnd"/>
      <w:r w:rsidRPr="009E33ED">
        <w:rPr>
          <w:rFonts w:ascii="Times New Roman" w:hAnsi="Times New Roman" w:cs="Times New Roman"/>
          <w:sz w:val="15"/>
          <w:szCs w:val="15"/>
        </w:rPr>
        <w:t>ln(odds)) =</w:t>
      </w:r>
      <m:oMath>
        <m:rad>
          <m:radPr>
            <m:degHide m:val="1"/>
            <m:ctrlPr>
              <w:rPr>
                <w:rFonts w:ascii="Cambria Math" w:hAnsi="Cambria Math" w:cs="Times New Roman"/>
                <w:i/>
                <w:noProof/>
                <w:sz w:val="15"/>
                <w:szCs w:val="15"/>
              </w:rPr>
            </m:ctrlPr>
          </m:radPr>
          <m:deg/>
          <m:e>
            <m:f>
              <m:fPr>
                <m:type m:val="lin"/>
                <m:ctrlPr>
                  <w:rPr>
                    <w:rFonts w:ascii="Cambria Math" w:hAnsi="Cambria Math" w:cs="Times New Roman"/>
                    <w:i/>
                    <w:noProof/>
                    <w:sz w:val="15"/>
                    <w:szCs w:val="15"/>
                  </w:rPr>
                </m:ctrlPr>
              </m:fPr>
              <m:num>
                <m:r>
                  <w:rPr>
                    <w:rFonts w:ascii="Cambria Math" w:hAnsi="Cambria Math" w:cs="Times New Roman"/>
                    <w:noProof/>
                    <w:sz w:val="15"/>
                    <w:szCs w:val="15"/>
                  </w:rPr>
                  <m:t>1</m:t>
                </m:r>
              </m:num>
              <m:den>
                <m:r>
                  <w:rPr>
                    <w:rFonts w:ascii="Cambria Math" w:hAnsi="Cambria Math" w:cs="Times New Roman"/>
                    <w:noProof/>
                    <w:sz w:val="15"/>
                    <w:szCs w:val="15"/>
                  </w:rPr>
                  <m:t>X+</m:t>
                </m:r>
                <m:f>
                  <m:fPr>
                    <m:type m:val="lin"/>
                    <m:ctrlPr>
                      <w:rPr>
                        <w:rFonts w:ascii="Cambria Math" w:hAnsi="Cambria Math" w:cs="Times New Roman"/>
                        <w:i/>
                        <w:noProof/>
                        <w:sz w:val="15"/>
                        <w:szCs w:val="15"/>
                      </w:rPr>
                    </m:ctrlPr>
                  </m:fPr>
                  <m:num>
                    <m:r>
                      <w:rPr>
                        <w:rFonts w:ascii="Cambria Math" w:hAnsi="Cambria Math" w:cs="Times New Roman"/>
                        <w:noProof/>
                        <w:sz w:val="15"/>
                        <w:szCs w:val="15"/>
                      </w:rPr>
                      <m:t>1</m:t>
                    </m:r>
                  </m:num>
                  <m:den>
                    <m:r>
                      <w:rPr>
                        <w:rFonts w:ascii="Cambria Math" w:hAnsi="Cambria Math" w:cs="Times New Roman"/>
                        <w:noProof/>
                        <w:sz w:val="15"/>
                        <w:szCs w:val="15"/>
                      </w:rPr>
                      <m:t>(n-X)</m:t>
                    </m:r>
                  </m:den>
                </m:f>
              </m:den>
            </m:f>
          </m:e>
        </m:rad>
      </m:oMath>
      <w:r w:rsidR="00090FA2">
        <w:rPr>
          <w:rFonts w:ascii="Times New Roman" w:hAnsi="Times New Roman" w:cs="Times New Roman"/>
          <w:sz w:val="15"/>
          <w:szCs w:val="15"/>
        </w:rPr>
        <w:t xml:space="preserve">. </w:t>
      </w:r>
      <w:r w:rsidR="008D15AD" w:rsidRPr="009E33ED">
        <w:rPr>
          <w:rFonts w:ascii="Times New Roman" w:hAnsi="Times New Roman" w:cs="Times New Roman"/>
          <w:sz w:val="15"/>
          <w:szCs w:val="15"/>
        </w:rPr>
        <w:t>The</w:t>
      </w:r>
      <w:r w:rsidR="00EB1668" w:rsidRPr="009E33ED">
        <w:rPr>
          <w:rFonts w:ascii="Times New Roman" w:hAnsi="Times New Roman" w:cs="Times New Roman"/>
          <w:sz w:val="15"/>
          <w:szCs w:val="15"/>
        </w:rPr>
        <w:t xml:space="preserve"> combined odds ratio (OR) and 95% confidence interval (CI) need to be converted into the incidence rate (</w:t>
      </w:r>
      <w:proofErr w:type="spellStart"/>
      <w:r w:rsidR="00EB1668" w:rsidRPr="009E33ED">
        <w:rPr>
          <w:rFonts w:ascii="Times New Roman" w:hAnsi="Times New Roman" w:cs="Times New Roman"/>
          <w:sz w:val="15"/>
          <w:szCs w:val="15"/>
        </w:rPr>
        <w:t>Pf</w:t>
      </w:r>
      <w:proofErr w:type="spellEnd"/>
      <w:r w:rsidR="00EB1668" w:rsidRPr="009E33ED">
        <w:rPr>
          <w:rFonts w:ascii="Times New Roman" w:hAnsi="Times New Roman" w:cs="Times New Roman"/>
          <w:sz w:val="15"/>
          <w:szCs w:val="15"/>
        </w:rPr>
        <w:t>=OR/(1+OR);95 % CI: LL=LL</w:t>
      </w:r>
      <w:r w:rsidR="00EB1668" w:rsidRPr="009E33ED">
        <w:rPr>
          <w:rFonts w:ascii="Times New Roman" w:hAnsi="Times New Roman" w:cs="Times New Roman"/>
          <w:sz w:val="15"/>
          <w:szCs w:val="15"/>
          <w:vertAlign w:val="subscript"/>
        </w:rPr>
        <w:t>OR</w:t>
      </w:r>
      <w:r w:rsidR="00EB1668" w:rsidRPr="009E33ED">
        <w:rPr>
          <w:rFonts w:ascii="Times New Roman" w:hAnsi="Times New Roman" w:cs="Times New Roman"/>
          <w:sz w:val="15"/>
          <w:szCs w:val="15"/>
        </w:rPr>
        <w:t>/</w:t>
      </w:r>
      <w:r w:rsidR="00EB1668" w:rsidRPr="009E33ED">
        <w:rPr>
          <w:rFonts w:ascii="Times New Roman" w:hAnsi="Times New Roman" w:cs="Times New Roman"/>
          <w:sz w:val="15"/>
          <w:szCs w:val="15"/>
          <w:vertAlign w:val="subscript"/>
        </w:rPr>
        <w:t xml:space="preserve"> </w:t>
      </w:r>
      <w:r w:rsidR="00EB1668" w:rsidRPr="009E33ED">
        <w:rPr>
          <w:rFonts w:ascii="Times New Roman" w:hAnsi="Times New Roman" w:cs="Times New Roman"/>
          <w:sz w:val="15"/>
          <w:szCs w:val="15"/>
        </w:rPr>
        <w:t>(1+LL</w:t>
      </w:r>
      <w:r w:rsidR="00EB1668" w:rsidRPr="009E33ED">
        <w:rPr>
          <w:rFonts w:ascii="Times New Roman" w:hAnsi="Times New Roman" w:cs="Times New Roman"/>
          <w:sz w:val="15"/>
          <w:szCs w:val="15"/>
          <w:vertAlign w:val="subscript"/>
        </w:rPr>
        <w:t>OR</w:t>
      </w:r>
      <w:r w:rsidR="00EB1668" w:rsidRPr="009E33ED">
        <w:rPr>
          <w:rFonts w:ascii="Times New Roman" w:hAnsi="Times New Roman" w:cs="Times New Roman"/>
          <w:sz w:val="15"/>
          <w:szCs w:val="15"/>
        </w:rPr>
        <w:t>), UL=UL</w:t>
      </w:r>
      <w:r w:rsidR="00EB1668" w:rsidRPr="009E33ED">
        <w:rPr>
          <w:rFonts w:ascii="Times New Roman" w:hAnsi="Times New Roman" w:cs="Times New Roman"/>
          <w:sz w:val="15"/>
          <w:szCs w:val="15"/>
          <w:vertAlign w:val="subscript"/>
        </w:rPr>
        <w:t>OR</w:t>
      </w:r>
      <w:r w:rsidR="00EB1668" w:rsidRPr="009E33ED">
        <w:rPr>
          <w:rFonts w:ascii="Times New Roman" w:hAnsi="Times New Roman" w:cs="Times New Roman"/>
          <w:sz w:val="15"/>
          <w:szCs w:val="15"/>
        </w:rPr>
        <w:t>/</w:t>
      </w:r>
      <w:r w:rsidR="00EB1668" w:rsidRPr="009E33ED">
        <w:rPr>
          <w:rFonts w:ascii="Times New Roman" w:hAnsi="Times New Roman" w:cs="Times New Roman"/>
          <w:sz w:val="15"/>
          <w:szCs w:val="15"/>
          <w:vertAlign w:val="subscript"/>
        </w:rPr>
        <w:t xml:space="preserve"> </w:t>
      </w:r>
      <w:r w:rsidR="00EB1668" w:rsidRPr="009E33ED">
        <w:rPr>
          <w:rFonts w:ascii="Times New Roman" w:hAnsi="Times New Roman" w:cs="Times New Roman"/>
          <w:sz w:val="15"/>
          <w:szCs w:val="15"/>
        </w:rPr>
        <w:t>(1+ UL</w:t>
      </w:r>
      <w:r w:rsidR="00EB1668" w:rsidRPr="009E33ED">
        <w:rPr>
          <w:rFonts w:ascii="Times New Roman" w:hAnsi="Times New Roman" w:cs="Times New Roman"/>
          <w:sz w:val="15"/>
          <w:szCs w:val="15"/>
          <w:vertAlign w:val="subscript"/>
        </w:rPr>
        <w:t>OR</w:t>
      </w:r>
      <w:r w:rsidR="00EB1668" w:rsidRPr="009E33ED">
        <w:rPr>
          <w:rFonts w:ascii="Times New Roman" w:hAnsi="Times New Roman" w:cs="Times New Roman"/>
          <w:sz w:val="15"/>
          <w:szCs w:val="15"/>
        </w:rPr>
        <w:t>)</w:t>
      </w:r>
      <w:r w:rsidR="00E12960">
        <w:rPr>
          <w:rFonts w:ascii="Times New Roman" w:hAnsi="Times New Roman" w:cs="Times New Roman"/>
          <w:sz w:val="15"/>
          <w:szCs w:val="15"/>
        </w:rPr>
        <w:fldChar w:fldCharType="begin"/>
      </w:r>
      <w:r w:rsidR="00E12960">
        <w:rPr>
          <w:rFonts w:ascii="Times New Roman" w:hAnsi="Times New Roman" w:cs="Times New Roman"/>
          <w:sz w:val="15"/>
          <w:szCs w:val="15"/>
        </w:rPr>
        <w:instrText xml:space="preserve"> ADDIN NE.Ref.{7BD1E54D-58AC-495E-A42E-1A8D51D701FB}</w:instrText>
      </w:r>
      <w:r w:rsidR="00E12960">
        <w:rPr>
          <w:rFonts w:ascii="Times New Roman" w:hAnsi="Times New Roman" w:cs="Times New Roman"/>
          <w:sz w:val="15"/>
          <w:szCs w:val="15"/>
        </w:rPr>
        <w:fldChar w:fldCharType="separate"/>
      </w:r>
      <w:r w:rsidR="00E12960">
        <w:rPr>
          <w:rFonts w:ascii="Times New Roman" w:hAnsi="Times New Roman" w:cs="Times New Roman"/>
          <w:color w:val="000000"/>
          <w:kern w:val="0"/>
          <w:sz w:val="15"/>
          <w:szCs w:val="15"/>
          <w:vertAlign w:val="superscript"/>
        </w:rPr>
        <w:t>2</w:t>
      </w:r>
      <w:r w:rsidR="00E12960">
        <w:rPr>
          <w:rFonts w:ascii="Times New Roman" w:hAnsi="Times New Roman" w:cs="Times New Roman"/>
          <w:sz w:val="15"/>
          <w:szCs w:val="15"/>
        </w:rPr>
        <w:fldChar w:fldCharType="end"/>
      </w:r>
      <w:r w:rsidR="00EB1668" w:rsidRPr="009E33ED">
        <w:rPr>
          <w:rFonts w:ascii="Times New Roman" w:hAnsi="Times New Roman" w:cs="Times New Roman"/>
          <w:sz w:val="15"/>
          <w:szCs w:val="15"/>
        </w:rPr>
        <w:t xml:space="preserve">. The incidence of events between any two groups was compared by risk </w:t>
      </w:r>
      <w:proofErr w:type="gramStart"/>
      <w:r w:rsidR="00EB1668" w:rsidRPr="009E33ED">
        <w:rPr>
          <w:rFonts w:ascii="Times New Roman" w:hAnsi="Times New Roman" w:cs="Times New Roman"/>
          <w:sz w:val="15"/>
          <w:szCs w:val="15"/>
        </w:rPr>
        <w:t>ratio(</w:t>
      </w:r>
      <w:proofErr w:type="gramEnd"/>
      <w:r w:rsidR="00EB1668" w:rsidRPr="009E33ED">
        <w:rPr>
          <w:rFonts w:ascii="Times New Roman" w:hAnsi="Times New Roman" w:cs="Times New Roman"/>
          <w:sz w:val="15"/>
          <w:szCs w:val="15"/>
        </w:rPr>
        <w:t>RR) and its 95% confidence interval (CI). RR and 95% CI &gt; 1 indicates that the incidence of events is lower than the control group, while &lt; 1 indicates that the incidence is higher than the control group.</w:t>
      </w:r>
      <w:r w:rsidR="00EB1668" w:rsidRPr="009E33ED">
        <w:rPr>
          <w:rFonts w:ascii="Times New Roman" w:hAnsi="Times New Roman" w:cs="Times New Roman"/>
          <w:noProof/>
          <w:sz w:val="15"/>
          <w:szCs w:val="15"/>
        </w:rPr>
        <w:t xml:space="preserve"> </w:t>
      </w:r>
    </w:p>
    <w:p w14:paraId="61D47974" w14:textId="05FC662F" w:rsidR="000B0CC0" w:rsidRPr="009E33ED" w:rsidRDefault="000B0CC0" w:rsidP="00023B64">
      <w:pPr>
        <w:widowControl/>
        <w:jc w:val="left"/>
        <w:rPr>
          <w:rFonts w:ascii="Times New Roman" w:hAnsi="Times New Roman" w:cs="Times New Roman"/>
          <w:sz w:val="15"/>
          <w:szCs w:val="15"/>
        </w:rPr>
      </w:pPr>
    </w:p>
    <w:p w14:paraId="7A9B24B5" w14:textId="49C691CE" w:rsidR="00B53BC9" w:rsidRPr="009E33ED" w:rsidRDefault="00B53BC9" w:rsidP="00B53BC9">
      <w:pPr>
        <w:widowControl/>
        <w:spacing w:line="480" w:lineRule="auto"/>
        <w:jc w:val="left"/>
        <w:rPr>
          <w:rFonts w:ascii="Times New Roman" w:hAnsi="Times New Roman" w:cs="Times New Roman"/>
          <w:b/>
          <w:bCs/>
          <w:color w:val="000000"/>
          <w:sz w:val="15"/>
          <w:szCs w:val="15"/>
        </w:rPr>
      </w:pPr>
      <w:r w:rsidRPr="009E33ED">
        <w:rPr>
          <w:rFonts w:ascii="Times New Roman" w:eastAsia="宋体" w:hAnsi="Times New Roman" w:cs="Times New Roman"/>
          <w:sz w:val="15"/>
          <w:szCs w:val="15"/>
        </w:rPr>
        <w:br w:type="page"/>
      </w:r>
      <w:r w:rsidR="00917825" w:rsidRPr="009E33ED">
        <w:rPr>
          <w:rFonts w:ascii="Times New Roman" w:hAnsi="Times New Roman" w:cs="Times New Roman"/>
          <w:b/>
          <w:bCs/>
          <w:color w:val="000000"/>
          <w:sz w:val="15"/>
          <w:szCs w:val="15"/>
        </w:rPr>
        <w:lastRenderedPageBreak/>
        <w:t>The inclusion criteria</w:t>
      </w:r>
    </w:p>
    <w:p w14:paraId="3165BD48" w14:textId="47311FF3" w:rsidR="00917825" w:rsidRPr="009E33ED" w:rsidRDefault="00917825" w:rsidP="00917825">
      <w:pPr>
        <w:pStyle w:val="a4"/>
        <w:widowControl/>
        <w:numPr>
          <w:ilvl w:val="0"/>
          <w:numId w:val="3"/>
        </w:numPr>
        <w:spacing w:line="480" w:lineRule="auto"/>
        <w:ind w:firstLineChars="0"/>
        <w:jc w:val="left"/>
        <w:rPr>
          <w:rFonts w:ascii="Times New Roman" w:hAnsi="Times New Roman" w:cs="Times New Roman"/>
          <w:color w:val="000000"/>
          <w:sz w:val="15"/>
          <w:szCs w:val="15"/>
        </w:rPr>
      </w:pPr>
      <w:r w:rsidRPr="009E33ED">
        <w:rPr>
          <w:rFonts w:ascii="Times New Roman" w:hAnsi="Times New Roman" w:cs="Times New Roman"/>
          <w:color w:val="000000"/>
          <w:sz w:val="15"/>
          <w:szCs w:val="15"/>
        </w:rPr>
        <w:t xml:space="preserve">prospective phase I, phase II or phase III clinical trials for pathologically diagnosed stage I-III </w:t>
      </w:r>
      <w:proofErr w:type="spellStart"/>
      <w:r w:rsidRPr="009E33ED">
        <w:rPr>
          <w:rFonts w:ascii="Times New Roman" w:hAnsi="Times New Roman" w:cs="Times New Roman"/>
          <w:color w:val="000000"/>
          <w:sz w:val="15"/>
          <w:szCs w:val="15"/>
        </w:rPr>
        <w:t>resectable</w:t>
      </w:r>
      <w:proofErr w:type="spellEnd"/>
      <w:r w:rsidRPr="009E33ED">
        <w:rPr>
          <w:rFonts w:ascii="Times New Roman" w:hAnsi="Times New Roman" w:cs="Times New Roman"/>
          <w:color w:val="000000"/>
          <w:sz w:val="15"/>
          <w:szCs w:val="15"/>
        </w:rPr>
        <w:t xml:space="preserve"> GC;</w:t>
      </w:r>
    </w:p>
    <w:p w14:paraId="0B7BCEBB" w14:textId="46183E6B" w:rsidR="00917825" w:rsidRPr="009E33ED" w:rsidRDefault="00917825" w:rsidP="00917825">
      <w:pPr>
        <w:pStyle w:val="a4"/>
        <w:widowControl/>
        <w:numPr>
          <w:ilvl w:val="0"/>
          <w:numId w:val="3"/>
        </w:numPr>
        <w:spacing w:line="480" w:lineRule="auto"/>
        <w:ind w:firstLineChars="0"/>
        <w:jc w:val="left"/>
        <w:rPr>
          <w:rFonts w:ascii="Times New Roman" w:eastAsia="宋体" w:hAnsi="Times New Roman" w:cs="Times New Roman"/>
          <w:color w:val="000000" w:themeColor="text1"/>
          <w:kern w:val="0"/>
          <w:sz w:val="15"/>
          <w:szCs w:val="15"/>
        </w:rPr>
      </w:pPr>
      <w:r w:rsidRPr="009E33ED">
        <w:rPr>
          <w:rFonts w:ascii="Times New Roman" w:hAnsi="Times New Roman" w:cs="Times New Roman"/>
          <w:color w:val="000000"/>
          <w:sz w:val="15"/>
          <w:szCs w:val="15"/>
        </w:rPr>
        <w:t>neoadjuvant therapy with ICI and chemotherapy</w:t>
      </w:r>
    </w:p>
    <w:p w14:paraId="2B1F6650" w14:textId="5B09956A" w:rsidR="008C6A00" w:rsidRPr="009E33ED" w:rsidRDefault="00917825" w:rsidP="00917825">
      <w:pPr>
        <w:pStyle w:val="a4"/>
        <w:widowControl/>
        <w:numPr>
          <w:ilvl w:val="0"/>
          <w:numId w:val="3"/>
        </w:numPr>
        <w:spacing w:line="480" w:lineRule="auto"/>
        <w:ind w:firstLineChars="0"/>
        <w:jc w:val="left"/>
        <w:rPr>
          <w:rFonts w:ascii="Times New Roman" w:hAnsi="Times New Roman" w:cs="Times New Roman"/>
          <w:color w:val="000000"/>
          <w:sz w:val="15"/>
          <w:szCs w:val="15"/>
        </w:rPr>
      </w:pPr>
      <w:proofErr w:type="spellStart"/>
      <w:r w:rsidRPr="009E33ED">
        <w:rPr>
          <w:rFonts w:ascii="Times New Roman" w:hAnsi="Times New Roman" w:cs="Times New Roman"/>
          <w:color w:val="000000"/>
          <w:sz w:val="15"/>
          <w:szCs w:val="15"/>
        </w:rPr>
        <w:t>resporting</w:t>
      </w:r>
      <w:proofErr w:type="spellEnd"/>
      <w:r w:rsidRPr="009E33ED">
        <w:rPr>
          <w:rFonts w:ascii="Times New Roman" w:hAnsi="Times New Roman" w:cs="Times New Roman"/>
          <w:color w:val="000000"/>
          <w:sz w:val="15"/>
          <w:szCs w:val="15"/>
        </w:rPr>
        <w:t xml:space="preserve"> </w:t>
      </w:r>
      <w:proofErr w:type="spellStart"/>
      <w:r w:rsidRPr="009E33ED">
        <w:rPr>
          <w:rFonts w:ascii="Times New Roman" w:hAnsi="Times New Roman" w:cs="Times New Roman"/>
          <w:color w:val="000000"/>
          <w:sz w:val="15"/>
          <w:szCs w:val="15"/>
        </w:rPr>
        <w:t>pCR</w:t>
      </w:r>
      <w:proofErr w:type="spellEnd"/>
      <w:r w:rsidRPr="009E33ED">
        <w:rPr>
          <w:rFonts w:ascii="Times New Roman" w:hAnsi="Times New Roman" w:cs="Times New Roman"/>
          <w:color w:val="000000"/>
          <w:sz w:val="15"/>
          <w:szCs w:val="15"/>
        </w:rPr>
        <w:t>, MPR, R0,</w:t>
      </w:r>
      <w:r w:rsidR="002C1A69" w:rsidRPr="009E33ED">
        <w:rPr>
          <w:rFonts w:ascii="Times New Roman" w:hAnsi="Times New Roman" w:cs="Times New Roman"/>
          <w:color w:val="2E2E2E"/>
          <w:sz w:val="15"/>
          <w:szCs w:val="15"/>
        </w:rPr>
        <w:t xml:space="preserve"> grade 3 and 4 </w:t>
      </w:r>
      <w:r w:rsidR="008C6A00" w:rsidRPr="009E33ED">
        <w:rPr>
          <w:rFonts w:ascii="Times New Roman" w:hAnsi="Times New Roman" w:cs="Times New Roman"/>
          <w:color w:val="2E2E2E"/>
          <w:sz w:val="15"/>
          <w:szCs w:val="15"/>
        </w:rPr>
        <w:t xml:space="preserve">TRAEs </w:t>
      </w:r>
      <w:r w:rsidR="002C1A69" w:rsidRPr="009E33ED">
        <w:rPr>
          <w:rFonts w:ascii="Times New Roman" w:hAnsi="Times New Roman" w:cs="Times New Roman"/>
          <w:color w:val="333333"/>
          <w:sz w:val="15"/>
          <w:szCs w:val="15"/>
          <w:shd w:val="clear" w:color="auto" w:fill="FFFFFF"/>
        </w:rPr>
        <w:t>and incidence of surgical complications</w:t>
      </w:r>
      <w:r w:rsidR="008C6A00" w:rsidRPr="009E33ED">
        <w:rPr>
          <w:rFonts w:ascii="Times New Roman" w:hAnsi="Times New Roman" w:cs="Times New Roman"/>
          <w:color w:val="333333"/>
          <w:sz w:val="15"/>
          <w:szCs w:val="15"/>
          <w:shd w:val="clear" w:color="auto" w:fill="FFFFFF"/>
        </w:rPr>
        <w:t xml:space="preserve"> as </w:t>
      </w:r>
      <w:r w:rsidR="008C6A00" w:rsidRPr="009E33ED">
        <w:rPr>
          <w:rFonts w:ascii="Times New Roman" w:hAnsi="Times New Roman" w:cs="Times New Roman"/>
          <w:color w:val="000000"/>
          <w:sz w:val="15"/>
          <w:szCs w:val="15"/>
        </w:rPr>
        <w:t>clinical outcomes.</w:t>
      </w:r>
    </w:p>
    <w:p w14:paraId="46FE2C29" w14:textId="3A23329B" w:rsidR="004B1154" w:rsidRPr="005812A3" w:rsidRDefault="008C6A00" w:rsidP="008C6A00">
      <w:pPr>
        <w:widowControl/>
        <w:jc w:val="left"/>
        <w:rPr>
          <w:rFonts w:ascii="Times New Roman" w:hAnsi="Times New Roman" w:cs="Times New Roman"/>
          <w:color w:val="000000"/>
          <w:sz w:val="15"/>
          <w:szCs w:val="15"/>
        </w:rPr>
      </w:pPr>
      <w:r w:rsidRPr="009E33ED">
        <w:rPr>
          <w:rFonts w:ascii="Times New Roman" w:hAnsi="Times New Roman" w:cs="Times New Roman"/>
          <w:color w:val="000000"/>
          <w:sz w:val="15"/>
          <w:szCs w:val="15"/>
        </w:rPr>
        <w:br w:type="page"/>
      </w:r>
      <w:r w:rsidRPr="009E33ED">
        <w:rPr>
          <w:rFonts w:ascii="Times New Roman" w:hAnsi="Times New Roman" w:cs="Times New Roman"/>
          <w:b/>
          <w:bCs/>
          <w:color w:val="000000"/>
          <w:sz w:val="15"/>
          <w:szCs w:val="15"/>
        </w:rPr>
        <w:lastRenderedPageBreak/>
        <w:t>Supplementary Table 1</w:t>
      </w:r>
      <w:r w:rsidRPr="009E33ED">
        <w:rPr>
          <w:rFonts w:ascii="Times New Roman" w:hAnsi="Times New Roman" w:cs="Times New Roman"/>
          <w:color w:val="000000"/>
          <w:sz w:val="15"/>
          <w:szCs w:val="15"/>
        </w:rPr>
        <w:t xml:space="preserve"> Characteristics of included studies.</w:t>
      </w:r>
    </w:p>
    <w:p w14:paraId="2E49FD4E" w14:textId="1C5991F4" w:rsidR="008C6A00" w:rsidRPr="00427D12" w:rsidRDefault="004B1154" w:rsidP="004B1154">
      <w:pPr>
        <w:spacing w:line="480" w:lineRule="auto"/>
        <w:rPr>
          <w:rFonts w:ascii="Times New Roman" w:eastAsia="宋体" w:hAnsi="Times New Roman" w:cs="Times New Roman"/>
          <w:bCs/>
          <w:sz w:val="15"/>
          <w:szCs w:val="15"/>
        </w:rPr>
      </w:pPr>
      <w:r w:rsidRPr="009E33ED">
        <w:rPr>
          <w:rFonts w:ascii="Times New Roman" w:hAnsi="Times New Roman" w:cs="Times New Roman"/>
          <w:b/>
          <w:bCs/>
          <w:color w:val="000000"/>
          <w:sz w:val="15"/>
          <w:szCs w:val="15"/>
        </w:rPr>
        <w:t>Supplemental Table 2</w:t>
      </w:r>
      <w:r w:rsidRPr="009E33ED">
        <w:rPr>
          <w:rFonts w:ascii="Times New Roman" w:hAnsi="Times New Roman" w:cs="Times New Roman"/>
          <w:color w:val="000000"/>
          <w:sz w:val="15"/>
          <w:szCs w:val="15"/>
        </w:rPr>
        <w:t xml:space="preserve"> </w:t>
      </w:r>
      <w:r w:rsidRPr="00427D12">
        <w:rPr>
          <w:rFonts w:ascii="Times New Roman" w:eastAsia="宋体" w:hAnsi="Times New Roman" w:cs="Times New Roman"/>
          <w:bCs/>
          <w:sz w:val="15"/>
          <w:szCs w:val="15"/>
        </w:rPr>
        <w:t>Assessment of the quality of included studies according to MINORS.</w:t>
      </w:r>
    </w:p>
    <w:p w14:paraId="3E9A1D12" w14:textId="77777777" w:rsidR="005812A3" w:rsidRDefault="004B1154" w:rsidP="00A73AC0">
      <w:pPr>
        <w:spacing w:line="480" w:lineRule="auto"/>
        <w:jc w:val="left"/>
        <w:rPr>
          <w:rFonts w:ascii="Times New Roman" w:hAnsi="Times New Roman" w:cs="Times New Roman"/>
          <w:sz w:val="15"/>
          <w:szCs w:val="15"/>
        </w:rPr>
      </w:pPr>
      <w:r w:rsidRPr="009E33ED">
        <w:rPr>
          <w:rFonts w:ascii="Times New Roman" w:hAnsi="Times New Roman" w:cs="Times New Roman"/>
          <w:sz w:val="15"/>
          <w:szCs w:val="15"/>
        </w:rPr>
        <w:t>Quality of non-comparative studies was determined based on the first eight items; the last four items were only used to assess comparative studies.</w:t>
      </w:r>
      <w:r w:rsidR="00A73AC0">
        <w:rPr>
          <w:rFonts w:ascii="Times New Roman" w:hAnsi="Times New Roman" w:cs="Times New Roman" w:hint="eastAsia"/>
          <w:sz w:val="15"/>
          <w:szCs w:val="15"/>
        </w:rPr>
        <w:t xml:space="preserve"> </w:t>
      </w:r>
      <w:r w:rsidR="00A73AC0">
        <w:rPr>
          <w:rFonts w:ascii="Times New Roman" w:hAnsi="Times New Roman" w:cs="Times New Roman"/>
          <w:sz w:val="15"/>
          <w:szCs w:val="15"/>
        </w:rPr>
        <w:t xml:space="preserve"> </w:t>
      </w:r>
    </w:p>
    <w:p w14:paraId="08882861" w14:textId="40458CE3" w:rsidR="00023B64" w:rsidRPr="007B125E" w:rsidRDefault="004B1154" w:rsidP="007B125E">
      <w:pPr>
        <w:spacing w:line="480" w:lineRule="auto"/>
        <w:jc w:val="left"/>
        <w:rPr>
          <w:rFonts w:ascii="Times New Roman" w:hAnsi="Times New Roman" w:cs="Times New Roman"/>
          <w:sz w:val="15"/>
          <w:szCs w:val="15"/>
        </w:rPr>
      </w:pPr>
      <w:r w:rsidRPr="009E33ED">
        <w:rPr>
          <w:rFonts w:ascii="Times New Roman" w:hAnsi="Times New Roman" w:cs="Times New Roman"/>
          <w:sz w:val="15"/>
          <w:szCs w:val="15"/>
        </w:rPr>
        <w:t xml:space="preserve">Checklist items: 1, a stated aim of the study; 2, inclusion of consecutive patients; 3, prospective collection of data; 4, endpoints appropriate to study aim; 5, unbiased assessment of study endpoint; 6, follow-up period appropriate to the major endpoint; 7, &lt;5% lost to follow-up; 8, adequate control group; 9, contemporary groups; 10, baseline equivalence of groups; 11, prospective calculation of study size; 12, adequate statistical analyses. Items are scored as 0 (not reported); 1 (reported but inadequate); or 2 (reported and adequate). The maximum possible score is 24 </w:t>
      </w:r>
      <w:proofErr w:type="spellStart"/>
      <w:proofErr w:type="gramStart"/>
      <w:r w:rsidRPr="009E33ED">
        <w:rPr>
          <w:rFonts w:ascii="Times New Roman" w:hAnsi="Times New Roman" w:cs="Times New Roman"/>
          <w:sz w:val="15"/>
          <w:szCs w:val="15"/>
        </w:rPr>
        <w:t>points.For</w:t>
      </w:r>
      <w:proofErr w:type="spellEnd"/>
      <w:proofErr w:type="gramEnd"/>
      <w:r w:rsidRPr="009E33ED">
        <w:rPr>
          <w:rFonts w:ascii="Times New Roman" w:hAnsi="Times New Roman" w:cs="Times New Roman"/>
          <w:sz w:val="15"/>
          <w:szCs w:val="15"/>
        </w:rPr>
        <w:t xml:space="preserve"> non-comparative studies, an overall score &gt; 12 = high; 8–12 = intermediate; &lt; 8 = low. For comparative studies, &gt; 18 = high; 12–18 = intermediate; &lt; 12 = low.</w:t>
      </w:r>
    </w:p>
    <w:p w14:paraId="347443B7" w14:textId="77777777" w:rsidR="007B125E" w:rsidRDefault="007B125E" w:rsidP="00023B64">
      <w:pPr>
        <w:spacing w:line="480" w:lineRule="auto"/>
        <w:rPr>
          <w:rFonts w:ascii="Times New Roman" w:hAnsi="Times New Roman" w:cs="Times New Roman"/>
          <w:b/>
          <w:bCs/>
          <w:color w:val="000000"/>
          <w:sz w:val="15"/>
          <w:szCs w:val="15"/>
        </w:rPr>
      </w:pPr>
    </w:p>
    <w:p w14:paraId="71B948AB" w14:textId="77777777" w:rsidR="007B125E" w:rsidRDefault="007B125E" w:rsidP="00023B64">
      <w:pPr>
        <w:spacing w:line="480" w:lineRule="auto"/>
        <w:rPr>
          <w:rFonts w:ascii="Times New Roman" w:hAnsi="Times New Roman" w:cs="Times New Roman"/>
          <w:b/>
          <w:bCs/>
          <w:color w:val="000000"/>
          <w:sz w:val="15"/>
          <w:szCs w:val="15"/>
        </w:rPr>
      </w:pPr>
    </w:p>
    <w:p w14:paraId="00EA653F" w14:textId="77777777" w:rsidR="007B125E" w:rsidRDefault="007B125E" w:rsidP="00023B64">
      <w:pPr>
        <w:spacing w:line="480" w:lineRule="auto"/>
        <w:rPr>
          <w:rFonts w:ascii="Times New Roman" w:hAnsi="Times New Roman" w:cs="Times New Roman"/>
          <w:b/>
          <w:bCs/>
          <w:color w:val="000000"/>
          <w:sz w:val="15"/>
          <w:szCs w:val="15"/>
        </w:rPr>
      </w:pPr>
    </w:p>
    <w:p w14:paraId="5CD88E48" w14:textId="77777777" w:rsidR="007B125E" w:rsidRDefault="007B125E" w:rsidP="00023B64">
      <w:pPr>
        <w:spacing w:line="480" w:lineRule="auto"/>
        <w:rPr>
          <w:rFonts w:ascii="Times New Roman" w:hAnsi="Times New Roman" w:cs="Times New Roman"/>
          <w:b/>
          <w:bCs/>
          <w:color w:val="000000"/>
          <w:sz w:val="15"/>
          <w:szCs w:val="15"/>
        </w:rPr>
      </w:pPr>
    </w:p>
    <w:p w14:paraId="30E3BA43" w14:textId="77777777" w:rsidR="007B125E" w:rsidRDefault="007B125E" w:rsidP="00023B64">
      <w:pPr>
        <w:spacing w:line="480" w:lineRule="auto"/>
        <w:rPr>
          <w:rFonts w:ascii="Times New Roman" w:hAnsi="Times New Roman" w:cs="Times New Roman"/>
          <w:b/>
          <w:bCs/>
          <w:color w:val="000000"/>
          <w:sz w:val="15"/>
          <w:szCs w:val="15"/>
        </w:rPr>
      </w:pPr>
    </w:p>
    <w:p w14:paraId="20A95C67" w14:textId="77777777" w:rsidR="007B125E" w:rsidRDefault="007B125E" w:rsidP="00023B64">
      <w:pPr>
        <w:spacing w:line="480" w:lineRule="auto"/>
        <w:rPr>
          <w:rFonts w:ascii="Times New Roman" w:hAnsi="Times New Roman" w:cs="Times New Roman"/>
          <w:b/>
          <w:bCs/>
          <w:color w:val="000000"/>
          <w:sz w:val="15"/>
          <w:szCs w:val="15"/>
        </w:rPr>
      </w:pPr>
    </w:p>
    <w:p w14:paraId="77130DED" w14:textId="77777777" w:rsidR="007B125E" w:rsidRDefault="007B125E" w:rsidP="00023B64">
      <w:pPr>
        <w:spacing w:line="480" w:lineRule="auto"/>
        <w:rPr>
          <w:rFonts w:ascii="Times New Roman" w:hAnsi="Times New Roman" w:cs="Times New Roman"/>
          <w:b/>
          <w:bCs/>
          <w:color w:val="000000"/>
          <w:sz w:val="15"/>
          <w:szCs w:val="15"/>
        </w:rPr>
      </w:pPr>
    </w:p>
    <w:p w14:paraId="6CFBF177" w14:textId="77777777" w:rsidR="007B125E" w:rsidRDefault="007B125E" w:rsidP="00023B64">
      <w:pPr>
        <w:spacing w:line="480" w:lineRule="auto"/>
        <w:rPr>
          <w:rFonts w:ascii="Times New Roman" w:hAnsi="Times New Roman" w:cs="Times New Roman"/>
          <w:b/>
          <w:bCs/>
          <w:color w:val="000000"/>
          <w:sz w:val="15"/>
          <w:szCs w:val="15"/>
        </w:rPr>
      </w:pPr>
    </w:p>
    <w:p w14:paraId="66DD99D6" w14:textId="77777777" w:rsidR="007B125E" w:rsidRDefault="007B125E" w:rsidP="00023B64">
      <w:pPr>
        <w:spacing w:line="480" w:lineRule="auto"/>
        <w:rPr>
          <w:rFonts w:ascii="Times New Roman" w:hAnsi="Times New Roman" w:cs="Times New Roman"/>
          <w:b/>
          <w:bCs/>
          <w:color w:val="000000"/>
          <w:sz w:val="15"/>
          <w:szCs w:val="15"/>
        </w:rPr>
      </w:pPr>
    </w:p>
    <w:p w14:paraId="2C9BAB08" w14:textId="77777777" w:rsidR="007B125E" w:rsidRDefault="007B125E" w:rsidP="00023B64">
      <w:pPr>
        <w:spacing w:line="480" w:lineRule="auto"/>
        <w:rPr>
          <w:rFonts w:ascii="Times New Roman" w:hAnsi="Times New Roman" w:cs="Times New Roman"/>
          <w:b/>
          <w:bCs/>
          <w:color w:val="000000"/>
          <w:sz w:val="15"/>
          <w:szCs w:val="15"/>
        </w:rPr>
      </w:pPr>
    </w:p>
    <w:p w14:paraId="0C17007D" w14:textId="77777777" w:rsidR="007B125E" w:rsidRDefault="007B125E" w:rsidP="00023B64">
      <w:pPr>
        <w:spacing w:line="480" w:lineRule="auto"/>
        <w:rPr>
          <w:rFonts w:ascii="Times New Roman" w:hAnsi="Times New Roman" w:cs="Times New Roman"/>
          <w:b/>
          <w:bCs/>
          <w:color w:val="000000"/>
          <w:sz w:val="15"/>
          <w:szCs w:val="15"/>
        </w:rPr>
      </w:pPr>
    </w:p>
    <w:p w14:paraId="16E06474" w14:textId="77777777" w:rsidR="007B125E" w:rsidRDefault="007B125E" w:rsidP="00023B64">
      <w:pPr>
        <w:spacing w:line="480" w:lineRule="auto"/>
        <w:rPr>
          <w:rFonts w:ascii="Times New Roman" w:hAnsi="Times New Roman" w:cs="Times New Roman"/>
          <w:b/>
          <w:bCs/>
          <w:color w:val="000000"/>
          <w:sz w:val="15"/>
          <w:szCs w:val="15"/>
        </w:rPr>
      </w:pPr>
    </w:p>
    <w:p w14:paraId="2940D7EA" w14:textId="77777777" w:rsidR="007B125E" w:rsidRDefault="007B125E" w:rsidP="00023B64">
      <w:pPr>
        <w:spacing w:line="480" w:lineRule="auto"/>
        <w:rPr>
          <w:rFonts w:ascii="Times New Roman" w:hAnsi="Times New Roman" w:cs="Times New Roman"/>
          <w:b/>
          <w:bCs/>
          <w:color w:val="000000"/>
          <w:sz w:val="15"/>
          <w:szCs w:val="15"/>
        </w:rPr>
      </w:pPr>
    </w:p>
    <w:p w14:paraId="6A81C83C" w14:textId="37A801A7" w:rsidR="00023B64" w:rsidRPr="009E33ED" w:rsidRDefault="00023B64" w:rsidP="00023B64">
      <w:pPr>
        <w:spacing w:line="480" w:lineRule="auto"/>
        <w:rPr>
          <w:rFonts w:ascii="Times New Roman" w:hAnsi="Times New Roman" w:cs="Times New Roman"/>
          <w:b/>
          <w:bCs/>
          <w:color w:val="000000"/>
          <w:sz w:val="15"/>
          <w:szCs w:val="15"/>
        </w:rPr>
      </w:pPr>
      <w:r w:rsidRPr="009E33ED">
        <w:rPr>
          <w:rFonts w:ascii="Times New Roman" w:hAnsi="Times New Roman" w:cs="Times New Roman"/>
          <w:b/>
          <w:bCs/>
          <w:color w:val="000000"/>
          <w:sz w:val="15"/>
          <w:szCs w:val="15"/>
        </w:rPr>
        <w:lastRenderedPageBreak/>
        <w:t>Supplemental figure legend</w:t>
      </w:r>
    </w:p>
    <w:p w14:paraId="0FEB8C14" w14:textId="77777777" w:rsidR="00023B64" w:rsidRPr="009E33ED" w:rsidRDefault="00023B64" w:rsidP="00023B64">
      <w:pPr>
        <w:widowControl/>
        <w:spacing w:line="480" w:lineRule="auto"/>
        <w:jc w:val="left"/>
        <w:rPr>
          <w:rFonts w:ascii="Times New Roman" w:eastAsia="宋体" w:hAnsi="Times New Roman" w:cs="Times New Roman"/>
          <w:kern w:val="0"/>
          <w:sz w:val="15"/>
          <w:szCs w:val="15"/>
        </w:rPr>
      </w:pPr>
      <w:r w:rsidRPr="009E33ED">
        <w:rPr>
          <w:rFonts w:ascii="Times New Roman" w:eastAsia="宋体" w:hAnsi="Times New Roman" w:cs="Times New Roman"/>
          <w:b/>
          <w:bCs/>
          <w:color w:val="000000"/>
          <w:kern w:val="0"/>
          <w:sz w:val="15"/>
          <w:szCs w:val="15"/>
        </w:rPr>
        <w:t xml:space="preserve">Supplemental figure 1 </w:t>
      </w:r>
    </w:p>
    <w:p w14:paraId="5A698C6B" w14:textId="77777777" w:rsidR="00023B64" w:rsidRPr="009E33ED" w:rsidRDefault="00023B64" w:rsidP="00023B64">
      <w:pPr>
        <w:widowControl/>
        <w:spacing w:line="480" w:lineRule="auto"/>
        <w:jc w:val="left"/>
        <w:rPr>
          <w:rFonts w:ascii="Times New Roman" w:eastAsia="宋体" w:hAnsi="Times New Roman" w:cs="Times New Roman"/>
          <w:kern w:val="0"/>
          <w:sz w:val="15"/>
          <w:szCs w:val="15"/>
        </w:rPr>
      </w:pPr>
      <w:r w:rsidRPr="009E33ED">
        <w:rPr>
          <w:rFonts w:ascii="Times New Roman" w:eastAsia="宋体" w:hAnsi="Times New Roman" w:cs="Times New Roman"/>
          <w:color w:val="000000"/>
          <w:kern w:val="0"/>
          <w:sz w:val="15"/>
          <w:szCs w:val="15"/>
        </w:rPr>
        <w:t xml:space="preserve">Flow diagram of publication search </w:t>
      </w:r>
    </w:p>
    <w:p w14:paraId="1E3CC4B5" w14:textId="77777777" w:rsidR="00023B64" w:rsidRPr="009E33ED" w:rsidRDefault="00023B64" w:rsidP="00023B64">
      <w:pPr>
        <w:spacing w:line="480" w:lineRule="auto"/>
        <w:rPr>
          <w:rFonts w:ascii="Times New Roman" w:eastAsia="宋体" w:hAnsi="Times New Roman" w:cs="Times New Roman"/>
          <w:b/>
          <w:bCs/>
          <w:color w:val="000000"/>
          <w:kern w:val="0"/>
          <w:sz w:val="15"/>
          <w:szCs w:val="15"/>
        </w:rPr>
      </w:pPr>
      <w:r w:rsidRPr="009E33ED">
        <w:rPr>
          <w:rFonts w:ascii="Times New Roman" w:eastAsia="宋体" w:hAnsi="Times New Roman" w:cs="Times New Roman"/>
          <w:b/>
          <w:bCs/>
          <w:color w:val="000000"/>
          <w:kern w:val="0"/>
          <w:sz w:val="15"/>
          <w:szCs w:val="15"/>
        </w:rPr>
        <w:t>Supplemental figure 2</w:t>
      </w:r>
    </w:p>
    <w:p w14:paraId="1C531372" w14:textId="77777777" w:rsidR="00023B64" w:rsidRPr="009E33ED" w:rsidRDefault="00023B64" w:rsidP="00023B64">
      <w:pPr>
        <w:widowControl/>
        <w:spacing w:line="480" w:lineRule="auto"/>
        <w:jc w:val="left"/>
        <w:rPr>
          <w:rFonts w:ascii="Times New Roman" w:eastAsia="宋体" w:hAnsi="Times New Roman" w:cs="Times New Roman"/>
          <w:kern w:val="0"/>
          <w:sz w:val="15"/>
          <w:szCs w:val="15"/>
        </w:rPr>
      </w:pPr>
      <w:r w:rsidRPr="009E33ED">
        <w:rPr>
          <w:rFonts w:ascii="Times New Roman" w:eastAsia="宋体" w:hAnsi="Times New Roman" w:cs="Times New Roman"/>
          <w:b/>
          <w:bCs/>
          <w:color w:val="000000"/>
          <w:kern w:val="0"/>
          <w:sz w:val="15"/>
          <w:szCs w:val="15"/>
        </w:rPr>
        <w:t xml:space="preserve">Supplemental figure 2A </w:t>
      </w:r>
      <w:r w:rsidRPr="009E33ED">
        <w:rPr>
          <w:rFonts w:ascii="Times New Roman" w:eastAsia="宋体" w:hAnsi="Times New Roman" w:cs="Times New Roman"/>
          <w:color w:val="000000"/>
          <w:kern w:val="0"/>
          <w:sz w:val="15"/>
          <w:szCs w:val="15"/>
        </w:rPr>
        <w:t>Funnel plot of complete pathological response</w:t>
      </w:r>
    </w:p>
    <w:p w14:paraId="3A1DBF07" w14:textId="77777777" w:rsidR="00023B64" w:rsidRPr="009E33ED" w:rsidRDefault="00023B64" w:rsidP="00023B64">
      <w:pPr>
        <w:widowControl/>
        <w:spacing w:line="480" w:lineRule="auto"/>
        <w:jc w:val="left"/>
        <w:rPr>
          <w:rFonts w:ascii="Times New Roman" w:eastAsia="宋体" w:hAnsi="Times New Roman" w:cs="Times New Roman"/>
          <w:kern w:val="0"/>
          <w:sz w:val="15"/>
          <w:szCs w:val="15"/>
        </w:rPr>
      </w:pPr>
      <w:r w:rsidRPr="009E33ED">
        <w:rPr>
          <w:rFonts w:ascii="Times New Roman" w:eastAsia="宋体" w:hAnsi="Times New Roman" w:cs="Times New Roman"/>
          <w:b/>
          <w:bCs/>
          <w:color w:val="000000"/>
          <w:kern w:val="0"/>
          <w:sz w:val="15"/>
          <w:szCs w:val="15"/>
        </w:rPr>
        <w:t>Supplemental figure 2B</w:t>
      </w:r>
      <w:r w:rsidRPr="009E33ED">
        <w:rPr>
          <w:rFonts w:ascii="Times New Roman" w:eastAsia="宋体" w:hAnsi="Times New Roman" w:cs="Times New Roman"/>
          <w:color w:val="000000"/>
          <w:kern w:val="0"/>
          <w:sz w:val="15"/>
          <w:szCs w:val="15"/>
        </w:rPr>
        <w:t xml:space="preserve"> Funnel plot of major pathological response</w:t>
      </w:r>
    </w:p>
    <w:p w14:paraId="22363561" w14:textId="77777777" w:rsidR="00023B64" w:rsidRPr="009E33ED" w:rsidRDefault="00023B64" w:rsidP="00023B64">
      <w:pPr>
        <w:widowControl/>
        <w:spacing w:line="480" w:lineRule="auto"/>
        <w:jc w:val="left"/>
        <w:rPr>
          <w:rFonts w:ascii="Times New Roman" w:eastAsia="宋体" w:hAnsi="Times New Roman" w:cs="Times New Roman"/>
          <w:kern w:val="0"/>
          <w:sz w:val="15"/>
          <w:szCs w:val="15"/>
        </w:rPr>
      </w:pPr>
      <w:r w:rsidRPr="009E33ED">
        <w:rPr>
          <w:rFonts w:ascii="Times New Roman" w:eastAsia="宋体" w:hAnsi="Times New Roman" w:cs="Times New Roman"/>
          <w:b/>
          <w:bCs/>
          <w:color w:val="000000"/>
          <w:kern w:val="0"/>
          <w:sz w:val="15"/>
          <w:szCs w:val="15"/>
        </w:rPr>
        <w:t xml:space="preserve">Supplemental figure 2C </w:t>
      </w:r>
      <w:r w:rsidRPr="009E33ED">
        <w:rPr>
          <w:rFonts w:ascii="Times New Roman" w:eastAsia="宋体" w:hAnsi="Times New Roman" w:cs="Times New Roman"/>
          <w:color w:val="000000"/>
          <w:kern w:val="0"/>
          <w:sz w:val="15"/>
          <w:szCs w:val="15"/>
        </w:rPr>
        <w:t>Funnel plot of</w:t>
      </w:r>
      <w:r w:rsidRPr="009E33ED">
        <w:rPr>
          <w:rFonts w:ascii="Times New Roman" w:hAnsi="Times New Roman" w:cs="Times New Roman"/>
          <w:color w:val="000000" w:themeColor="text1"/>
          <w:sz w:val="15"/>
          <w:szCs w:val="15"/>
          <w:shd w:val="clear" w:color="auto" w:fill="FFFFFF"/>
        </w:rPr>
        <w:t xml:space="preserve"> grade 3 to 4 treatment-related adverse events</w:t>
      </w:r>
      <w:r w:rsidRPr="009E33ED">
        <w:rPr>
          <w:rFonts w:ascii="Times New Roman" w:eastAsia="宋体" w:hAnsi="Times New Roman" w:cs="Times New Roman"/>
          <w:color w:val="000000"/>
          <w:kern w:val="0"/>
          <w:sz w:val="15"/>
          <w:szCs w:val="15"/>
        </w:rPr>
        <w:t xml:space="preserve"> </w:t>
      </w:r>
    </w:p>
    <w:p w14:paraId="6F469998" w14:textId="74C90A39" w:rsidR="00C4022B" w:rsidRPr="00D50485" w:rsidRDefault="00023B64" w:rsidP="00D50485">
      <w:pPr>
        <w:widowControl/>
        <w:spacing w:line="480" w:lineRule="auto"/>
        <w:jc w:val="left"/>
        <w:rPr>
          <w:rFonts w:ascii="Times New Roman" w:hAnsi="Times New Roman" w:cs="Times New Roman"/>
          <w:color w:val="000000"/>
          <w:sz w:val="15"/>
          <w:szCs w:val="15"/>
        </w:rPr>
      </w:pPr>
      <w:r w:rsidRPr="009E33ED">
        <w:rPr>
          <w:rFonts w:ascii="Times New Roman" w:eastAsia="宋体" w:hAnsi="Times New Roman" w:cs="Times New Roman"/>
          <w:b/>
          <w:bCs/>
          <w:color w:val="000000"/>
          <w:kern w:val="0"/>
          <w:sz w:val="15"/>
          <w:szCs w:val="15"/>
        </w:rPr>
        <w:t>Supplemental figure 2D</w:t>
      </w:r>
      <w:r w:rsidRPr="009E33ED">
        <w:rPr>
          <w:rFonts w:ascii="Times New Roman" w:eastAsia="宋体" w:hAnsi="Times New Roman" w:cs="Times New Roman"/>
          <w:color w:val="000000"/>
          <w:kern w:val="0"/>
          <w:sz w:val="15"/>
          <w:szCs w:val="15"/>
        </w:rPr>
        <w:t xml:space="preserve"> Funnel plot o</w:t>
      </w:r>
      <w:r w:rsidR="00441974" w:rsidRPr="009E33ED">
        <w:rPr>
          <w:rFonts w:ascii="Times New Roman" w:eastAsia="宋体" w:hAnsi="Times New Roman" w:cs="Times New Roman"/>
          <w:color w:val="000000"/>
          <w:kern w:val="0"/>
          <w:sz w:val="15"/>
          <w:szCs w:val="15"/>
        </w:rPr>
        <w:t>f</w:t>
      </w:r>
      <w:r w:rsidR="00441974" w:rsidRPr="009E33ED">
        <w:rPr>
          <w:rFonts w:ascii="Times New Roman" w:hAnsi="Times New Roman" w:cs="Times New Roman"/>
          <w:color w:val="000000" w:themeColor="text1"/>
          <w:sz w:val="15"/>
          <w:szCs w:val="15"/>
          <w:shd w:val="clear" w:color="auto" w:fill="FFFFFF"/>
        </w:rPr>
        <w:t xml:space="preserve"> surgical complications</w:t>
      </w:r>
    </w:p>
    <w:p w14:paraId="56A002C4" w14:textId="77777777" w:rsidR="00E12960" w:rsidRDefault="00C4022B" w:rsidP="00E12960">
      <w:pPr>
        <w:autoSpaceDE w:val="0"/>
        <w:autoSpaceDN w:val="0"/>
        <w:adjustRightInd w:val="0"/>
        <w:jc w:val="left"/>
        <w:rPr>
          <w:rFonts w:ascii="Times New Roman" w:hAnsi="Times New Roman" w:cs="Times New Roman"/>
          <w:kern w:val="0"/>
          <w:sz w:val="24"/>
          <w:szCs w:val="24"/>
        </w:rPr>
      </w:pPr>
      <w:r>
        <w:rPr>
          <w:rFonts w:ascii="Times New Roman" w:eastAsia="宋体" w:hAnsi="Times New Roman" w:cs="Times New Roman"/>
          <w:sz w:val="15"/>
          <w:szCs w:val="15"/>
        </w:rPr>
        <w:tab/>
      </w:r>
      <w:r w:rsidR="005F4EC0">
        <w:rPr>
          <w:rFonts w:ascii="Times New Roman" w:eastAsia="宋体" w:hAnsi="Times New Roman" w:cs="Times New Roman"/>
          <w:b/>
          <w:bCs/>
          <w:color w:val="000000"/>
          <w:kern w:val="0"/>
          <w:szCs w:val="21"/>
        </w:rPr>
        <w:t xml:space="preserve">                                  </w:t>
      </w:r>
      <w:r w:rsidR="005812A3">
        <w:rPr>
          <w:rFonts w:ascii="Times New Roman" w:eastAsia="宋体" w:hAnsi="Times New Roman" w:cs="Times New Roman"/>
          <w:sz w:val="15"/>
          <w:szCs w:val="15"/>
        </w:rPr>
        <w:fldChar w:fldCharType="begin"/>
      </w:r>
      <w:r w:rsidR="005812A3">
        <w:rPr>
          <w:rFonts w:ascii="Times New Roman" w:eastAsia="宋体" w:hAnsi="Times New Roman" w:cs="Times New Roman"/>
          <w:sz w:val="15"/>
          <w:szCs w:val="15"/>
        </w:rPr>
        <w:instrText xml:space="preserve"> ADDIN NE.Bib</w:instrText>
      </w:r>
      <w:r w:rsidR="005812A3">
        <w:rPr>
          <w:rFonts w:ascii="Times New Roman" w:eastAsia="宋体" w:hAnsi="Times New Roman" w:cs="Times New Roman"/>
          <w:sz w:val="15"/>
          <w:szCs w:val="15"/>
        </w:rPr>
        <w:fldChar w:fldCharType="separate"/>
      </w:r>
    </w:p>
    <w:p w14:paraId="53970579" w14:textId="77777777" w:rsidR="00E12960" w:rsidRDefault="00E12960" w:rsidP="00E1296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b/>
          <w:bCs/>
          <w:color w:val="000000"/>
          <w:kern w:val="0"/>
          <w:sz w:val="40"/>
          <w:szCs w:val="40"/>
        </w:rPr>
        <w:t>References:</w:t>
      </w:r>
    </w:p>
    <w:p w14:paraId="63B9DEDA" w14:textId="77777777" w:rsidR="00E12960" w:rsidRDefault="00E12960" w:rsidP="00E12960">
      <w:pPr>
        <w:autoSpaceDE w:val="0"/>
        <w:autoSpaceDN w:val="0"/>
        <w:adjustRightInd w:val="0"/>
        <w:rPr>
          <w:rFonts w:ascii="Times New Roman" w:hAnsi="Times New Roman" w:cs="Times New Roman"/>
          <w:kern w:val="0"/>
          <w:sz w:val="24"/>
          <w:szCs w:val="24"/>
        </w:rPr>
      </w:pPr>
      <w:r>
        <w:rPr>
          <w:rFonts w:ascii="Times New Roman" w:hAnsi="Times New Roman" w:cs="Times New Roman"/>
          <w:color w:val="000000"/>
          <w:kern w:val="0"/>
          <w:sz w:val="20"/>
          <w:szCs w:val="20"/>
        </w:rPr>
        <w:t>1.</w:t>
      </w:r>
      <w:r>
        <w:rPr>
          <w:rFonts w:ascii="Times New Roman" w:hAnsi="Times New Roman" w:cs="Times New Roman"/>
          <w:color w:val="000000"/>
          <w:kern w:val="0"/>
          <w:sz w:val="20"/>
          <w:szCs w:val="20"/>
        </w:rPr>
        <w:tab/>
      </w:r>
      <w:bookmarkStart w:id="1" w:name="_nebC4F98BF1_E283_4780_BD98_7596E771984A"/>
      <w:r>
        <w:rPr>
          <w:rFonts w:ascii="Times New Roman" w:hAnsi="Times New Roman" w:cs="Times New Roman"/>
          <w:color w:val="000000"/>
          <w:kern w:val="0"/>
          <w:sz w:val="20"/>
          <w:szCs w:val="20"/>
        </w:rPr>
        <w:t>Masarwy R, Kampel L, Horowitz G, et al. Neoadjuvant PD-1/PD-L1 Inhibitors for Resectable Head and Neck Cancer: A  Systematic Review and Meta-analysis. JAMA Otolaryngol Head Neck Surg 2021; 147(10):871-878.</w:t>
      </w:r>
      <w:bookmarkEnd w:id="1"/>
    </w:p>
    <w:p w14:paraId="6CA7409C" w14:textId="77777777" w:rsidR="00E12960" w:rsidRDefault="00E12960" w:rsidP="00E12960">
      <w:pPr>
        <w:autoSpaceDE w:val="0"/>
        <w:autoSpaceDN w:val="0"/>
        <w:adjustRightInd w:val="0"/>
        <w:rPr>
          <w:rFonts w:ascii="Times New Roman" w:hAnsi="Times New Roman" w:cs="Times New Roman"/>
          <w:kern w:val="0"/>
          <w:sz w:val="24"/>
          <w:szCs w:val="24"/>
        </w:rPr>
      </w:pPr>
      <w:r>
        <w:rPr>
          <w:rFonts w:ascii="Times New Roman" w:hAnsi="Times New Roman" w:cs="Times New Roman"/>
          <w:color w:val="000000"/>
          <w:kern w:val="0"/>
          <w:sz w:val="20"/>
          <w:szCs w:val="20"/>
        </w:rPr>
        <w:t>2.</w:t>
      </w:r>
      <w:r>
        <w:rPr>
          <w:rFonts w:ascii="Times New Roman" w:hAnsi="Times New Roman" w:cs="Times New Roman"/>
          <w:color w:val="000000"/>
          <w:kern w:val="0"/>
          <w:sz w:val="20"/>
          <w:szCs w:val="20"/>
        </w:rPr>
        <w:tab/>
      </w:r>
      <w:bookmarkStart w:id="2" w:name="_neb54F0ACD5_9B08_4E2F_893E_B81BA0EF83FB"/>
      <w:r>
        <w:rPr>
          <w:rFonts w:ascii="Times New Roman" w:hAnsi="Times New Roman" w:cs="Times New Roman"/>
          <w:color w:val="000000"/>
          <w:kern w:val="0"/>
          <w:sz w:val="20"/>
          <w:szCs w:val="20"/>
        </w:rPr>
        <w:t>Chen YH, Du L, Geng XY, Liu GJ. Implement meta-analysis with non-comparative binary data in RevMan software. Chin J Evid Based Med 2014; 14(7):889-896.</w:t>
      </w:r>
      <w:bookmarkEnd w:id="2"/>
    </w:p>
    <w:p w14:paraId="36D129B3" w14:textId="55EC86FC" w:rsidR="00C4022B" w:rsidRPr="00C4022B" w:rsidRDefault="005812A3" w:rsidP="005F4EC0">
      <w:pPr>
        <w:widowControl/>
        <w:jc w:val="left"/>
        <w:rPr>
          <w:rFonts w:ascii="Times New Roman" w:eastAsia="宋体" w:hAnsi="Times New Roman" w:cs="Times New Roman"/>
          <w:sz w:val="15"/>
          <w:szCs w:val="15"/>
        </w:rPr>
      </w:pPr>
      <w:r>
        <w:rPr>
          <w:rFonts w:ascii="Times New Roman" w:eastAsia="宋体" w:hAnsi="Times New Roman" w:cs="Times New Roman"/>
          <w:sz w:val="15"/>
          <w:szCs w:val="15"/>
        </w:rPr>
        <w:fldChar w:fldCharType="end"/>
      </w:r>
    </w:p>
    <w:sectPr w:rsidR="00C4022B" w:rsidRPr="00C4022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7FE1" w14:textId="77777777" w:rsidR="002C6A2F" w:rsidRDefault="002C6A2F" w:rsidP="00441974">
      <w:r>
        <w:separator/>
      </w:r>
    </w:p>
  </w:endnote>
  <w:endnote w:type="continuationSeparator" w:id="0">
    <w:p w14:paraId="2891637F" w14:textId="77777777" w:rsidR="002C6A2F" w:rsidRDefault="002C6A2F" w:rsidP="0044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624114"/>
      <w:docPartObj>
        <w:docPartGallery w:val="Page Numbers (Bottom of Page)"/>
        <w:docPartUnique/>
      </w:docPartObj>
    </w:sdtPr>
    <w:sdtContent>
      <w:sdt>
        <w:sdtPr>
          <w:id w:val="-1769616900"/>
          <w:docPartObj>
            <w:docPartGallery w:val="Page Numbers (Top of Page)"/>
            <w:docPartUnique/>
          </w:docPartObj>
        </w:sdtPr>
        <w:sdtContent>
          <w:p w14:paraId="1594DB70" w14:textId="3E5D8F8A" w:rsidR="00A5700D" w:rsidRDefault="00A5700D">
            <w:pPr>
              <w:pStyle w:val="a9"/>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BAF2964" w14:textId="77777777" w:rsidR="00A5700D" w:rsidRDefault="00A570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C44F" w14:textId="77777777" w:rsidR="002C6A2F" w:rsidRDefault="002C6A2F" w:rsidP="00441974">
      <w:r>
        <w:separator/>
      </w:r>
    </w:p>
  </w:footnote>
  <w:footnote w:type="continuationSeparator" w:id="0">
    <w:p w14:paraId="1A79EB24" w14:textId="77777777" w:rsidR="002C6A2F" w:rsidRDefault="002C6A2F" w:rsidP="00441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4989"/>
    <w:multiLevelType w:val="multilevel"/>
    <w:tmpl w:val="A76ED918"/>
    <w:lvl w:ilvl="0">
      <w:start w:val="1"/>
      <w:numFmt w:val="decimal"/>
      <w:lvlText w:val="%1."/>
      <w:lvlJc w:val="left"/>
      <w:pPr>
        <w:ind w:left="580" w:hanging="360"/>
      </w:pPr>
      <w:rPr>
        <w:rFonts w:ascii="Times New Roman" w:hAnsi="Times New Roman" w:cs="Times New Roman" w:hint="default"/>
      </w:rPr>
    </w:lvl>
    <w:lvl w:ilvl="1">
      <w:start w:val="1"/>
      <w:numFmt w:val="lowerLetter"/>
      <w:lvlText w:val="%2)"/>
      <w:lvlJc w:val="left"/>
      <w:pPr>
        <w:ind w:left="1060" w:hanging="420"/>
      </w:pPr>
      <w:rPr>
        <w:rFonts w:ascii="Times New Roman" w:hAnsi="Times New Roman" w:cs="Times New Roman" w:hint="default"/>
      </w:rPr>
    </w:lvl>
    <w:lvl w:ilvl="2">
      <w:start w:val="1"/>
      <w:numFmt w:val="lowerRoman"/>
      <w:lvlText w:val="%3."/>
      <w:lvlJc w:val="right"/>
      <w:pPr>
        <w:ind w:left="1480" w:hanging="420"/>
      </w:pPr>
      <w:rPr>
        <w:rFonts w:ascii="Times New Roman" w:hAnsi="Times New Roman" w:cs="Times New Roman" w:hint="default"/>
      </w:rPr>
    </w:lvl>
    <w:lvl w:ilvl="3">
      <w:start w:val="1"/>
      <w:numFmt w:val="decimal"/>
      <w:lvlText w:val="%4."/>
      <w:lvlJc w:val="left"/>
      <w:pPr>
        <w:ind w:left="1900" w:hanging="420"/>
      </w:pPr>
      <w:rPr>
        <w:rFonts w:ascii="Times New Roman" w:hAnsi="Times New Roman" w:cs="Times New Roman" w:hint="default"/>
      </w:rPr>
    </w:lvl>
    <w:lvl w:ilvl="4">
      <w:start w:val="1"/>
      <w:numFmt w:val="lowerLetter"/>
      <w:lvlText w:val="%5)"/>
      <w:lvlJc w:val="left"/>
      <w:pPr>
        <w:ind w:left="2320" w:hanging="420"/>
      </w:pPr>
      <w:rPr>
        <w:rFonts w:ascii="Times New Roman" w:hAnsi="Times New Roman" w:cs="Times New Roman" w:hint="default"/>
      </w:rPr>
    </w:lvl>
    <w:lvl w:ilvl="5">
      <w:start w:val="1"/>
      <w:numFmt w:val="lowerRoman"/>
      <w:lvlText w:val="%6."/>
      <w:lvlJc w:val="right"/>
      <w:pPr>
        <w:ind w:left="2740" w:hanging="420"/>
      </w:pPr>
      <w:rPr>
        <w:rFonts w:ascii="Times New Roman" w:hAnsi="Times New Roman" w:cs="Times New Roman" w:hint="default"/>
      </w:rPr>
    </w:lvl>
    <w:lvl w:ilvl="6">
      <w:start w:val="1"/>
      <w:numFmt w:val="decimal"/>
      <w:lvlText w:val="%7."/>
      <w:lvlJc w:val="left"/>
      <w:pPr>
        <w:ind w:left="3160" w:hanging="420"/>
      </w:pPr>
      <w:rPr>
        <w:rFonts w:ascii="Times New Roman" w:hAnsi="Times New Roman" w:cs="Times New Roman" w:hint="default"/>
      </w:rPr>
    </w:lvl>
    <w:lvl w:ilvl="7">
      <w:start w:val="1"/>
      <w:numFmt w:val="lowerLetter"/>
      <w:lvlText w:val="%8)"/>
      <w:lvlJc w:val="left"/>
      <w:pPr>
        <w:ind w:left="3580" w:hanging="420"/>
      </w:pPr>
      <w:rPr>
        <w:rFonts w:ascii="Times New Roman" w:hAnsi="Times New Roman" w:cs="Times New Roman" w:hint="default"/>
      </w:rPr>
    </w:lvl>
    <w:lvl w:ilvl="8">
      <w:start w:val="1"/>
      <w:numFmt w:val="lowerRoman"/>
      <w:lvlText w:val="%9."/>
      <w:lvlJc w:val="right"/>
      <w:pPr>
        <w:ind w:left="4000" w:hanging="420"/>
      </w:pPr>
      <w:rPr>
        <w:rFonts w:ascii="Times New Roman" w:hAnsi="Times New Roman" w:cs="Times New Roman" w:hint="default"/>
      </w:rPr>
    </w:lvl>
  </w:abstractNum>
  <w:abstractNum w:abstractNumId="1" w15:restartNumberingAfterBreak="0">
    <w:nsid w:val="1B542A74"/>
    <w:multiLevelType w:val="multilevel"/>
    <w:tmpl w:val="CE5E891A"/>
    <w:lvl w:ilvl="0">
      <w:start w:val="1"/>
      <w:numFmt w:val="decimal"/>
      <w:lvlText w:val="%1."/>
      <w:lvlJc w:val="left"/>
      <w:pPr>
        <w:ind w:left="580" w:hanging="360"/>
      </w:pPr>
      <w:rPr>
        <w:rFonts w:ascii="Times New Roman" w:hAnsi="Times New Roman" w:cs="Times New Roman" w:hint="default"/>
      </w:rPr>
    </w:lvl>
    <w:lvl w:ilvl="1">
      <w:start w:val="1"/>
      <w:numFmt w:val="lowerLetter"/>
      <w:lvlText w:val="%2)"/>
      <w:lvlJc w:val="left"/>
      <w:pPr>
        <w:ind w:left="1060" w:hanging="420"/>
      </w:pPr>
      <w:rPr>
        <w:rFonts w:ascii="Times New Roman" w:hAnsi="Times New Roman" w:cs="Times New Roman" w:hint="default"/>
      </w:rPr>
    </w:lvl>
    <w:lvl w:ilvl="2">
      <w:start w:val="1"/>
      <w:numFmt w:val="lowerRoman"/>
      <w:lvlText w:val="%3."/>
      <w:lvlJc w:val="right"/>
      <w:pPr>
        <w:ind w:left="1480" w:hanging="420"/>
      </w:pPr>
      <w:rPr>
        <w:rFonts w:ascii="Times New Roman" w:hAnsi="Times New Roman" w:cs="Times New Roman" w:hint="default"/>
      </w:rPr>
    </w:lvl>
    <w:lvl w:ilvl="3">
      <w:start w:val="1"/>
      <w:numFmt w:val="decimal"/>
      <w:lvlText w:val="%4."/>
      <w:lvlJc w:val="left"/>
      <w:pPr>
        <w:ind w:left="1900" w:hanging="420"/>
      </w:pPr>
      <w:rPr>
        <w:rFonts w:ascii="Times New Roman" w:hAnsi="Times New Roman" w:cs="Times New Roman" w:hint="default"/>
      </w:rPr>
    </w:lvl>
    <w:lvl w:ilvl="4">
      <w:start w:val="1"/>
      <w:numFmt w:val="lowerLetter"/>
      <w:lvlText w:val="%5)"/>
      <w:lvlJc w:val="left"/>
      <w:pPr>
        <w:ind w:left="2320" w:hanging="420"/>
      </w:pPr>
      <w:rPr>
        <w:rFonts w:ascii="Times New Roman" w:hAnsi="Times New Roman" w:cs="Times New Roman" w:hint="default"/>
      </w:rPr>
    </w:lvl>
    <w:lvl w:ilvl="5">
      <w:start w:val="1"/>
      <w:numFmt w:val="lowerRoman"/>
      <w:lvlText w:val="%6."/>
      <w:lvlJc w:val="right"/>
      <w:pPr>
        <w:ind w:left="2740" w:hanging="420"/>
      </w:pPr>
      <w:rPr>
        <w:rFonts w:ascii="Times New Roman" w:hAnsi="Times New Roman" w:cs="Times New Roman" w:hint="default"/>
      </w:rPr>
    </w:lvl>
    <w:lvl w:ilvl="6">
      <w:start w:val="1"/>
      <w:numFmt w:val="decimal"/>
      <w:lvlText w:val="%7."/>
      <w:lvlJc w:val="left"/>
      <w:pPr>
        <w:ind w:left="3160" w:hanging="420"/>
      </w:pPr>
      <w:rPr>
        <w:rFonts w:ascii="Times New Roman" w:hAnsi="Times New Roman" w:cs="Times New Roman" w:hint="default"/>
      </w:rPr>
    </w:lvl>
    <w:lvl w:ilvl="7">
      <w:start w:val="1"/>
      <w:numFmt w:val="lowerLetter"/>
      <w:lvlText w:val="%8)"/>
      <w:lvlJc w:val="left"/>
      <w:pPr>
        <w:ind w:left="3580" w:hanging="420"/>
      </w:pPr>
      <w:rPr>
        <w:rFonts w:ascii="Times New Roman" w:hAnsi="Times New Roman" w:cs="Times New Roman" w:hint="default"/>
      </w:rPr>
    </w:lvl>
    <w:lvl w:ilvl="8">
      <w:start w:val="1"/>
      <w:numFmt w:val="lowerRoman"/>
      <w:lvlText w:val="%9."/>
      <w:lvlJc w:val="right"/>
      <w:pPr>
        <w:ind w:left="4000" w:hanging="420"/>
      </w:pPr>
      <w:rPr>
        <w:rFonts w:ascii="Times New Roman" w:hAnsi="Times New Roman" w:cs="Times New Roman" w:hint="default"/>
      </w:rPr>
    </w:lvl>
  </w:abstractNum>
  <w:abstractNum w:abstractNumId="2" w15:restartNumberingAfterBreak="0">
    <w:nsid w:val="3A4C3AAB"/>
    <w:multiLevelType w:val="hybridMultilevel"/>
    <w:tmpl w:val="96060254"/>
    <w:lvl w:ilvl="0" w:tplc="BC801BDE">
      <w:start w:val="1"/>
      <w:numFmt w:val="lowerLetter"/>
      <w:lvlText w:val="(%1)"/>
      <w:lvlJc w:val="left"/>
      <w:pPr>
        <w:ind w:left="360" w:hanging="360"/>
      </w:pPr>
      <w:rPr>
        <w:rFonts w:ascii="Times-Bold" w:hAnsi="Times-Bold"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86616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185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887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585EEDEA-A8BE-4564-ADE7-C16C3D879001}" w:val=" ADDIN NE.Ref.{585EEDEA-A8BE-4564-ADE7-C16C3D879001}&lt;Citation&gt;&lt;Group&gt;&lt;References&gt;&lt;Item&gt;&lt;ID&gt;2559&lt;/ID&gt;&lt;UID&gt;{C4F98BF1-E283-4780-BD98-7596E771984A}&lt;/UID&gt;&lt;Title&gt;Neoadjuvant PD-1/PD-L1 Inhibitors for Resectable Head and Neck Cancer: A  Systematic Review and Meta-analysis&lt;/Title&gt;&lt;Template&gt;Journal Article&lt;/Template&gt;&lt;Star&gt;0&lt;/Star&gt;&lt;Tag&gt;0&lt;/Tag&gt;&lt;Author&gt;Masarwy, R; Kampel, L; Horowitz, G; Gutfeld, O; Muhanna, N&lt;/Author&gt;&lt;Year&gt;2021&lt;/Year&gt;&lt;Details&gt;&lt;_accession_num&gt;34473219&lt;/_accession_num&gt;&lt;_author_adr&gt;Department of Otolaryngology-Head and Neck and Maxillofacial Surgery, Tel Aviv  Sourasky Medical Center, Sackler School of Medicine, Tel Aviv University, Tel  Aviv, Israel.; Department of Otolaryngology-Head and Neck and Maxillofacial Surgery, Tel Aviv  Sourasky Medical Center, Sackler School of Medicine, Tel Aviv University, Tel  Aviv, Israel.; Department of Otolaryngology-Head and Neck and Maxillofacial Surgery, Tel Aviv  Sourasky Medical Center, Sackler School of Medicine, Tel Aviv University, Tel  Aviv, Israel.; Institute of Radiation Therapy, Division of Oncology, Tel Aviv Sourasky Medical  Center, Sackler School of Medicine, Tel Aviv University, Tel Aviv, Israel.; Department of Otolaryngology-Head and Neck and Maxillofacial Surgery, Tel Aviv  Sourasky Medical Center, Sackler School of Medicine, Tel Aviv University, Tel  Aviv, Israel.&lt;/_author_adr&gt;&lt;_date_display&gt;2021 Oct 1&lt;/_date_display&gt;&lt;_date&gt;2021-10-01&lt;/_date&gt;&lt;_doi&gt;10.1001/jamaoto.2021.2191&lt;/_doi&gt;&lt;_isbn&gt;2168-619X (Electronic); 2168-6181 (Print); 2168-6181 (Linking)&lt;/_isbn&gt;&lt;_issue&gt;10&lt;/_issue&gt;&lt;_journal&gt;JAMA Otolaryngol Head Neck Surg&lt;/_journal&gt;&lt;_language&gt;eng&lt;/_language&gt;&lt;_pages&gt;871-878&lt;/_pages&gt;&lt;_subject_headings&gt;Antineoplastic Agents, Immunological/*therapeutic use; B7-H1 Antigen/*antagonists &amp;amp; inhibitors; Head and Neck Neoplasms/*drug therapy/surgery; Humans; Immune Checkpoint Inhibitors/*therapeutic use; Immunotherapy/*methods; Neoadjuvant Therapy; Programmed Cell Death 1 Receptor/*antagonists &amp;amp; inhibitors&lt;/_subject_headings&gt;&lt;_tertiary_title&gt;JAMA otolaryngology-- head &amp;amp; neck surgery&lt;/_tertiary_title&gt;&lt;_type_work&gt;Journal Article; Meta-Analysis; Systematic Review&lt;/_type_work&gt;&lt;_url&gt;http://www.ncbi.nlm.nih.gov/entrez/query.fcgi?cmd=Retrieve&amp;amp;db=pubmed&amp;amp;dopt=Abstract&amp;amp;list_uids=34473219&amp;amp;query_hl=1&lt;/_url&gt;&lt;_volume&gt;147&lt;/_volume&gt;&lt;_created&gt;64716289&lt;/_created&gt;&lt;_modified&gt;64716289&lt;/_modified&gt;&lt;_impact_factor&gt;   8.961&lt;/_impact_factor&gt;&lt;_social_category&gt;医学(1)&lt;/_social_category&gt;&lt;_collection_scope&gt;SCIE&lt;/_collection_scope&gt;&lt;/Details&gt;&lt;Extra&gt;&lt;DBUID&gt;{A295CE5C-C4E3-454D-8292-C2928E32FCD4}&lt;/DBUID&gt;&lt;/Extra&gt;&lt;/Item&gt;&lt;/References&gt;&lt;/Group&gt;&lt;/Citation&gt;_x000a_"/>
    <w:docVar w:name="NE.Ref{7BD1E54D-58AC-495E-A42E-1A8D51D701FB}" w:val=" ADDIN NE.Ref.{7BD1E54D-58AC-495E-A42E-1A8D51D701FB}&lt;Citation&gt;&lt;Group&gt;&lt;References&gt;&lt;Item&gt;&lt;ID&gt;2593&lt;/ID&gt;&lt;UID&gt;{54F0ACD5-9B08-4E2F-893E-B81BA0EF83FB}&lt;/UID&gt;&lt;Title&gt;Implement meta-analysis with non-comparative binary data in RevMan software&lt;/Title&gt;&lt;Template&gt;Journal Article&lt;/Template&gt;&lt;Star&gt;0&lt;/Star&gt;&lt;Tag&gt;0&lt;/Tag&gt;&lt;Author&gt;Chen, Y H; Du, L; Geng, X Y; Liu, G J&lt;/Author&gt;&lt;Year&gt;2014&lt;/Year&gt;&lt;Details&gt;&lt;_alternate_title&gt;Chin J Evid Based Med&lt;/_alternate_title&gt;&lt;_date_display&gt;2014&lt;/_date_display&gt;&lt;_date&gt;2014-01-01&lt;/_date&gt;&lt;_issue&gt;7&lt;/_issue&gt;&lt;_journal&gt;Chin J Evid Based Med&lt;/_journal&gt;&lt;_pages&gt;889-896&lt;/_pages&gt;&lt;_volume&gt;14&lt;/_volume&gt;&lt;_created&gt;64746056&lt;/_created&gt;&lt;_modified&gt;64746056&lt;/_modified&gt;&lt;_accessed&gt;64746056&lt;/_accessed&gt;&lt;/Details&gt;&lt;Extra&gt;&lt;DBUID&gt;{A295CE5C-C4E3-454D-8292-C2928E32FCD4}&lt;/DBUID&gt;&lt;/Extra&gt;&lt;/Item&gt;&lt;/References&gt;&lt;/Group&gt;&lt;/Citation&gt;_x000a_"/>
    <w:docVar w:name="ne_docsoft" w:val="MSWord"/>
    <w:docVar w:name="ne_docversion" w:val="NoteExpress 2.0"/>
    <w:docVar w:name="ne_stylename" w:val="Annals Surgery"/>
  </w:docVars>
  <w:rsids>
    <w:rsidRoot w:val="005A608E"/>
    <w:rsid w:val="00003B29"/>
    <w:rsid w:val="00023B64"/>
    <w:rsid w:val="000759BC"/>
    <w:rsid w:val="00081B18"/>
    <w:rsid w:val="00087AB5"/>
    <w:rsid w:val="00090FA2"/>
    <w:rsid w:val="000B0CC0"/>
    <w:rsid w:val="000F4EDB"/>
    <w:rsid w:val="00160F85"/>
    <w:rsid w:val="001B7A57"/>
    <w:rsid w:val="002B5B3F"/>
    <w:rsid w:val="002C1A69"/>
    <w:rsid w:val="002C6A2F"/>
    <w:rsid w:val="002C741F"/>
    <w:rsid w:val="003072AE"/>
    <w:rsid w:val="00397F65"/>
    <w:rsid w:val="00427D12"/>
    <w:rsid w:val="00441974"/>
    <w:rsid w:val="00454231"/>
    <w:rsid w:val="004B1154"/>
    <w:rsid w:val="005812A3"/>
    <w:rsid w:val="005A608E"/>
    <w:rsid w:val="005B25F1"/>
    <w:rsid w:val="005F4EC0"/>
    <w:rsid w:val="00663EF9"/>
    <w:rsid w:val="00682058"/>
    <w:rsid w:val="006B3EC9"/>
    <w:rsid w:val="006F58C1"/>
    <w:rsid w:val="00703CC6"/>
    <w:rsid w:val="00720B27"/>
    <w:rsid w:val="00735B3C"/>
    <w:rsid w:val="00751758"/>
    <w:rsid w:val="007B125E"/>
    <w:rsid w:val="007B12EE"/>
    <w:rsid w:val="007B1601"/>
    <w:rsid w:val="00863B5B"/>
    <w:rsid w:val="008C2BD8"/>
    <w:rsid w:val="008C6A00"/>
    <w:rsid w:val="008D15AD"/>
    <w:rsid w:val="00917825"/>
    <w:rsid w:val="0092391D"/>
    <w:rsid w:val="00980339"/>
    <w:rsid w:val="009E33ED"/>
    <w:rsid w:val="00A5700D"/>
    <w:rsid w:val="00A73AC0"/>
    <w:rsid w:val="00AB1309"/>
    <w:rsid w:val="00B23B96"/>
    <w:rsid w:val="00B53BC9"/>
    <w:rsid w:val="00B94563"/>
    <w:rsid w:val="00C15B25"/>
    <w:rsid w:val="00C4022B"/>
    <w:rsid w:val="00CF7A43"/>
    <w:rsid w:val="00D50485"/>
    <w:rsid w:val="00E12960"/>
    <w:rsid w:val="00EB1668"/>
    <w:rsid w:val="00EE567A"/>
    <w:rsid w:val="00F149EB"/>
    <w:rsid w:val="00F309E5"/>
    <w:rsid w:val="00F566F6"/>
    <w:rsid w:val="00FB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83021"/>
  <w15:chartTrackingRefBased/>
  <w15:docId w15:val="{68828BF7-2EAB-4F64-83C9-738F0A39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391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91D"/>
    <w:rPr>
      <w:b/>
      <w:bCs/>
      <w:kern w:val="44"/>
      <w:sz w:val="44"/>
      <w:szCs w:val="44"/>
    </w:rPr>
  </w:style>
  <w:style w:type="paragraph" w:styleId="TOC">
    <w:name w:val="TOC Heading"/>
    <w:basedOn w:val="1"/>
    <w:next w:val="a"/>
    <w:uiPriority w:val="39"/>
    <w:unhideWhenUsed/>
    <w:qFormat/>
    <w:rsid w:val="0092391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92391D"/>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92391D"/>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92391D"/>
    <w:pPr>
      <w:widowControl/>
      <w:spacing w:after="100" w:line="259" w:lineRule="auto"/>
      <w:ind w:left="440"/>
      <w:jc w:val="left"/>
    </w:pPr>
    <w:rPr>
      <w:rFonts w:cs="Times New Roman"/>
      <w:kern w:val="0"/>
      <w:sz w:val="22"/>
    </w:rPr>
  </w:style>
  <w:style w:type="paragraph" w:customStyle="1" w:styleId="11">
    <w:name w:val="列表段落1"/>
    <w:basedOn w:val="a"/>
    <w:rsid w:val="00B53BC9"/>
    <w:pPr>
      <w:ind w:firstLineChars="200" w:firstLine="420"/>
    </w:pPr>
    <w:rPr>
      <w:rFonts w:ascii="等线" w:eastAsia="等线" w:hAnsi="等线" w:cs="Times New Roman"/>
      <w:szCs w:val="21"/>
    </w:rPr>
  </w:style>
  <w:style w:type="character" w:styleId="a3">
    <w:name w:val="Strong"/>
    <w:basedOn w:val="a0"/>
    <w:uiPriority w:val="22"/>
    <w:qFormat/>
    <w:rsid w:val="00B53BC9"/>
    <w:rPr>
      <w:b/>
      <w:bCs/>
    </w:rPr>
  </w:style>
  <w:style w:type="paragraph" w:styleId="a4">
    <w:name w:val="List Paragraph"/>
    <w:basedOn w:val="a"/>
    <w:uiPriority w:val="34"/>
    <w:qFormat/>
    <w:rsid w:val="00B53BC9"/>
    <w:pPr>
      <w:ind w:firstLineChars="200" w:firstLine="420"/>
    </w:pPr>
  </w:style>
  <w:style w:type="table" w:styleId="a5">
    <w:name w:val="Table Grid"/>
    <w:basedOn w:val="a1"/>
    <w:uiPriority w:val="99"/>
    <w:rsid w:val="004B1154"/>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EB1668"/>
    <w:rPr>
      <w:color w:val="808080"/>
    </w:rPr>
  </w:style>
  <w:style w:type="paragraph" w:styleId="a7">
    <w:name w:val="header"/>
    <w:basedOn w:val="a"/>
    <w:link w:val="a8"/>
    <w:uiPriority w:val="99"/>
    <w:unhideWhenUsed/>
    <w:rsid w:val="0044197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41974"/>
    <w:rPr>
      <w:sz w:val="18"/>
      <w:szCs w:val="18"/>
    </w:rPr>
  </w:style>
  <w:style w:type="paragraph" w:styleId="a9">
    <w:name w:val="footer"/>
    <w:basedOn w:val="a"/>
    <w:link w:val="aa"/>
    <w:uiPriority w:val="99"/>
    <w:unhideWhenUsed/>
    <w:rsid w:val="00441974"/>
    <w:pPr>
      <w:tabs>
        <w:tab w:val="center" w:pos="4153"/>
        <w:tab w:val="right" w:pos="8306"/>
      </w:tabs>
      <w:snapToGrid w:val="0"/>
      <w:jc w:val="left"/>
    </w:pPr>
    <w:rPr>
      <w:sz w:val="18"/>
      <w:szCs w:val="18"/>
    </w:rPr>
  </w:style>
  <w:style w:type="character" w:customStyle="1" w:styleId="aa">
    <w:name w:val="页脚 字符"/>
    <w:basedOn w:val="a0"/>
    <w:link w:val="a9"/>
    <w:uiPriority w:val="99"/>
    <w:rsid w:val="00441974"/>
    <w:rPr>
      <w:sz w:val="18"/>
      <w:szCs w:val="18"/>
    </w:rPr>
  </w:style>
  <w:style w:type="paragraph" w:styleId="ab">
    <w:name w:val="Normal (Web)"/>
    <w:basedOn w:val="a"/>
    <w:uiPriority w:val="99"/>
    <w:semiHidden/>
    <w:unhideWhenUsed/>
    <w:rsid w:val="004419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6835">
      <w:bodyDiv w:val="1"/>
      <w:marLeft w:val="0"/>
      <w:marRight w:val="0"/>
      <w:marTop w:val="0"/>
      <w:marBottom w:val="0"/>
      <w:divBdr>
        <w:top w:val="none" w:sz="0" w:space="0" w:color="auto"/>
        <w:left w:val="none" w:sz="0" w:space="0" w:color="auto"/>
        <w:bottom w:val="none" w:sz="0" w:space="0" w:color="auto"/>
        <w:right w:val="none" w:sz="0" w:space="0" w:color="auto"/>
      </w:divBdr>
    </w:div>
    <w:div w:id="189032247">
      <w:bodyDiv w:val="1"/>
      <w:marLeft w:val="0"/>
      <w:marRight w:val="0"/>
      <w:marTop w:val="0"/>
      <w:marBottom w:val="0"/>
      <w:divBdr>
        <w:top w:val="none" w:sz="0" w:space="0" w:color="auto"/>
        <w:left w:val="none" w:sz="0" w:space="0" w:color="auto"/>
        <w:bottom w:val="none" w:sz="0" w:space="0" w:color="auto"/>
        <w:right w:val="none" w:sz="0" w:space="0" w:color="auto"/>
      </w:divBdr>
    </w:div>
    <w:div w:id="213125643">
      <w:bodyDiv w:val="1"/>
      <w:marLeft w:val="0"/>
      <w:marRight w:val="0"/>
      <w:marTop w:val="0"/>
      <w:marBottom w:val="0"/>
      <w:divBdr>
        <w:top w:val="none" w:sz="0" w:space="0" w:color="auto"/>
        <w:left w:val="none" w:sz="0" w:space="0" w:color="auto"/>
        <w:bottom w:val="none" w:sz="0" w:space="0" w:color="auto"/>
        <w:right w:val="none" w:sz="0" w:space="0" w:color="auto"/>
      </w:divBdr>
    </w:div>
    <w:div w:id="440420870">
      <w:bodyDiv w:val="1"/>
      <w:marLeft w:val="0"/>
      <w:marRight w:val="0"/>
      <w:marTop w:val="0"/>
      <w:marBottom w:val="0"/>
      <w:divBdr>
        <w:top w:val="none" w:sz="0" w:space="0" w:color="auto"/>
        <w:left w:val="none" w:sz="0" w:space="0" w:color="auto"/>
        <w:bottom w:val="none" w:sz="0" w:space="0" w:color="auto"/>
        <w:right w:val="none" w:sz="0" w:space="0" w:color="auto"/>
      </w:divBdr>
    </w:div>
    <w:div w:id="458649556">
      <w:bodyDiv w:val="1"/>
      <w:marLeft w:val="0"/>
      <w:marRight w:val="0"/>
      <w:marTop w:val="0"/>
      <w:marBottom w:val="0"/>
      <w:divBdr>
        <w:top w:val="none" w:sz="0" w:space="0" w:color="auto"/>
        <w:left w:val="none" w:sz="0" w:space="0" w:color="auto"/>
        <w:bottom w:val="none" w:sz="0" w:space="0" w:color="auto"/>
        <w:right w:val="none" w:sz="0" w:space="0" w:color="auto"/>
      </w:divBdr>
    </w:div>
    <w:div w:id="477191093">
      <w:bodyDiv w:val="1"/>
      <w:marLeft w:val="0"/>
      <w:marRight w:val="0"/>
      <w:marTop w:val="0"/>
      <w:marBottom w:val="0"/>
      <w:divBdr>
        <w:top w:val="none" w:sz="0" w:space="0" w:color="auto"/>
        <w:left w:val="none" w:sz="0" w:space="0" w:color="auto"/>
        <w:bottom w:val="none" w:sz="0" w:space="0" w:color="auto"/>
        <w:right w:val="none" w:sz="0" w:space="0" w:color="auto"/>
      </w:divBdr>
    </w:div>
    <w:div w:id="549732634">
      <w:bodyDiv w:val="1"/>
      <w:marLeft w:val="0"/>
      <w:marRight w:val="0"/>
      <w:marTop w:val="0"/>
      <w:marBottom w:val="0"/>
      <w:divBdr>
        <w:top w:val="none" w:sz="0" w:space="0" w:color="auto"/>
        <w:left w:val="none" w:sz="0" w:space="0" w:color="auto"/>
        <w:bottom w:val="none" w:sz="0" w:space="0" w:color="auto"/>
        <w:right w:val="none" w:sz="0" w:space="0" w:color="auto"/>
      </w:divBdr>
    </w:div>
    <w:div w:id="691152560">
      <w:bodyDiv w:val="1"/>
      <w:marLeft w:val="0"/>
      <w:marRight w:val="0"/>
      <w:marTop w:val="0"/>
      <w:marBottom w:val="0"/>
      <w:divBdr>
        <w:top w:val="none" w:sz="0" w:space="0" w:color="auto"/>
        <w:left w:val="none" w:sz="0" w:space="0" w:color="auto"/>
        <w:bottom w:val="none" w:sz="0" w:space="0" w:color="auto"/>
        <w:right w:val="none" w:sz="0" w:space="0" w:color="auto"/>
      </w:divBdr>
    </w:div>
    <w:div w:id="846092458">
      <w:bodyDiv w:val="1"/>
      <w:marLeft w:val="0"/>
      <w:marRight w:val="0"/>
      <w:marTop w:val="0"/>
      <w:marBottom w:val="0"/>
      <w:divBdr>
        <w:top w:val="none" w:sz="0" w:space="0" w:color="auto"/>
        <w:left w:val="none" w:sz="0" w:space="0" w:color="auto"/>
        <w:bottom w:val="none" w:sz="0" w:space="0" w:color="auto"/>
        <w:right w:val="none" w:sz="0" w:space="0" w:color="auto"/>
      </w:divBdr>
    </w:div>
    <w:div w:id="958609392">
      <w:bodyDiv w:val="1"/>
      <w:marLeft w:val="0"/>
      <w:marRight w:val="0"/>
      <w:marTop w:val="0"/>
      <w:marBottom w:val="0"/>
      <w:divBdr>
        <w:top w:val="none" w:sz="0" w:space="0" w:color="auto"/>
        <w:left w:val="none" w:sz="0" w:space="0" w:color="auto"/>
        <w:bottom w:val="none" w:sz="0" w:space="0" w:color="auto"/>
        <w:right w:val="none" w:sz="0" w:space="0" w:color="auto"/>
      </w:divBdr>
    </w:div>
    <w:div w:id="1135833702">
      <w:bodyDiv w:val="1"/>
      <w:marLeft w:val="0"/>
      <w:marRight w:val="0"/>
      <w:marTop w:val="0"/>
      <w:marBottom w:val="0"/>
      <w:divBdr>
        <w:top w:val="none" w:sz="0" w:space="0" w:color="auto"/>
        <w:left w:val="none" w:sz="0" w:space="0" w:color="auto"/>
        <w:bottom w:val="none" w:sz="0" w:space="0" w:color="auto"/>
        <w:right w:val="none" w:sz="0" w:space="0" w:color="auto"/>
      </w:divBdr>
    </w:div>
    <w:div w:id="1224175526">
      <w:bodyDiv w:val="1"/>
      <w:marLeft w:val="0"/>
      <w:marRight w:val="0"/>
      <w:marTop w:val="0"/>
      <w:marBottom w:val="0"/>
      <w:divBdr>
        <w:top w:val="none" w:sz="0" w:space="0" w:color="auto"/>
        <w:left w:val="none" w:sz="0" w:space="0" w:color="auto"/>
        <w:bottom w:val="none" w:sz="0" w:space="0" w:color="auto"/>
        <w:right w:val="none" w:sz="0" w:space="0" w:color="auto"/>
      </w:divBdr>
      <w:divsChild>
        <w:div w:id="429473174">
          <w:marLeft w:val="0"/>
          <w:marRight w:val="0"/>
          <w:marTop w:val="0"/>
          <w:marBottom w:val="0"/>
          <w:divBdr>
            <w:top w:val="none" w:sz="0" w:space="0" w:color="auto"/>
            <w:left w:val="none" w:sz="0" w:space="0" w:color="auto"/>
            <w:bottom w:val="none" w:sz="0" w:space="0" w:color="auto"/>
            <w:right w:val="none" w:sz="0" w:space="0" w:color="auto"/>
          </w:divBdr>
        </w:div>
        <w:div w:id="1280339137">
          <w:marLeft w:val="0"/>
          <w:marRight w:val="0"/>
          <w:marTop w:val="0"/>
          <w:marBottom w:val="0"/>
          <w:divBdr>
            <w:top w:val="none" w:sz="0" w:space="0" w:color="auto"/>
            <w:left w:val="none" w:sz="0" w:space="0" w:color="auto"/>
            <w:bottom w:val="none" w:sz="0" w:space="0" w:color="auto"/>
            <w:right w:val="none" w:sz="0" w:space="0" w:color="auto"/>
          </w:divBdr>
        </w:div>
      </w:divsChild>
    </w:div>
    <w:div w:id="1473250739">
      <w:bodyDiv w:val="1"/>
      <w:marLeft w:val="0"/>
      <w:marRight w:val="0"/>
      <w:marTop w:val="0"/>
      <w:marBottom w:val="0"/>
      <w:divBdr>
        <w:top w:val="none" w:sz="0" w:space="0" w:color="auto"/>
        <w:left w:val="none" w:sz="0" w:space="0" w:color="auto"/>
        <w:bottom w:val="none" w:sz="0" w:space="0" w:color="auto"/>
        <w:right w:val="none" w:sz="0" w:space="0" w:color="auto"/>
      </w:divBdr>
    </w:div>
    <w:div w:id="1558861211">
      <w:bodyDiv w:val="1"/>
      <w:marLeft w:val="0"/>
      <w:marRight w:val="0"/>
      <w:marTop w:val="0"/>
      <w:marBottom w:val="0"/>
      <w:divBdr>
        <w:top w:val="none" w:sz="0" w:space="0" w:color="auto"/>
        <w:left w:val="none" w:sz="0" w:space="0" w:color="auto"/>
        <w:bottom w:val="none" w:sz="0" w:space="0" w:color="auto"/>
        <w:right w:val="none" w:sz="0" w:space="0" w:color="auto"/>
      </w:divBdr>
      <w:divsChild>
        <w:div w:id="884757450">
          <w:marLeft w:val="0"/>
          <w:marRight w:val="0"/>
          <w:marTop w:val="0"/>
          <w:marBottom w:val="0"/>
          <w:divBdr>
            <w:top w:val="none" w:sz="0" w:space="0" w:color="auto"/>
            <w:left w:val="none" w:sz="0" w:space="0" w:color="auto"/>
            <w:bottom w:val="none" w:sz="0" w:space="0" w:color="auto"/>
            <w:right w:val="none" w:sz="0" w:space="0" w:color="auto"/>
          </w:divBdr>
        </w:div>
        <w:div w:id="227036369">
          <w:marLeft w:val="0"/>
          <w:marRight w:val="0"/>
          <w:marTop w:val="0"/>
          <w:marBottom w:val="0"/>
          <w:divBdr>
            <w:top w:val="none" w:sz="0" w:space="0" w:color="auto"/>
            <w:left w:val="none" w:sz="0" w:space="0" w:color="auto"/>
            <w:bottom w:val="none" w:sz="0" w:space="0" w:color="auto"/>
            <w:right w:val="none" w:sz="0" w:space="0" w:color="auto"/>
          </w:divBdr>
        </w:div>
        <w:div w:id="413283585">
          <w:marLeft w:val="0"/>
          <w:marRight w:val="0"/>
          <w:marTop w:val="0"/>
          <w:marBottom w:val="0"/>
          <w:divBdr>
            <w:top w:val="none" w:sz="0" w:space="0" w:color="auto"/>
            <w:left w:val="none" w:sz="0" w:space="0" w:color="auto"/>
            <w:bottom w:val="none" w:sz="0" w:space="0" w:color="auto"/>
            <w:right w:val="none" w:sz="0" w:space="0" w:color="auto"/>
          </w:divBdr>
        </w:div>
        <w:div w:id="1852839278">
          <w:marLeft w:val="0"/>
          <w:marRight w:val="0"/>
          <w:marTop w:val="0"/>
          <w:marBottom w:val="0"/>
          <w:divBdr>
            <w:top w:val="none" w:sz="0" w:space="0" w:color="auto"/>
            <w:left w:val="none" w:sz="0" w:space="0" w:color="auto"/>
            <w:bottom w:val="none" w:sz="0" w:space="0" w:color="auto"/>
            <w:right w:val="none" w:sz="0" w:space="0" w:color="auto"/>
          </w:divBdr>
        </w:div>
        <w:div w:id="484320418">
          <w:marLeft w:val="0"/>
          <w:marRight w:val="0"/>
          <w:marTop w:val="0"/>
          <w:marBottom w:val="0"/>
          <w:divBdr>
            <w:top w:val="none" w:sz="0" w:space="0" w:color="auto"/>
            <w:left w:val="none" w:sz="0" w:space="0" w:color="auto"/>
            <w:bottom w:val="none" w:sz="0" w:space="0" w:color="auto"/>
            <w:right w:val="none" w:sz="0" w:space="0" w:color="auto"/>
          </w:divBdr>
        </w:div>
      </w:divsChild>
    </w:div>
    <w:div w:id="1819767362">
      <w:bodyDiv w:val="1"/>
      <w:marLeft w:val="0"/>
      <w:marRight w:val="0"/>
      <w:marTop w:val="0"/>
      <w:marBottom w:val="0"/>
      <w:divBdr>
        <w:top w:val="none" w:sz="0" w:space="0" w:color="auto"/>
        <w:left w:val="none" w:sz="0" w:space="0" w:color="auto"/>
        <w:bottom w:val="none" w:sz="0" w:space="0" w:color="auto"/>
        <w:right w:val="none" w:sz="0" w:space="0" w:color="auto"/>
      </w:divBdr>
    </w:div>
    <w:div w:id="1881211798">
      <w:bodyDiv w:val="1"/>
      <w:marLeft w:val="0"/>
      <w:marRight w:val="0"/>
      <w:marTop w:val="0"/>
      <w:marBottom w:val="0"/>
      <w:divBdr>
        <w:top w:val="none" w:sz="0" w:space="0" w:color="auto"/>
        <w:left w:val="none" w:sz="0" w:space="0" w:color="auto"/>
        <w:bottom w:val="none" w:sz="0" w:space="0" w:color="auto"/>
        <w:right w:val="none" w:sz="0" w:space="0" w:color="auto"/>
      </w:divBdr>
      <w:divsChild>
        <w:div w:id="1975714131">
          <w:marLeft w:val="0"/>
          <w:marRight w:val="0"/>
          <w:marTop w:val="0"/>
          <w:marBottom w:val="0"/>
          <w:divBdr>
            <w:top w:val="none" w:sz="0" w:space="0" w:color="auto"/>
            <w:left w:val="none" w:sz="0" w:space="0" w:color="auto"/>
            <w:bottom w:val="none" w:sz="0" w:space="0" w:color="auto"/>
            <w:right w:val="none" w:sz="0" w:space="0" w:color="auto"/>
          </w:divBdr>
        </w:div>
        <w:div w:id="1711954217">
          <w:marLeft w:val="0"/>
          <w:marRight w:val="0"/>
          <w:marTop w:val="0"/>
          <w:marBottom w:val="0"/>
          <w:divBdr>
            <w:top w:val="none" w:sz="0" w:space="0" w:color="auto"/>
            <w:left w:val="none" w:sz="0" w:space="0" w:color="auto"/>
            <w:bottom w:val="none" w:sz="0" w:space="0" w:color="auto"/>
            <w:right w:val="none" w:sz="0" w:space="0" w:color="auto"/>
          </w:divBdr>
        </w:div>
      </w:divsChild>
    </w:div>
    <w:div w:id="1998682870">
      <w:bodyDiv w:val="1"/>
      <w:marLeft w:val="0"/>
      <w:marRight w:val="0"/>
      <w:marTop w:val="0"/>
      <w:marBottom w:val="0"/>
      <w:divBdr>
        <w:top w:val="none" w:sz="0" w:space="0" w:color="auto"/>
        <w:left w:val="none" w:sz="0" w:space="0" w:color="auto"/>
        <w:bottom w:val="none" w:sz="0" w:space="0" w:color="auto"/>
        <w:right w:val="none" w:sz="0" w:space="0" w:color="auto"/>
      </w:divBdr>
    </w:div>
    <w:div w:id="2020545036">
      <w:bodyDiv w:val="1"/>
      <w:marLeft w:val="0"/>
      <w:marRight w:val="0"/>
      <w:marTop w:val="0"/>
      <w:marBottom w:val="0"/>
      <w:divBdr>
        <w:top w:val="none" w:sz="0" w:space="0" w:color="auto"/>
        <w:left w:val="none" w:sz="0" w:space="0" w:color="auto"/>
        <w:bottom w:val="none" w:sz="0" w:space="0" w:color="auto"/>
        <w:right w:val="none" w:sz="0" w:space="0" w:color="auto"/>
      </w:divBdr>
    </w:div>
    <w:div w:id="2077436148">
      <w:bodyDiv w:val="1"/>
      <w:marLeft w:val="0"/>
      <w:marRight w:val="0"/>
      <w:marTop w:val="0"/>
      <w:marBottom w:val="0"/>
      <w:divBdr>
        <w:top w:val="none" w:sz="0" w:space="0" w:color="auto"/>
        <w:left w:val="none" w:sz="0" w:space="0" w:color="auto"/>
        <w:bottom w:val="none" w:sz="0" w:space="0" w:color="auto"/>
        <w:right w:val="none" w:sz="0" w:space="0" w:color="auto"/>
      </w:divBdr>
    </w:div>
    <w:div w:id="21314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2011A-1681-4176-BCAA-3621F230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7</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李腾云</dc:creator>
  <cp:keywords/>
  <dc:description>NE.Ref</dc:description>
  <cp:lastModifiedBy>李腾云</cp:lastModifiedBy>
  <cp:revision>46</cp:revision>
  <dcterms:created xsi:type="dcterms:W3CDTF">2023-01-09T09:05:00Z</dcterms:created>
  <dcterms:modified xsi:type="dcterms:W3CDTF">2023-02-21T09:37:00Z</dcterms:modified>
</cp:coreProperties>
</file>