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6F011" w14:textId="77777777" w:rsidR="00E71A60" w:rsidRPr="00E71A60" w:rsidRDefault="00E71A60">
      <w:pPr>
        <w:rPr>
          <w:b/>
          <w:sz w:val="22"/>
        </w:rPr>
      </w:pPr>
      <w:r w:rsidRPr="00E71A60">
        <w:rPr>
          <w:b/>
          <w:sz w:val="22"/>
        </w:rPr>
        <w:t>Table S5: Chemotherapy type characteristics among chemotherapy receiving patients</w:t>
      </w:r>
    </w:p>
    <w:tbl>
      <w:tblPr>
        <w:tblW w:w="5313" w:type="pct"/>
        <w:tblLook w:val="07E0" w:firstRow="1" w:lastRow="1" w:firstColumn="1" w:lastColumn="1" w:noHBand="1" w:noVBand="1"/>
      </w:tblPr>
      <w:tblGrid>
        <w:gridCol w:w="4823"/>
        <w:gridCol w:w="1274"/>
        <w:gridCol w:w="1274"/>
        <w:gridCol w:w="1276"/>
        <w:gridCol w:w="993"/>
      </w:tblGrid>
      <w:tr w:rsidR="005F2465" w:rsidRPr="006C3529" w14:paraId="2C7334B0" w14:textId="77777777" w:rsidTr="00621206">
        <w:tc>
          <w:tcPr>
            <w:tcW w:w="2501" w:type="pct"/>
            <w:tcBorders>
              <w:top w:val="single" w:sz="4" w:space="0" w:color="auto"/>
              <w:bottom w:val="single" w:sz="4" w:space="0" w:color="auto"/>
            </w:tcBorders>
          </w:tcPr>
          <w:p w14:paraId="15046637" w14:textId="77777777" w:rsidR="005F2465" w:rsidRDefault="005F2465" w:rsidP="005F2465">
            <w:pPr>
              <w:pStyle w:val="Compact"/>
              <w:rPr>
                <w:b/>
                <w:sz w:val="18"/>
              </w:rPr>
            </w:pPr>
            <w:bookmarkStart w:id="0" w:name="_GoBack" w:colFirst="1" w:colLast="1"/>
          </w:p>
          <w:p w14:paraId="64D1FBA2" w14:textId="77777777" w:rsidR="005F2465" w:rsidRPr="004E7952" w:rsidRDefault="005F2465" w:rsidP="005F2465">
            <w:pPr>
              <w:pStyle w:val="Compact"/>
              <w:rPr>
                <w:b/>
                <w:sz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8170F2" w14:textId="603BE55C" w:rsidR="005F2465" w:rsidRDefault="005F2465" w:rsidP="005F2465">
            <w:pPr>
              <w:pStyle w:val="Comp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Overall</w:t>
            </w:r>
          </w:p>
          <w:p w14:paraId="5A258505" w14:textId="74D6B46D" w:rsidR="005F2465" w:rsidRDefault="005F2465" w:rsidP="005F2465">
            <w:pPr>
              <w:pStyle w:val="Comp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(N=839)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</w:tcPr>
          <w:p w14:paraId="55BD8D02" w14:textId="77777777" w:rsidR="005F2465" w:rsidRDefault="005F2465" w:rsidP="005F2465">
            <w:pPr>
              <w:pStyle w:val="Comp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RILI +</w:t>
            </w:r>
          </w:p>
          <w:p w14:paraId="006948B7" w14:textId="63D77691" w:rsidR="005F2465" w:rsidRDefault="005F2465" w:rsidP="005F2465">
            <w:pPr>
              <w:pStyle w:val="Comp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(N=29)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</w:tcPr>
          <w:p w14:paraId="66AF63C5" w14:textId="5C51522A" w:rsidR="005F2465" w:rsidRDefault="005F2465" w:rsidP="005F2465">
            <w:pPr>
              <w:pStyle w:val="Comp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RILI - </w:t>
            </w:r>
          </w:p>
          <w:p w14:paraId="71936850" w14:textId="77777777" w:rsidR="005F2465" w:rsidRPr="004E7952" w:rsidRDefault="005F2465" w:rsidP="005F2465">
            <w:pPr>
              <w:pStyle w:val="Comp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(N=810)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14:paraId="73AC1A20" w14:textId="77777777" w:rsidR="005F2465" w:rsidRPr="004E7952" w:rsidRDefault="005F2465" w:rsidP="005F2465">
            <w:pPr>
              <w:pStyle w:val="Compact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 value</w:t>
            </w:r>
          </w:p>
        </w:tc>
      </w:tr>
      <w:tr w:rsidR="005F2465" w:rsidRPr="006C3529" w14:paraId="627B419A" w14:textId="77777777" w:rsidTr="00621206">
        <w:tc>
          <w:tcPr>
            <w:tcW w:w="2501" w:type="pct"/>
            <w:tcBorders>
              <w:top w:val="single" w:sz="4" w:space="0" w:color="auto"/>
            </w:tcBorders>
          </w:tcPr>
          <w:p w14:paraId="5AB91B14" w14:textId="56A54F41" w:rsidR="005F2465" w:rsidRDefault="005F2465" w:rsidP="005F2465">
            <w:pPr>
              <w:pStyle w:val="Compact"/>
            </w:pPr>
            <w:r>
              <w:t>Taxol-containing chemotherapy</w:t>
            </w:r>
          </w:p>
        </w:tc>
        <w:tc>
          <w:tcPr>
            <w:tcW w:w="661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C4FFFBA" w14:textId="77777777" w:rsidR="005F2465" w:rsidRDefault="005F2465" w:rsidP="005F2465">
            <w:pPr>
              <w:pStyle w:val="Compact"/>
            </w:pPr>
          </w:p>
        </w:tc>
        <w:tc>
          <w:tcPr>
            <w:tcW w:w="661" w:type="pct"/>
            <w:tcBorders>
              <w:top w:val="single" w:sz="4" w:space="0" w:color="auto"/>
            </w:tcBorders>
          </w:tcPr>
          <w:p w14:paraId="2F05B826" w14:textId="77777777" w:rsidR="005F2465" w:rsidRDefault="005F2465" w:rsidP="005F2465">
            <w:pPr>
              <w:pStyle w:val="Compact"/>
            </w:pPr>
          </w:p>
        </w:tc>
        <w:tc>
          <w:tcPr>
            <w:tcW w:w="662" w:type="pct"/>
            <w:tcBorders>
              <w:top w:val="single" w:sz="4" w:space="0" w:color="auto"/>
            </w:tcBorders>
          </w:tcPr>
          <w:p w14:paraId="0A50B1A0" w14:textId="7D8CF0BD" w:rsidR="005F2465" w:rsidRDefault="005F2465" w:rsidP="005F2465">
            <w:pPr>
              <w:pStyle w:val="Compact"/>
            </w:pPr>
          </w:p>
        </w:tc>
        <w:tc>
          <w:tcPr>
            <w:tcW w:w="515" w:type="pct"/>
            <w:tcBorders>
              <w:top w:val="single" w:sz="4" w:space="0" w:color="auto"/>
            </w:tcBorders>
          </w:tcPr>
          <w:p w14:paraId="023265E2" w14:textId="1BCD983B" w:rsidR="005F2465" w:rsidRDefault="005F2465" w:rsidP="005F2465">
            <w:pPr>
              <w:pStyle w:val="Compact"/>
              <w:jc w:val="right"/>
            </w:pPr>
            <w:r>
              <w:t>0.51 (1)</w:t>
            </w:r>
          </w:p>
        </w:tc>
      </w:tr>
      <w:tr w:rsidR="005F2465" w:rsidRPr="006C3529" w14:paraId="29AD4CF9" w14:textId="77777777" w:rsidTr="00621206">
        <w:tc>
          <w:tcPr>
            <w:tcW w:w="2501" w:type="pct"/>
          </w:tcPr>
          <w:p w14:paraId="2D909B1F" w14:textId="77777777" w:rsidR="005F2465" w:rsidRDefault="005F2465" w:rsidP="005F2465">
            <w:pPr>
              <w:pStyle w:val="Compact"/>
            </w:pPr>
            <w:r>
              <w:t>- No</w:t>
            </w:r>
          </w:p>
        </w:tc>
        <w:tc>
          <w:tcPr>
            <w:tcW w:w="661" w:type="pct"/>
            <w:shd w:val="clear" w:color="auto" w:fill="F2F2F2" w:themeFill="background1" w:themeFillShade="F2"/>
          </w:tcPr>
          <w:p w14:paraId="1D1FD476" w14:textId="6BD4A27F" w:rsidR="005F2465" w:rsidRDefault="005F2465" w:rsidP="005F2465">
            <w:pPr>
              <w:pStyle w:val="Compact"/>
              <w:jc w:val="center"/>
            </w:pPr>
            <w:r>
              <w:t>20 (2%)</w:t>
            </w:r>
          </w:p>
        </w:tc>
        <w:tc>
          <w:tcPr>
            <w:tcW w:w="661" w:type="pct"/>
          </w:tcPr>
          <w:p w14:paraId="1BDF9961" w14:textId="5BEC87A5" w:rsidR="005F2465" w:rsidRDefault="005F2465" w:rsidP="005F2465">
            <w:pPr>
              <w:pStyle w:val="Compact"/>
              <w:jc w:val="center"/>
            </w:pPr>
            <w:r>
              <w:t>1 (3%)</w:t>
            </w:r>
          </w:p>
        </w:tc>
        <w:tc>
          <w:tcPr>
            <w:tcW w:w="662" w:type="pct"/>
          </w:tcPr>
          <w:p w14:paraId="1F9BCD81" w14:textId="4D577CE5" w:rsidR="005F2465" w:rsidRDefault="005F2465" w:rsidP="005F2465">
            <w:pPr>
              <w:pStyle w:val="Compact"/>
              <w:jc w:val="center"/>
            </w:pPr>
            <w:r>
              <w:t>19 (2%)</w:t>
            </w:r>
          </w:p>
        </w:tc>
        <w:tc>
          <w:tcPr>
            <w:tcW w:w="515" w:type="pct"/>
          </w:tcPr>
          <w:p w14:paraId="2A48107D" w14:textId="77777777" w:rsidR="005F2465" w:rsidRDefault="005F2465" w:rsidP="005F2465">
            <w:pPr>
              <w:pStyle w:val="Compact"/>
            </w:pPr>
          </w:p>
        </w:tc>
      </w:tr>
      <w:tr w:rsidR="005F2465" w:rsidRPr="006C3529" w14:paraId="774F09A7" w14:textId="77777777" w:rsidTr="00621206">
        <w:tc>
          <w:tcPr>
            <w:tcW w:w="2501" w:type="pct"/>
          </w:tcPr>
          <w:p w14:paraId="786EC3D2" w14:textId="77777777" w:rsidR="005F2465" w:rsidRDefault="005F2465" w:rsidP="005F2465">
            <w:pPr>
              <w:pStyle w:val="Compact"/>
            </w:pPr>
            <w:r>
              <w:t>- Yes</w:t>
            </w:r>
          </w:p>
        </w:tc>
        <w:tc>
          <w:tcPr>
            <w:tcW w:w="661" w:type="pct"/>
            <w:shd w:val="clear" w:color="auto" w:fill="F2F2F2" w:themeFill="background1" w:themeFillShade="F2"/>
          </w:tcPr>
          <w:p w14:paraId="01DD87E3" w14:textId="576AC75D" w:rsidR="005F2465" w:rsidRDefault="005F2465" w:rsidP="005F2465">
            <w:pPr>
              <w:pStyle w:val="Compact"/>
              <w:jc w:val="center"/>
            </w:pPr>
            <w:r>
              <w:t>819 (98%)</w:t>
            </w:r>
          </w:p>
        </w:tc>
        <w:tc>
          <w:tcPr>
            <w:tcW w:w="661" w:type="pct"/>
          </w:tcPr>
          <w:p w14:paraId="1BDDF223" w14:textId="1C1C9F28" w:rsidR="005F2465" w:rsidRDefault="005F2465" w:rsidP="005F2465">
            <w:pPr>
              <w:pStyle w:val="Compact"/>
              <w:jc w:val="center"/>
            </w:pPr>
            <w:r>
              <w:t>28 (97%)</w:t>
            </w:r>
          </w:p>
        </w:tc>
        <w:tc>
          <w:tcPr>
            <w:tcW w:w="662" w:type="pct"/>
          </w:tcPr>
          <w:p w14:paraId="4C5B478C" w14:textId="509B1665" w:rsidR="005F2465" w:rsidRDefault="005F2465" w:rsidP="005F2465">
            <w:pPr>
              <w:pStyle w:val="Compact"/>
              <w:jc w:val="center"/>
            </w:pPr>
            <w:r>
              <w:t>791 (98%)</w:t>
            </w:r>
          </w:p>
        </w:tc>
        <w:tc>
          <w:tcPr>
            <w:tcW w:w="515" w:type="pct"/>
          </w:tcPr>
          <w:p w14:paraId="27976D76" w14:textId="77777777" w:rsidR="005F2465" w:rsidRDefault="005F2465" w:rsidP="005F2465">
            <w:pPr>
              <w:pStyle w:val="Compact"/>
            </w:pPr>
          </w:p>
        </w:tc>
      </w:tr>
      <w:tr w:rsidR="005F2465" w:rsidRPr="006C3529" w14:paraId="0E9548B7" w14:textId="77777777" w:rsidTr="00621206">
        <w:tc>
          <w:tcPr>
            <w:tcW w:w="2501" w:type="pct"/>
          </w:tcPr>
          <w:p w14:paraId="2E3237F1" w14:textId="519E8D04" w:rsidR="005F2465" w:rsidRDefault="005F2465" w:rsidP="005F2465">
            <w:pPr>
              <w:pStyle w:val="Compact"/>
            </w:pPr>
            <w:proofErr w:type="spellStart"/>
            <w:r>
              <w:t>Epirubicine</w:t>
            </w:r>
            <w:proofErr w:type="spellEnd"/>
            <w:r>
              <w:t>-containing chemotherapy</w:t>
            </w:r>
          </w:p>
        </w:tc>
        <w:tc>
          <w:tcPr>
            <w:tcW w:w="661" w:type="pct"/>
            <w:shd w:val="clear" w:color="auto" w:fill="F2F2F2" w:themeFill="background1" w:themeFillShade="F2"/>
          </w:tcPr>
          <w:p w14:paraId="244CC77D" w14:textId="77777777" w:rsidR="005F2465" w:rsidRDefault="005F2465" w:rsidP="005F2465">
            <w:pPr>
              <w:pStyle w:val="Compact"/>
            </w:pPr>
          </w:p>
        </w:tc>
        <w:tc>
          <w:tcPr>
            <w:tcW w:w="661" w:type="pct"/>
          </w:tcPr>
          <w:p w14:paraId="69FB6139" w14:textId="77777777" w:rsidR="005F2465" w:rsidRDefault="005F2465" w:rsidP="005F2465">
            <w:pPr>
              <w:pStyle w:val="Compact"/>
            </w:pPr>
          </w:p>
        </w:tc>
        <w:tc>
          <w:tcPr>
            <w:tcW w:w="662" w:type="pct"/>
          </w:tcPr>
          <w:p w14:paraId="5798DE28" w14:textId="50C9CD27" w:rsidR="005F2465" w:rsidRDefault="005F2465" w:rsidP="005F2465">
            <w:pPr>
              <w:pStyle w:val="Compact"/>
            </w:pPr>
          </w:p>
        </w:tc>
        <w:tc>
          <w:tcPr>
            <w:tcW w:w="515" w:type="pct"/>
          </w:tcPr>
          <w:p w14:paraId="077780CF" w14:textId="2A3A3549" w:rsidR="005F2465" w:rsidRDefault="005F2465" w:rsidP="005F2465">
            <w:pPr>
              <w:pStyle w:val="Compact"/>
              <w:jc w:val="right"/>
            </w:pPr>
            <w:r>
              <w:t>0.36 (1)</w:t>
            </w:r>
          </w:p>
        </w:tc>
      </w:tr>
      <w:tr w:rsidR="005F2465" w:rsidRPr="006C3529" w14:paraId="07ABC233" w14:textId="77777777" w:rsidTr="00621206">
        <w:tc>
          <w:tcPr>
            <w:tcW w:w="2501" w:type="pct"/>
          </w:tcPr>
          <w:p w14:paraId="10133AD9" w14:textId="77777777" w:rsidR="005F2465" w:rsidRDefault="005F2465" w:rsidP="005F2465">
            <w:pPr>
              <w:pStyle w:val="Compact"/>
            </w:pPr>
            <w:r>
              <w:t>- No</w:t>
            </w:r>
          </w:p>
        </w:tc>
        <w:tc>
          <w:tcPr>
            <w:tcW w:w="661" w:type="pct"/>
            <w:shd w:val="clear" w:color="auto" w:fill="F2F2F2" w:themeFill="background1" w:themeFillShade="F2"/>
          </w:tcPr>
          <w:p w14:paraId="4C4B7B28" w14:textId="366F23E9" w:rsidR="005F2465" w:rsidRDefault="005F2465" w:rsidP="005F2465">
            <w:pPr>
              <w:pStyle w:val="Compact"/>
              <w:jc w:val="center"/>
            </w:pPr>
            <w:r>
              <w:t>93 (11%)</w:t>
            </w:r>
          </w:p>
        </w:tc>
        <w:tc>
          <w:tcPr>
            <w:tcW w:w="661" w:type="pct"/>
          </w:tcPr>
          <w:p w14:paraId="4E1F6279" w14:textId="11128FAF" w:rsidR="005F2465" w:rsidRDefault="005F2465" w:rsidP="005F2465">
            <w:pPr>
              <w:pStyle w:val="Compact"/>
              <w:jc w:val="center"/>
            </w:pPr>
            <w:r>
              <w:t>5 (17%)</w:t>
            </w:r>
          </w:p>
        </w:tc>
        <w:tc>
          <w:tcPr>
            <w:tcW w:w="662" w:type="pct"/>
          </w:tcPr>
          <w:p w14:paraId="4CC54A4F" w14:textId="15B855C5" w:rsidR="005F2465" w:rsidRDefault="005F2465" w:rsidP="005F2465">
            <w:pPr>
              <w:pStyle w:val="Compact"/>
              <w:jc w:val="center"/>
            </w:pPr>
            <w:r>
              <w:t>88 (11%)</w:t>
            </w:r>
          </w:p>
        </w:tc>
        <w:tc>
          <w:tcPr>
            <w:tcW w:w="515" w:type="pct"/>
          </w:tcPr>
          <w:p w14:paraId="6B326724" w14:textId="77777777" w:rsidR="005F2465" w:rsidRDefault="005F2465" w:rsidP="005F2465">
            <w:pPr>
              <w:pStyle w:val="Compact"/>
            </w:pPr>
          </w:p>
        </w:tc>
      </w:tr>
      <w:tr w:rsidR="005F2465" w:rsidRPr="006C3529" w14:paraId="7F660524" w14:textId="77777777" w:rsidTr="00621206">
        <w:tc>
          <w:tcPr>
            <w:tcW w:w="2501" w:type="pct"/>
          </w:tcPr>
          <w:p w14:paraId="6345C437" w14:textId="77777777" w:rsidR="005F2465" w:rsidRDefault="005F2465" w:rsidP="005F2465">
            <w:pPr>
              <w:pStyle w:val="Compact"/>
            </w:pPr>
            <w:r>
              <w:t>- Yes</w:t>
            </w:r>
          </w:p>
        </w:tc>
        <w:tc>
          <w:tcPr>
            <w:tcW w:w="661" w:type="pct"/>
            <w:shd w:val="clear" w:color="auto" w:fill="F2F2F2" w:themeFill="background1" w:themeFillShade="F2"/>
          </w:tcPr>
          <w:p w14:paraId="23DC7043" w14:textId="60C1756A" w:rsidR="005F2465" w:rsidRDefault="005F2465" w:rsidP="005F2465">
            <w:pPr>
              <w:pStyle w:val="Compact"/>
              <w:jc w:val="center"/>
            </w:pPr>
            <w:r>
              <w:t>746 (89%)</w:t>
            </w:r>
          </w:p>
        </w:tc>
        <w:tc>
          <w:tcPr>
            <w:tcW w:w="661" w:type="pct"/>
          </w:tcPr>
          <w:p w14:paraId="31D16092" w14:textId="101EF15D" w:rsidR="005F2465" w:rsidRDefault="005F2465" w:rsidP="005F2465">
            <w:pPr>
              <w:pStyle w:val="Compact"/>
              <w:jc w:val="center"/>
            </w:pPr>
            <w:r>
              <w:t>24 (83%)</w:t>
            </w:r>
          </w:p>
        </w:tc>
        <w:tc>
          <w:tcPr>
            <w:tcW w:w="662" w:type="pct"/>
          </w:tcPr>
          <w:p w14:paraId="068559D6" w14:textId="51141E9A" w:rsidR="005F2465" w:rsidRDefault="005F2465" w:rsidP="005F2465">
            <w:pPr>
              <w:pStyle w:val="Compact"/>
              <w:jc w:val="center"/>
            </w:pPr>
            <w:r>
              <w:t>722 (89%)</w:t>
            </w:r>
          </w:p>
        </w:tc>
        <w:tc>
          <w:tcPr>
            <w:tcW w:w="515" w:type="pct"/>
          </w:tcPr>
          <w:p w14:paraId="58D85C9E" w14:textId="77777777" w:rsidR="005F2465" w:rsidRDefault="005F2465" w:rsidP="005F2465">
            <w:pPr>
              <w:pStyle w:val="Compact"/>
            </w:pPr>
          </w:p>
        </w:tc>
      </w:tr>
      <w:tr w:rsidR="005F2465" w:rsidRPr="006C3529" w14:paraId="5C1A957C" w14:textId="77777777" w:rsidTr="00621206">
        <w:tc>
          <w:tcPr>
            <w:tcW w:w="2501" w:type="pct"/>
          </w:tcPr>
          <w:p w14:paraId="07E03DED" w14:textId="48909DA7" w:rsidR="005F2465" w:rsidRDefault="005F2465" w:rsidP="005F2465">
            <w:pPr>
              <w:pStyle w:val="Compact"/>
            </w:pPr>
            <w:r>
              <w:t>Cyclophosphamide-containing chemotherapy</w:t>
            </w:r>
          </w:p>
        </w:tc>
        <w:tc>
          <w:tcPr>
            <w:tcW w:w="661" w:type="pct"/>
            <w:shd w:val="clear" w:color="auto" w:fill="F2F2F2" w:themeFill="background1" w:themeFillShade="F2"/>
          </w:tcPr>
          <w:p w14:paraId="4C90B672" w14:textId="77777777" w:rsidR="005F2465" w:rsidRDefault="005F2465" w:rsidP="005F2465">
            <w:pPr>
              <w:pStyle w:val="Compact"/>
            </w:pPr>
          </w:p>
        </w:tc>
        <w:tc>
          <w:tcPr>
            <w:tcW w:w="661" w:type="pct"/>
          </w:tcPr>
          <w:p w14:paraId="6F28415B" w14:textId="77777777" w:rsidR="005F2465" w:rsidRDefault="005F2465" w:rsidP="005F2465">
            <w:pPr>
              <w:pStyle w:val="Compact"/>
            </w:pPr>
          </w:p>
        </w:tc>
        <w:tc>
          <w:tcPr>
            <w:tcW w:w="662" w:type="pct"/>
          </w:tcPr>
          <w:p w14:paraId="40B46CB6" w14:textId="3296A956" w:rsidR="005F2465" w:rsidRDefault="005F2465" w:rsidP="005F2465">
            <w:pPr>
              <w:pStyle w:val="Compact"/>
            </w:pPr>
          </w:p>
        </w:tc>
        <w:tc>
          <w:tcPr>
            <w:tcW w:w="515" w:type="pct"/>
          </w:tcPr>
          <w:p w14:paraId="1899B752" w14:textId="4F6AE8DF" w:rsidR="005F2465" w:rsidRDefault="005F2465" w:rsidP="005F2465">
            <w:pPr>
              <w:pStyle w:val="Compact"/>
              <w:jc w:val="right"/>
            </w:pPr>
            <w:r>
              <w:t>0.19 (1)</w:t>
            </w:r>
          </w:p>
        </w:tc>
      </w:tr>
      <w:tr w:rsidR="005F2465" w:rsidRPr="006C3529" w14:paraId="1781BF90" w14:textId="77777777" w:rsidTr="00621206">
        <w:tc>
          <w:tcPr>
            <w:tcW w:w="2501" w:type="pct"/>
          </w:tcPr>
          <w:p w14:paraId="02E5A7F1" w14:textId="77777777" w:rsidR="005F2465" w:rsidRDefault="005F2465" w:rsidP="005F2465">
            <w:pPr>
              <w:pStyle w:val="Compact"/>
            </w:pPr>
            <w:r>
              <w:t>- No</w:t>
            </w:r>
          </w:p>
        </w:tc>
        <w:tc>
          <w:tcPr>
            <w:tcW w:w="661" w:type="pct"/>
            <w:shd w:val="clear" w:color="auto" w:fill="F2F2F2" w:themeFill="background1" w:themeFillShade="F2"/>
          </w:tcPr>
          <w:p w14:paraId="26251480" w14:textId="78C24031" w:rsidR="005F2465" w:rsidRDefault="005F2465" w:rsidP="005F2465">
            <w:pPr>
              <w:pStyle w:val="Compact"/>
              <w:jc w:val="center"/>
            </w:pPr>
            <w:r>
              <w:t>23 (3%)</w:t>
            </w:r>
          </w:p>
        </w:tc>
        <w:tc>
          <w:tcPr>
            <w:tcW w:w="661" w:type="pct"/>
          </w:tcPr>
          <w:p w14:paraId="6526A0BE" w14:textId="0E1E2686" w:rsidR="005F2465" w:rsidRDefault="005F2465" w:rsidP="005F2465">
            <w:pPr>
              <w:pStyle w:val="Compact"/>
              <w:jc w:val="center"/>
            </w:pPr>
            <w:r>
              <w:t>2 (7%)</w:t>
            </w:r>
          </w:p>
        </w:tc>
        <w:tc>
          <w:tcPr>
            <w:tcW w:w="662" w:type="pct"/>
          </w:tcPr>
          <w:p w14:paraId="3F687FA0" w14:textId="4FE62D08" w:rsidR="005F2465" w:rsidRDefault="005F2465" w:rsidP="005F2465">
            <w:pPr>
              <w:pStyle w:val="Compact"/>
              <w:jc w:val="center"/>
            </w:pPr>
            <w:r>
              <w:t>21 (3%)</w:t>
            </w:r>
          </w:p>
        </w:tc>
        <w:tc>
          <w:tcPr>
            <w:tcW w:w="515" w:type="pct"/>
          </w:tcPr>
          <w:p w14:paraId="63A3A1C4" w14:textId="77777777" w:rsidR="005F2465" w:rsidRDefault="005F2465" w:rsidP="005F2465">
            <w:pPr>
              <w:pStyle w:val="Compact"/>
            </w:pPr>
          </w:p>
        </w:tc>
      </w:tr>
      <w:tr w:rsidR="005F2465" w:rsidRPr="006C3529" w14:paraId="426912F0" w14:textId="77777777" w:rsidTr="00621206">
        <w:tc>
          <w:tcPr>
            <w:tcW w:w="2501" w:type="pct"/>
            <w:tcBorders>
              <w:bottom w:val="single" w:sz="4" w:space="0" w:color="auto"/>
            </w:tcBorders>
          </w:tcPr>
          <w:p w14:paraId="679EA53E" w14:textId="77777777" w:rsidR="005F2465" w:rsidRDefault="005F2465" w:rsidP="005F2465">
            <w:pPr>
              <w:pStyle w:val="Compact"/>
            </w:pPr>
            <w:r>
              <w:t>- Yes</w:t>
            </w: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33B34E4" w14:textId="4F258C17" w:rsidR="005F2465" w:rsidRDefault="005F2465" w:rsidP="005F2465">
            <w:pPr>
              <w:pStyle w:val="Compact"/>
              <w:jc w:val="center"/>
            </w:pPr>
            <w:r>
              <w:t>816 (97%)</w:t>
            </w:r>
          </w:p>
        </w:tc>
        <w:tc>
          <w:tcPr>
            <w:tcW w:w="661" w:type="pct"/>
            <w:tcBorders>
              <w:bottom w:val="single" w:sz="4" w:space="0" w:color="auto"/>
            </w:tcBorders>
          </w:tcPr>
          <w:p w14:paraId="6B09D75E" w14:textId="35B89CD3" w:rsidR="005F2465" w:rsidRDefault="005F2465" w:rsidP="005F2465">
            <w:pPr>
              <w:pStyle w:val="Compact"/>
              <w:jc w:val="center"/>
            </w:pPr>
            <w:r>
              <w:t>27 (93%)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14:paraId="4C3622A0" w14:textId="458AA4B4" w:rsidR="005F2465" w:rsidRDefault="005F2465" w:rsidP="005F2465">
            <w:pPr>
              <w:pStyle w:val="Compact"/>
              <w:jc w:val="center"/>
            </w:pPr>
            <w:r>
              <w:t>789 (97%)</w:t>
            </w:r>
          </w:p>
        </w:tc>
        <w:tc>
          <w:tcPr>
            <w:tcW w:w="515" w:type="pct"/>
            <w:tcBorders>
              <w:bottom w:val="single" w:sz="4" w:space="0" w:color="auto"/>
            </w:tcBorders>
          </w:tcPr>
          <w:p w14:paraId="5356C24E" w14:textId="77777777" w:rsidR="005F2465" w:rsidRDefault="005F2465" w:rsidP="005F2465">
            <w:pPr>
              <w:pStyle w:val="Compact"/>
            </w:pPr>
          </w:p>
        </w:tc>
      </w:tr>
    </w:tbl>
    <w:bookmarkEnd w:id="0"/>
    <w:p w14:paraId="54084A8B" w14:textId="3B43623C" w:rsidR="00E71A60" w:rsidRDefault="00E71A60" w:rsidP="00E71A60">
      <w:pPr>
        <w:pStyle w:val="Compact"/>
        <w:ind w:left="480"/>
        <w:rPr>
          <w:sz w:val="18"/>
        </w:rPr>
      </w:pPr>
      <w:r>
        <w:rPr>
          <w:sz w:val="18"/>
        </w:rPr>
        <w:t>1</w:t>
      </w:r>
      <w:r w:rsidRPr="000F16B6">
        <w:rPr>
          <w:sz w:val="18"/>
        </w:rPr>
        <w:t>Fisher's Exact Test for Count Data</w:t>
      </w:r>
    </w:p>
    <w:p w14:paraId="5D2089AA" w14:textId="77777777" w:rsidR="002E48E3" w:rsidRDefault="002E48E3"/>
    <w:sectPr w:rsidR="002E4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12B1"/>
    <w:multiLevelType w:val="hybridMultilevel"/>
    <w:tmpl w:val="2F5C66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60"/>
    <w:rsid w:val="00153B54"/>
    <w:rsid w:val="002E48E3"/>
    <w:rsid w:val="005F2465"/>
    <w:rsid w:val="00621206"/>
    <w:rsid w:val="009E236B"/>
    <w:rsid w:val="00C654F7"/>
    <w:rsid w:val="00D45157"/>
    <w:rsid w:val="00E71A60"/>
    <w:rsid w:val="00E73008"/>
    <w:rsid w:val="00EF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3F2A3"/>
  <w15:chartTrackingRefBased/>
  <w15:docId w15:val="{A5AF9764-29FB-4E6A-98B9-13262F11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A60"/>
    <w:pPr>
      <w:spacing w:after="200" w:line="240" w:lineRule="auto"/>
    </w:pPr>
    <w:rPr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mpact">
    <w:name w:val="Compact"/>
    <w:basedOn w:val="Corpsdetexte"/>
    <w:qFormat/>
    <w:rsid w:val="00E71A60"/>
    <w:pPr>
      <w:spacing w:before="36" w:after="36"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E71A6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71A60"/>
    <w:rPr>
      <w:sz w:val="24"/>
      <w:szCs w:val="24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C654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654F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654F7"/>
    <w:rPr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654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654F7"/>
    <w:rPr>
      <w:b/>
      <w:bCs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54F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54F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86BFC-8546-4453-8C75-D60C822B8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Gueiderikh</dc:creator>
  <cp:keywords/>
  <dc:description/>
  <cp:lastModifiedBy>Anna Gueiderikh</cp:lastModifiedBy>
  <cp:revision>6</cp:revision>
  <dcterms:created xsi:type="dcterms:W3CDTF">2023-02-22T17:20:00Z</dcterms:created>
  <dcterms:modified xsi:type="dcterms:W3CDTF">2023-03-30T21:49:00Z</dcterms:modified>
</cp:coreProperties>
</file>