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OLE_LINK5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Supplementary Material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Figure and Table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9069070" cy="6807835"/>
            <wp:effectExtent l="0" t="0" r="6350" b="4445"/>
            <wp:docPr id="1" name="图片 1" descr="被试筛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被试筛查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907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Figure S1.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A schematic overview of recruitment of participants.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 Time effects and post-hoc tests for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linical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haracteristics of participants at baseline, MHCFP, EHCFP, and ELCFP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during IER intervention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</w:p>
    <w:tbl>
      <w:tblPr>
        <w:tblStyle w:val="4"/>
        <w:tblW w:w="25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538"/>
        <w:gridCol w:w="1538"/>
        <w:gridCol w:w="1538"/>
        <w:gridCol w:w="1538"/>
        <w:gridCol w:w="1538"/>
        <w:gridCol w:w="1538"/>
        <w:gridCol w:w="1538"/>
        <w:gridCol w:w="1538"/>
        <w:gridCol w:w="1677"/>
        <w:gridCol w:w="952"/>
        <w:gridCol w:w="1281"/>
        <w:gridCol w:w="1281"/>
        <w:gridCol w:w="1281"/>
        <w:gridCol w:w="1281"/>
        <w:gridCol w:w="12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vMerge w:val="restart"/>
            <w:tcBorders>
              <w:top w:val="single" w:color="auto" w:sz="24" w:space="0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sz w:val="24"/>
                <w:szCs w:val="24"/>
              </w:rPr>
            </w:pPr>
            <w:bookmarkStart w:id="1" w:name="OLE_LINK1" w:colFirst="1" w:colLast="3"/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sz w:val="24"/>
                <w:szCs w:val="24"/>
              </w:rPr>
              <w:t>Variable</w:t>
            </w:r>
          </w:p>
        </w:tc>
        <w:tc>
          <w:tcPr>
            <w:tcW w:w="6152" w:type="dxa"/>
            <w:gridSpan w:val="4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Successful Weight Loss Group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(25 Subjects)</w:t>
            </w:r>
          </w:p>
        </w:tc>
        <w:tc>
          <w:tcPr>
            <w:tcW w:w="6152" w:type="dxa"/>
            <w:gridSpan w:val="4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Failed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 Weight Loss Group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 (5 Subjects)</w:t>
            </w:r>
          </w:p>
        </w:tc>
        <w:tc>
          <w:tcPr>
            <w:tcW w:w="10315" w:type="dxa"/>
            <w:gridSpan w:val="8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ANOVA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Successful Weight Loss Group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</w:p>
          <w:p>
            <w:pPr>
              <w:wordWrap w:val="0"/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EHCFP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</w:p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EHCFP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8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2629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ANOVA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Time effect</w:t>
            </w:r>
          </w:p>
        </w:tc>
        <w:tc>
          <w:tcPr>
            <w:tcW w:w="7686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Post-hoc tests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 xml:space="preserve">HCFP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vs.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EH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 xml:space="preserve">CFP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vs.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vs. E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HCFP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95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Body weight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(kg)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97.53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15.67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92.91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15.40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89.92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14.98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88.89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15.61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93.18 </w:t>
            </w:r>
            <w:bookmarkStart w:id="2" w:name="OLE_LINK4"/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bookmarkEnd w:id="2"/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11.66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91.16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12.13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90.88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11.64</w:t>
            </w:r>
          </w:p>
        </w:tc>
        <w:tc>
          <w:tcPr>
            <w:tcW w:w="1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91.28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11.76</w:t>
            </w:r>
          </w:p>
        </w:tc>
        <w:tc>
          <w:tcPr>
            <w:tcW w:w="16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117.54</w:t>
            </w:r>
          </w:p>
        </w:tc>
        <w:tc>
          <w:tcPr>
            <w:tcW w:w="95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Body Mass Index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(kg/m2)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34.64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32.98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31.94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31.52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34.02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2.87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33.20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3.16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33.12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2.90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33.24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2.88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 103.78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Waist Circumference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(cm)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107.00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108.60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4.67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105.6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108.20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3.72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F(3,69) = 29.85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Body Fat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(kg）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39.46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9.44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36.40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8.97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34.36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9.17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32.79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9.03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36.92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7.17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35.70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7.68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35.12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7.35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7.48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126.41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 xml:space="preserve">Percent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Body Fat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(%)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40.34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39.05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38.02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6.61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36.66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6.34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39.44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4.09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38.90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4.39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38.42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4.26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38.10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4.49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64.07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Skeletal Muscle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(kg)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32.55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31.66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5.97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31.48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3.72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31.20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3.40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31.50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27.53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2"/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  <w:bookmarkEnd w:id="3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Systolic Blood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Pressure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(mmHg)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 xml:space="preserve">128.25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21.69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125.75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11.53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123.5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13.28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127.5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11.90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5.635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bookmarkStart w:id="4" w:name="OLE_LINK13"/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"file:///E:/Youdao/Dict/8.8.0.0/resultui/html/index.html" \l "/javascript:;"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Diastolic Blood Pressure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  <w:bookmarkEnd w:id="4"/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(mmHg)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80.75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13.07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75.75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8.85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73.00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7.44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79.50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10.34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4.324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TFEQ (D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isinhibition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22.65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4.87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17.43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5.05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17.04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eastAsia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18.04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5.59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6.58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7.27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2.75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5.68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 8.3757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TFEQ (C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ognitive 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ontrol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15.65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2.90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19.13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3.02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19.13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3.70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eastAsia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18.08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2.43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16.50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3.42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2.63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1.83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"/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w:bookmarkEnd w:id="5"/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9.984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TFEQ (H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unger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12.17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10.52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10.74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5.26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eastAsia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12.70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5.67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10.50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5.74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4.24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11.75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1.26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4.90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 1.884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0.141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0.164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0.782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eastAsia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0.520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Results are presented as mean ± SD; repeated-measures ANOVA comparing baseline, MHCFP, EHCFP, and ELCFP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during IER intervention.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Abbreviation: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midpoint of highly-controlled fasting phase,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MHCFP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endpoint of highly-controlled fasting phase, E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endpoint of low-controlled fasting phase, EL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intermittent energy restriction, IER; standard deviation, SD, t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hree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actor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ating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q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uestionnaire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TFEQ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</w:p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 Time effects and post-hoc tests for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blood biochemical indicators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of participants at baseline, MHCFP, EHCFP, and ELCFP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during IER intervention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</w:p>
    <w:tbl>
      <w:tblPr>
        <w:tblStyle w:val="4"/>
        <w:tblW w:w="26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1532"/>
        <w:gridCol w:w="1534"/>
        <w:gridCol w:w="1534"/>
        <w:gridCol w:w="1534"/>
        <w:gridCol w:w="1534"/>
        <w:gridCol w:w="1534"/>
        <w:gridCol w:w="1534"/>
        <w:gridCol w:w="1534"/>
        <w:gridCol w:w="1673"/>
        <w:gridCol w:w="950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vMerge w:val="restart"/>
            <w:tcBorders>
              <w:top w:val="single" w:color="auto" w:sz="24" w:space="0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Variable</w:t>
            </w:r>
          </w:p>
        </w:tc>
        <w:tc>
          <w:tcPr>
            <w:tcW w:w="6134" w:type="dxa"/>
            <w:gridSpan w:val="4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Successful Weight Loss Group 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(25 Subjects)</w:t>
            </w:r>
          </w:p>
        </w:tc>
        <w:tc>
          <w:tcPr>
            <w:tcW w:w="6136" w:type="dxa"/>
            <w:gridSpan w:val="4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Failed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 Weight Loss Group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 xml:space="preserve"> (5 Subjects)</w:t>
            </w:r>
          </w:p>
        </w:tc>
        <w:tc>
          <w:tcPr>
            <w:tcW w:w="10291" w:type="dxa"/>
            <w:gridSpan w:val="8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ANOVA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Successful Weight Loss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</w:p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EHCFP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Baseline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ordWrap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MHCFP</w:t>
            </w:r>
          </w:p>
          <w:p>
            <w:pPr>
              <w:wordWrap w:val="0"/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EHCFP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1534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ELCFP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(Mean ± 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</w:rPr>
              <w:t>)</w:t>
            </w:r>
          </w:p>
        </w:tc>
        <w:tc>
          <w:tcPr>
            <w:tcW w:w="2623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ANOVA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Time effect</w:t>
            </w:r>
          </w:p>
        </w:tc>
        <w:tc>
          <w:tcPr>
            <w:tcW w:w="7668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Post-hoc tests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623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MHCFP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 xml:space="preserve">HCFP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vs.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EH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 xml:space="preserve">CFP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vs.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MHCFP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Baseline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vs.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MHCFP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ELCFP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vs. E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HCFP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95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asting Plasma Glucose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(mmol/L)</w:t>
            </w:r>
          </w:p>
        </w:tc>
        <w:tc>
          <w:tcPr>
            <w:tcW w:w="153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4.79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4.27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4.07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4.50±0.46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5.27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1.17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4.82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0.43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5.15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0.98</w:t>
            </w:r>
          </w:p>
        </w:tc>
        <w:tc>
          <w:tcPr>
            <w:tcW w:w="15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5.38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0.81</w:t>
            </w:r>
          </w:p>
        </w:tc>
        <w:tc>
          <w:tcPr>
            <w:tcW w:w="167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14.455</w:t>
            </w:r>
          </w:p>
        </w:tc>
        <w:tc>
          <w:tcPr>
            <w:tcW w:w="95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0.342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0.404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0.098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"file:///E:/Youdao/Dict/8.8.0.0/resultui/html/index.html" \l "/javascript:;"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Glycosylated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"file:///E:/Youdao/Dict/8.8.0.0/resultui/html/index.html" \l "/javascript:;"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Hemoglobin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(%)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5.81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5.90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5.56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5.22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6.14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0.71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0.42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5.78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0.49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71.239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Total Cholesterol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4.89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4.64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4.47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4.66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4.78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4.92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0.68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=3.788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Triglycerides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2.09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1.46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1.63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3.67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2.75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3.36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1.61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4.40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2.90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=3.835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High-Density Lipoproteins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1.14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0. 06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0.85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4.936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Low-Density Lipoproteins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(mmol/L)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2.82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2.75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2.55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2.63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2.47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2.93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0.46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2.89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2.36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0.55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3.587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Aspartate Transaminase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32.40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38.64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34.28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29.68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22.52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7.68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36.40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13.69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10.33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38.00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18.06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14.203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Alanine Aminotransferase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51.32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51.69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50.16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40.04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41.00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32.39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29.40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51.00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21.93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66.20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31.59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14.09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50.80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10.43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13.267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Glutamyl Transpeptidase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44.84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46.68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29.40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79.80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52.39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62.80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35.84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30.38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68.20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45.57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8.718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Alkaline Phosphatase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65.68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14.81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64.20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13.39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60.20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64.12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13.77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76.00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27.08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75.80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29.86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73.20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27.67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79.40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27.68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6.513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Serum Creatinine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65.40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69.80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66.76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13.28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67.48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54.40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55.60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55.60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14.01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55.20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11.17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2.357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Uric Acid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(umol/L)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411.12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121.30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479.24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131.50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429.68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124.15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385.56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118.30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347.70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71.91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385.00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41.94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359.80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50.15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349.00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81.69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13.955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Leptin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(pg/ml)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7319.06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2910.17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3783.40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1824.27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3794.81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2090.77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4055.30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1853.26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6448.37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1866.21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4973.72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2206.90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5248.93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2316.42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2259.30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686.00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21.586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Adiponectin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(pg/ml)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1038.75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260.91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1364.86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276.05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1336.54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267.40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1336.54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267.40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1032.16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160.02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1209.16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333.70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1174.11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276.71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1267.18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269.05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F(3,72) = 15.334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0.986</w:t>
            </w:r>
          </w:p>
        </w:tc>
      </w:tr>
    </w:tbl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Results are presented as mean ± SD; repeated-measures ANOVA comparing baseline, MHCFP, EHCFP, and ELCFP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during IER intervention.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Abbreviation: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midpoint of highly-controlled fasting phase,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MHCFP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endpoint of highly-controlled fasting phase, E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HCFP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endpoint of low-controlled fasting phase, EL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CFP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; intermittent energy restriction, IER; standard deviation, SD.</w:t>
      </w:r>
    </w:p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S3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pecific daily calorie intake for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four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periods in the highly controlled fasting phase during intermittent energy restriction intervention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91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48" w:type="dxa"/>
            <w:gridSpan w:val="2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Time</w:t>
            </w:r>
          </w:p>
        </w:tc>
        <w:tc>
          <w:tcPr>
            <w:tcW w:w="7051" w:type="dxa"/>
            <w:tcBorders>
              <w:top w:val="single" w:color="auto" w:sz="2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7" w:name="_GoBack"/>
            <w:bookmarkEnd w:id="7"/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Lose Weight Diet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eriod 1</w:t>
            </w:r>
          </w:p>
        </w:tc>
        <w:tc>
          <w:tcPr>
            <w:tcW w:w="109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Breakfast</w:t>
            </w:r>
          </w:p>
        </w:tc>
        <w:tc>
          <w:tcPr>
            <w:tcW w:w="70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Oatmeal, stir-fried vegetables, boiled egg, almond, cherry tomatoes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Lunch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Multigrain rice, burnt eggplant, apple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Dinner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Soybean milk, winter melon with bell pepper, almond, multivitamins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eriod 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Breakfast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Soybean milk, lotus vegetable salad, boiled egg, macadamia nut, cherry tomatoes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Lunch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Multigrain mantoue, tomatoes zucchini, sour milk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Dinner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Sesame paste, cucumber, macadamia nut, multivitamins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eriod 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Breakfast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7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Cucumber</w:t>
            </w:r>
            <w:bookmarkEnd w:id="6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 almond, dietary fiber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Lunch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Shredded lettuce, cherry tomatoes, almond, dietary fiber, multivitamins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Dinner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Oatmeal, shredded chicken, apple, dietary fiber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eriod 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Breakfast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Sour milk, lettuce, walnut kernel, dietary fiber, multivitamins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Lunch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Cucumber, scrambled eggs with carrots, dietary fiber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0" w:type="auto"/>
            <w:vMerge w:val="continue"/>
            <w:tcBorders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Dinner</w:t>
            </w:r>
          </w:p>
        </w:tc>
        <w:tc>
          <w:tcPr>
            <w:tcW w:w="7051" w:type="dxa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 w:eastAsia="微软雅黑" w:cs="Times New Roman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Cherry tomatoes, kiwi fruit, walnut kernel, dietary fiber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bookmarkEnd w:id="0"/>
    <w:p>
      <w:pPr>
        <w:rPr>
          <w:rFonts w:hint="default"/>
          <w:lang w:val="en-US" w:eastAsia="zh-CN"/>
        </w:rPr>
      </w:pPr>
    </w:p>
    <w:sectPr>
      <w:pgSz w:w="29480" w:h="16838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3A0914"/>
    <w:rsid w:val="012D52E6"/>
    <w:rsid w:val="013D2116"/>
    <w:rsid w:val="01DA6562"/>
    <w:rsid w:val="01EC5958"/>
    <w:rsid w:val="022D59FB"/>
    <w:rsid w:val="0265045B"/>
    <w:rsid w:val="02A81568"/>
    <w:rsid w:val="03483F26"/>
    <w:rsid w:val="03B66504"/>
    <w:rsid w:val="049D5915"/>
    <w:rsid w:val="04C474B4"/>
    <w:rsid w:val="068D73F3"/>
    <w:rsid w:val="08442073"/>
    <w:rsid w:val="087734B0"/>
    <w:rsid w:val="094D3DCA"/>
    <w:rsid w:val="0A7C3159"/>
    <w:rsid w:val="0AC0410C"/>
    <w:rsid w:val="0AD74640"/>
    <w:rsid w:val="0C4B67C3"/>
    <w:rsid w:val="0C950B9E"/>
    <w:rsid w:val="0CDA20F7"/>
    <w:rsid w:val="0D713101"/>
    <w:rsid w:val="0EE26C81"/>
    <w:rsid w:val="12A85BB1"/>
    <w:rsid w:val="12EB32E2"/>
    <w:rsid w:val="1339201A"/>
    <w:rsid w:val="1362456E"/>
    <w:rsid w:val="13777323"/>
    <w:rsid w:val="13E85EB5"/>
    <w:rsid w:val="14361BFC"/>
    <w:rsid w:val="148F3B59"/>
    <w:rsid w:val="155838BF"/>
    <w:rsid w:val="16446E8C"/>
    <w:rsid w:val="184A1DF3"/>
    <w:rsid w:val="19D74DB6"/>
    <w:rsid w:val="19DA2643"/>
    <w:rsid w:val="1ABD41C4"/>
    <w:rsid w:val="1ADB057E"/>
    <w:rsid w:val="1B0718A7"/>
    <w:rsid w:val="1C3D4BEA"/>
    <w:rsid w:val="1D30218A"/>
    <w:rsid w:val="1D862F93"/>
    <w:rsid w:val="1EA53384"/>
    <w:rsid w:val="1FEC6782"/>
    <w:rsid w:val="21C27E41"/>
    <w:rsid w:val="21F42BC1"/>
    <w:rsid w:val="22D86E7C"/>
    <w:rsid w:val="23C11D80"/>
    <w:rsid w:val="240A51BE"/>
    <w:rsid w:val="248C1A65"/>
    <w:rsid w:val="252E403A"/>
    <w:rsid w:val="25701A47"/>
    <w:rsid w:val="263D58B6"/>
    <w:rsid w:val="272D5AA2"/>
    <w:rsid w:val="28590E2F"/>
    <w:rsid w:val="29527F41"/>
    <w:rsid w:val="297D524A"/>
    <w:rsid w:val="29C55347"/>
    <w:rsid w:val="2B3D2763"/>
    <w:rsid w:val="2C2B3157"/>
    <w:rsid w:val="2D0A773C"/>
    <w:rsid w:val="2D527C0A"/>
    <w:rsid w:val="2D8A0672"/>
    <w:rsid w:val="2E090154"/>
    <w:rsid w:val="2E502070"/>
    <w:rsid w:val="2E8A266C"/>
    <w:rsid w:val="2F803C89"/>
    <w:rsid w:val="2FC22A15"/>
    <w:rsid w:val="2FC97C28"/>
    <w:rsid w:val="303D4735"/>
    <w:rsid w:val="30F84615"/>
    <w:rsid w:val="3282465A"/>
    <w:rsid w:val="32D02FD6"/>
    <w:rsid w:val="32E24512"/>
    <w:rsid w:val="330C5891"/>
    <w:rsid w:val="346040E6"/>
    <w:rsid w:val="359B1552"/>
    <w:rsid w:val="35A95619"/>
    <w:rsid w:val="36427EB0"/>
    <w:rsid w:val="36D02FC7"/>
    <w:rsid w:val="372F2546"/>
    <w:rsid w:val="385521BC"/>
    <w:rsid w:val="386808FA"/>
    <w:rsid w:val="390A63CE"/>
    <w:rsid w:val="39700927"/>
    <w:rsid w:val="39755BE4"/>
    <w:rsid w:val="3AB24AF0"/>
    <w:rsid w:val="3B5B5EA1"/>
    <w:rsid w:val="3DA1232C"/>
    <w:rsid w:val="3E4F1453"/>
    <w:rsid w:val="3FB225DB"/>
    <w:rsid w:val="3FC419CD"/>
    <w:rsid w:val="400D062C"/>
    <w:rsid w:val="41782A6F"/>
    <w:rsid w:val="41807B75"/>
    <w:rsid w:val="42C615B8"/>
    <w:rsid w:val="43860D47"/>
    <w:rsid w:val="43A044FF"/>
    <w:rsid w:val="45014B29"/>
    <w:rsid w:val="45416133"/>
    <w:rsid w:val="46185723"/>
    <w:rsid w:val="47B916EB"/>
    <w:rsid w:val="48A856C5"/>
    <w:rsid w:val="49441489"/>
    <w:rsid w:val="49C376E7"/>
    <w:rsid w:val="4A304D90"/>
    <w:rsid w:val="4AAC5537"/>
    <w:rsid w:val="4AFB431C"/>
    <w:rsid w:val="4C2C222A"/>
    <w:rsid w:val="4E5A757A"/>
    <w:rsid w:val="4EC015B1"/>
    <w:rsid w:val="4F0D5DA4"/>
    <w:rsid w:val="4FF97471"/>
    <w:rsid w:val="50463D38"/>
    <w:rsid w:val="508A0D00"/>
    <w:rsid w:val="511D6E11"/>
    <w:rsid w:val="513B13C3"/>
    <w:rsid w:val="530140EB"/>
    <w:rsid w:val="534B7BF7"/>
    <w:rsid w:val="55BA31FE"/>
    <w:rsid w:val="55E0446E"/>
    <w:rsid w:val="561531EA"/>
    <w:rsid w:val="56831F7D"/>
    <w:rsid w:val="57AC301B"/>
    <w:rsid w:val="58883859"/>
    <w:rsid w:val="58D21073"/>
    <w:rsid w:val="58D83CE6"/>
    <w:rsid w:val="5A9D4E9D"/>
    <w:rsid w:val="5B4C6A81"/>
    <w:rsid w:val="5C002165"/>
    <w:rsid w:val="5DEF48AA"/>
    <w:rsid w:val="5E972EC7"/>
    <w:rsid w:val="5EBF3EA5"/>
    <w:rsid w:val="5F4650BF"/>
    <w:rsid w:val="5FFA3B7E"/>
    <w:rsid w:val="606721D5"/>
    <w:rsid w:val="60946D37"/>
    <w:rsid w:val="60A54E80"/>
    <w:rsid w:val="615664E9"/>
    <w:rsid w:val="61E36018"/>
    <w:rsid w:val="62AA0157"/>
    <w:rsid w:val="635B58F5"/>
    <w:rsid w:val="63AB2BB6"/>
    <w:rsid w:val="63B804C1"/>
    <w:rsid w:val="65670581"/>
    <w:rsid w:val="659937E0"/>
    <w:rsid w:val="66A94523"/>
    <w:rsid w:val="66BB5481"/>
    <w:rsid w:val="674631E4"/>
    <w:rsid w:val="674A631B"/>
    <w:rsid w:val="682F7D0B"/>
    <w:rsid w:val="683759E8"/>
    <w:rsid w:val="690D4832"/>
    <w:rsid w:val="6A126C54"/>
    <w:rsid w:val="6B6977E5"/>
    <w:rsid w:val="6C2439BF"/>
    <w:rsid w:val="6C516422"/>
    <w:rsid w:val="6C775357"/>
    <w:rsid w:val="6CB27CAA"/>
    <w:rsid w:val="6D2B00D8"/>
    <w:rsid w:val="711C0454"/>
    <w:rsid w:val="71710572"/>
    <w:rsid w:val="72263119"/>
    <w:rsid w:val="72CA4C2C"/>
    <w:rsid w:val="72CD29AC"/>
    <w:rsid w:val="74192A57"/>
    <w:rsid w:val="74BB2697"/>
    <w:rsid w:val="7500632F"/>
    <w:rsid w:val="75647CE4"/>
    <w:rsid w:val="78004D27"/>
    <w:rsid w:val="78F47F26"/>
    <w:rsid w:val="7A293DDD"/>
    <w:rsid w:val="7C3F5B46"/>
    <w:rsid w:val="7CB63EFA"/>
    <w:rsid w:val="7F1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widowControl w:val="0"/>
      <w:adjustRightInd/>
      <w:snapToGrid/>
      <w:spacing w:beforeAutospacing="1" w:after="0" w:afterAutospacing="1"/>
      <w:outlineLvl w:val="3"/>
    </w:pPr>
    <w:rPr>
      <w:rFonts w:hint="eastAsia" w:ascii="宋体" w:hAnsi="宋体" w:eastAsia="宋体" w:cs="Times New Roman"/>
      <w:b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4708</Characters>
  <Lines>0</Lines>
  <Paragraphs>0</Paragraphs>
  <TotalTime>14</TotalTime>
  <ScaleCrop>false</ScaleCrop>
  <LinksUpToDate>false</LinksUpToDate>
  <CharactersWithSpaces>5314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2021-07-02T13:41:00Z</dcterms:created>
  <dc:creator>Jing Zhou</dc:creator>
  <cp:lastModifiedBy>李中林</cp:lastModifiedBy>
  <dcterms:modified xsi:type="dcterms:W3CDTF">2023-07-17T11:55:35Z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DF0C576FCC4047B9A63A4F837E994496</vt:lpwstr>
  </property>
</Properties>
</file>