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58F1AED1" w14:textId="6CBBA8CE" w:rsidR="00DE23E8" w:rsidRDefault="00F15050" w:rsidP="00654E8F">
      <w:pPr>
        <w:spacing w:before="240"/>
        <w:rPr>
          <w:rFonts w:cs="Times New Roman"/>
          <w:b/>
          <w:bCs/>
          <w:szCs w:val="24"/>
        </w:rPr>
      </w:pPr>
      <w:r>
        <w:rPr>
          <w:rFonts w:cs="Times New Roman"/>
          <w:b/>
          <w:bCs/>
          <w:szCs w:val="24"/>
        </w:rPr>
        <w:t xml:space="preserve">Supplementary </w:t>
      </w:r>
      <w:r w:rsidR="00EA655E">
        <w:rPr>
          <w:rFonts w:cs="Times New Roman"/>
          <w:b/>
          <w:bCs/>
          <w:szCs w:val="24"/>
        </w:rPr>
        <w:t xml:space="preserve">material &amp; </w:t>
      </w:r>
      <w:r>
        <w:rPr>
          <w:rFonts w:cs="Times New Roman"/>
          <w:b/>
          <w:bCs/>
          <w:szCs w:val="24"/>
        </w:rPr>
        <w:t>methods</w:t>
      </w:r>
    </w:p>
    <w:p w14:paraId="70C650C7" w14:textId="77777777" w:rsidR="00B204EE" w:rsidRPr="0014296E" w:rsidRDefault="00B204EE" w:rsidP="00B204EE">
      <w:pPr>
        <w:rPr>
          <w:u w:val="single"/>
        </w:rPr>
      </w:pPr>
      <w:r w:rsidRPr="0014296E">
        <w:rPr>
          <w:u w:val="single"/>
        </w:rPr>
        <w:t xml:space="preserve">Primer sequences and amplification efficiencies </w:t>
      </w:r>
    </w:p>
    <w:p w14:paraId="0315E859" w14:textId="0EE27029" w:rsidR="00B204EE" w:rsidRPr="00297023" w:rsidRDefault="00B204EE" w:rsidP="00B204EE">
      <w:pPr>
        <w:rPr>
          <w:szCs w:val="24"/>
        </w:rPr>
      </w:pPr>
      <w:r w:rsidRPr="00297023">
        <w:rPr>
          <w:szCs w:val="24"/>
        </w:rPr>
        <w:t xml:space="preserve">Supplementary Table </w:t>
      </w:r>
      <w:r w:rsidR="0029702E">
        <w:rPr>
          <w:szCs w:val="24"/>
        </w:rPr>
        <w:t>S</w:t>
      </w:r>
      <w:r w:rsidRPr="00297023">
        <w:rPr>
          <w:szCs w:val="24"/>
        </w:rPr>
        <w:t xml:space="preserve">1. Primer sequences and amplification efficiencies. Amplification efficiency (%) was calculated using the formula: </w:t>
      </w:r>
      <m:oMath>
        <m:d>
          <m:dPr>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10</m:t>
                </m:r>
              </m:e>
              <m:sup>
                <m:f>
                  <m:fPr>
                    <m:ctrlPr>
                      <w:rPr>
                        <w:rFonts w:ascii="Cambria Math" w:hAnsi="Cambria Math"/>
                        <w:szCs w:val="24"/>
                      </w:rPr>
                    </m:ctrlPr>
                  </m:fPr>
                  <m:num>
                    <m:r>
                      <m:rPr>
                        <m:sty m:val="p"/>
                      </m:rPr>
                      <w:rPr>
                        <w:rFonts w:ascii="Cambria Math" w:hAnsi="Cambria Math"/>
                        <w:szCs w:val="24"/>
                      </w:rPr>
                      <m:t>-1</m:t>
                    </m:r>
                  </m:num>
                  <m:den>
                    <m:r>
                      <w:rPr>
                        <w:rFonts w:ascii="Cambria Math" w:hAnsi="Cambria Math"/>
                        <w:szCs w:val="24"/>
                      </w:rPr>
                      <m:t>slope</m:t>
                    </m:r>
                  </m:den>
                </m:f>
              </m:sup>
            </m:sSup>
            <m:r>
              <m:rPr>
                <m:sty m:val="p"/>
              </m:rPr>
              <w:rPr>
                <w:rFonts w:ascii="Cambria Math" w:hAnsi="Cambria Math"/>
                <w:szCs w:val="24"/>
              </w:rPr>
              <m:t>-1</m:t>
            </m:r>
          </m:e>
        </m:d>
        <m:r>
          <m:rPr>
            <m:sty m:val="p"/>
          </m:rPr>
          <w:rPr>
            <w:rFonts w:ascii="Cambria Math" w:hAnsi="Cambria Math"/>
            <w:szCs w:val="24"/>
          </w:rPr>
          <m:t>*100</m:t>
        </m:r>
      </m:oMath>
      <w:r w:rsidRPr="00297023">
        <w:rPr>
          <w:szCs w:val="24"/>
        </w:rPr>
        <w:t xml:space="preserve">. </w:t>
      </w:r>
    </w:p>
    <w:tbl>
      <w:tblPr>
        <w:tblStyle w:val="TableGrid"/>
        <w:tblW w:w="8950" w:type="dxa"/>
        <w:tblInd w:w="-5" w:type="dxa"/>
        <w:tblLook w:val="04A0" w:firstRow="1" w:lastRow="0" w:firstColumn="1" w:lastColumn="0" w:noHBand="0" w:noVBand="1"/>
      </w:tblPr>
      <w:tblGrid>
        <w:gridCol w:w="1197"/>
        <w:gridCol w:w="5182"/>
        <w:gridCol w:w="2571"/>
      </w:tblGrid>
      <w:tr w:rsidR="00B204EE" w14:paraId="2B0AD7C2" w14:textId="77777777" w:rsidTr="000E3B4A">
        <w:trPr>
          <w:trHeight w:val="429"/>
        </w:trPr>
        <w:tc>
          <w:tcPr>
            <w:tcW w:w="1197" w:type="dxa"/>
          </w:tcPr>
          <w:p w14:paraId="7A7F40B9" w14:textId="77777777" w:rsidR="00B204EE" w:rsidRPr="00C46EC6" w:rsidRDefault="00B204EE" w:rsidP="000E3B4A">
            <w:pPr>
              <w:spacing w:after="0"/>
            </w:pPr>
          </w:p>
        </w:tc>
        <w:tc>
          <w:tcPr>
            <w:tcW w:w="5182" w:type="dxa"/>
          </w:tcPr>
          <w:p w14:paraId="7EE2E15B" w14:textId="77777777" w:rsidR="00B204EE" w:rsidRDefault="00B204EE" w:rsidP="000E3B4A">
            <w:pPr>
              <w:spacing w:after="0"/>
              <w:rPr>
                <w:rFonts w:ascii="Calibri" w:hAnsi="Calibri" w:cs="Calibri"/>
                <w:b/>
                <w:bCs/>
                <w:color w:val="000000"/>
              </w:rPr>
            </w:pPr>
            <w:r>
              <w:rPr>
                <w:rFonts w:ascii="Calibri" w:hAnsi="Calibri" w:cs="Calibri"/>
                <w:b/>
                <w:bCs/>
                <w:color w:val="000000"/>
              </w:rPr>
              <w:t xml:space="preserve">Sequence </w:t>
            </w:r>
          </w:p>
          <w:p w14:paraId="60EC6368" w14:textId="77777777" w:rsidR="00B204EE" w:rsidRDefault="00B204EE" w:rsidP="000E3B4A">
            <w:pPr>
              <w:spacing w:after="0"/>
            </w:pPr>
          </w:p>
        </w:tc>
        <w:tc>
          <w:tcPr>
            <w:tcW w:w="2571" w:type="dxa"/>
          </w:tcPr>
          <w:p w14:paraId="67AE76A7" w14:textId="77777777" w:rsidR="00B204EE" w:rsidRDefault="00B204EE" w:rsidP="000E3B4A">
            <w:pPr>
              <w:spacing w:after="0"/>
              <w:rPr>
                <w:rFonts w:ascii="Calibri" w:hAnsi="Calibri" w:cs="Calibri"/>
                <w:b/>
                <w:bCs/>
                <w:color w:val="000000"/>
              </w:rPr>
            </w:pPr>
            <w:r>
              <w:rPr>
                <w:rFonts w:ascii="Calibri" w:hAnsi="Calibri" w:cs="Calibri"/>
                <w:b/>
                <w:bCs/>
                <w:color w:val="000000"/>
              </w:rPr>
              <w:t>Amplification efficiency</w:t>
            </w:r>
          </w:p>
        </w:tc>
      </w:tr>
      <w:tr w:rsidR="00B204EE" w14:paraId="153E8F29" w14:textId="77777777" w:rsidTr="000E3B4A">
        <w:trPr>
          <w:trHeight w:val="951"/>
        </w:trPr>
        <w:tc>
          <w:tcPr>
            <w:tcW w:w="1197" w:type="dxa"/>
          </w:tcPr>
          <w:p w14:paraId="5A040750" w14:textId="77777777" w:rsidR="00B204EE" w:rsidRDefault="00B204EE" w:rsidP="000E3B4A">
            <w:pPr>
              <w:spacing w:after="0"/>
              <w:rPr>
                <w:rFonts w:ascii="Calibri" w:hAnsi="Calibri" w:cs="Calibri"/>
                <w:color w:val="000000"/>
              </w:rPr>
            </w:pPr>
            <w:r>
              <w:rPr>
                <w:rFonts w:ascii="Calibri" w:hAnsi="Calibri" w:cs="Calibri"/>
                <w:color w:val="000000"/>
              </w:rPr>
              <w:t>CYP2C19</w:t>
            </w:r>
            <w:r>
              <w:rPr>
                <w:rFonts w:ascii="Calibri" w:hAnsi="Calibri" w:cs="Calibri"/>
                <w:color w:val="000000"/>
              </w:rPr>
              <w:br/>
            </w:r>
            <w:r w:rsidRPr="00CB0294">
              <w:rPr>
                <w:rFonts w:ascii="Calibri" w:hAnsi="Calibri" w:cs="Calibri"/>
                <w:i/>
                <w:iCs/>
                <w:color w:val="000000"/>
              </w:rPr>
              <w:t>functional</w:t>
            </w:r>
          </w:p>
          <w:p w14:paraId="67998018" w14:textId="77777777" w:rsidR="00B204EE" w:rsidRDefault="00B204EE" w:rsidP="000E3B4A">
            <w:pPr>
              <w:spacing w:after="0"/>
            </w:pPr>
          </w:p>
        </w:tc>
        <w:tc>
          <w:tcPr>
            <w:tcW w:w="5182" w:type="dxa"/>
          </w:tcPr>
          <w:p w14:paraId="11BBA82F" w14:textId="37B5A9DD" w:rsidR="00B204EE" w:rsidRPr="00F03E11" w:rsidRDefault="00B204EE" w:rsidP="000E3B4A">
            <w:pPr>
              <w:spacing w:after="0"/>
              <w:rPr>
                <w:rFonts w:ascii="Calibri" w:hAnsi="Calibri" w:cs="Calibri"/>
                <w:color w:val="000000"/>
              </w:rPr>
            </w:pPr>
            <w:r w:rsidRPr="00F03E11">
              <w:rPr>
                <w:rFonts w:ascii="Calibri" w:hAnsi="Calibri" w:cs="Calibri"/>
                <w:color w:val="000000"/>
              </w:rPr>
              <w:t>For 5’-AAAACCAAGGCTTCACCCTGTGATCC-3’</w:t>
            </w:r>
            <w:r w:rsidR="000E3B4A">
              <w:rPr>
                <w:rFonts w:ascii="Calibri" w:hAnsi="Calibri" w:cs="Calibri"/>
                <w:color w:val="000000"/>
              </w:rPr>
              <w:br/>
            </w:r>
            <w:r w:rsidRPr="00F03E11">
              <w:rPr>
                <w:rFonts w:ascii="Calibri" w:hAnsi="Calibri" w:cs="Calibri"/>
                <w:color w:val="000000"/>
              </w:rPr>
              <w:t>Rev 5’-CCGGGAAATAATCAATGATAGTGGGAAA-3’</w:t>
            </w:r>
          </w:p>
          <w:p w14:paraId="672FDED3" w14:textId="77777777" w:rsidR="00B204EE" w:rsidRPr="00F03E11" w:rsidRDefault="00B204EE" w:rsidP="000E3B4A">
            <w:pPr>
              <w:spacing w:after="0"/>
              <w:rPr>
                <w:rFonts w:ascii="Calibri" w:hAnsi="Calibri" w:cs="Calibri"/>
                <w:color w:val="000000"/>
              </w:rPr>
            </w:pPr>
          </w:p>
        </w:tc>
        <w:tc>
          <w:tcPr>
            <w:tcW w:w="2571" w:type="dxa"/>
          </w:tcPr>
          <w:p w14:paraId="328436FE" w14:textId="7CA7DD2E" w:rsidR="00B204EE" w:rsidRDefault="00B204EE" w:rsidP="000E3B4A">
            <w:pPr>
              <w:spacing w:after="0"/>
              <w:rPr>
                <w:rFonts w:ascii="Arial" w:hAnsi="Arial" w:cs="Arial"/>
                <w:sz w:val="20"/>
                <w:szCs w:val="20"/>
              </w:rPr>
            </w:pPr>
            <w:r w:rsidRPr="007148A2">
              <w:rPr>
                <w:rFonts w:ascii="Calibri" w:hAnsi="Calibri" w:cs="Calibri"/>
                <w:color w:val="000000"/>
              </w:rPr>
              <w:t>98</w:t>
            </w:r>
            <w:r w:rsidR="00E01B3E">
              <w:rPr>
                <w:rFonts w:ascii="Calibri" w:hAnsi="Calibri" w:cs="Calibri"/>
                <w:color w:val="000000"/>
              </w:rPr>
              <w:t>.</w:t>
            </w:r>
            <w:r w:rsidRPr="007148A2">
              <w:rPr>
                <w:rFonts w:ascii="Calibri" w:hAnsi="Calibri" w:cs="Calibri"/>
                <w:color w:val="000000"/>
              </w:rPr>
              <w:t>7%</w:t>
            </w:r>
          </w:p>
        </w:tc>
      </w:tr>
      <w:tr w:rsidR="00B204EE" w14:paraId="6A77D50E" w14:textId="77777777" w:rsidTr="000E3B4A">
        <w:trPr>
          <w:trHeight w:val="429"/>
        </w:trPr>
        <w:tc>
          <w:tcPr>
            <w:tcW w:w="1197" w:type="dxa"/>
          </w:tcPr>
          <w:p w14:paraId="1C06C60E" w14:textId="77777777" w:rsidR="00B204EE" w:rsidRPr="00837B6E" w:rsidRDefault="00B204EE" w:rsidP="000E3B4A">
            <w:pPr>
              <w:spacing w:after="0"/>
              <w:rPr>
                <w:rFonts w:ascii="Calibri" w:hAnsi="Calibri" w:cs="Calibri"/>
                <w:color w:val="000000"/>
              </w:rPr>
            </w:pPr>
            <w:r w:rsidRPr="00837B6E">
              <w:rPr>
                <w:rFonts w:ascii="Calibri" w:hAnsi="Calibri" w:cs="Calibri"/>
                <w:color w:val="000000"/>
              </w:rPr>
              <w:t>CYP2C19</w:t>
            </w:r>
            <w:r>
              <w:rPr>
                <w:rFonts w:ascii="Calibri" w:hAnsi="Calibri" w:cs="Calibri"/>
                <w:color w:val="000000"/>
              </w:rPr>
              <w:br/>
            </w:r>
            <w:r w:rsidRPr="00CB0294">
              <w:rPr>
                <w:rFonts w:ascii="Calibri" w:hAnsi="Calibri" w:cs="Calibri"/>
                <w:i/>
                <w:iCs/>
                <w:color w:val="000000"/>
              </w:rPr>
              <w:t>total</w:t>
            </w:r>
          </w:p>
        </w:tc>
        <w:tc>
          <w:tcPr>
            <w:tcW w:w="5182" w:type="dxa"/>
          </w:tcPr>
          <w:p w14:paraId="4AE8B65E" w14:textId="77777777" w:rsidR="00B204EE" w:rsidRPr="00A81D25" w:rsidRDefault="00B204EE" w:rsidP="000E3B4A">
            <w:pPr>
              <w:spacing w:after="0"/>
              <w:rPr>
                <w:rFonts w:ascii="Calibri" w:hAnsi="Calibri" w:cs="Calibri"/>
                <w:color w:val="000000"/>
              </w:rPr>
            </w:pPr>
            <w:r w:rsidRPr="00A81D25">
              <w:rPr>
                <w:rFonts w:ascii="Calibri" w:hAnsi="Calibri" w:cs="Calibri"/>
                <w:color w:val="000000"/>
              </w:rPr>
              <w:t>For 5’-GCTCTCTTTCCTCTGGTCCAAATTTCAC-3’</w:t>
            </w:r>
            <w:r w:rsidRPr="00A81D25">
              <w:rPr>
                <w:rFonts w:ascii="Calibri" w:hAnsi="Calibri" w:cs="Calibri"/>
                <w:color w:val="000000"/>
              </w:rPr>
              <w:br/>
              <w:t>Rev 5’- GCACAGTGAAACTTTTTTAATGGAGGCTG-3’</w:t>
            </w:r>
          </w:p>
          <w:p w14:paraId="5CA8FF3A" w14:textId="77777777" w:rsidR="00B204EE" w:rsidRPr="00A81D25" w:rsidRDefault="00B204EE" w:rsidP="000E3B4A">
            <w:pPr>
              <w:spacing w:after="0"/>
              <w:rPr>
                <w:rFonts w:ascii="Calibri" w:hAnsi="Calibri" w:cs="Calibri"/>
                <w:color w:val="000000"/>
              </w:rPr>
            </w:pPr>
          </w:p>
        </w:tc>
        <w:tc>
          <w:tcPr>
            <w:tcW w:w="2571" w:type="dxa"/>
          </w:tcPr>
          <w:p w14:paraId="5A542E0F" w14:textId="7246B212" w:rsidR="00B204EE" w:rsidRDefault="00B204EE" w:rsidP="000E3B4A">
            <w:pPr>
              <w:spacing w:after="0"/>
              <w:rPr>
                <w:rFonts w:ascii="Arial" w:hAnsi="Arial" w:cs="Arial"/>
                <w:sz w:val="20"/>
                <w:szCs w:val="20"/>
              </w:rPr>
            </w:pPr>
            <w:r w:rsidRPr="007148A2">
              <w:rPr>
                <w:rFonts w:ascii="Calibri" w:hAnsi="Calibri" w:cs="Calibri"/>
                <w:color w:val="000000"/>
              </w:rPr>
              <w:t>99</w:t>
            </w:r>
            <w:r w:rsidR="00E01B3E">
              <w:rPr>
                <w:rFonts w:ascii="Calibri" w:hAnsi="Calibri" w:cs="Calibri"/>
                <w:color w:val="000000"/>
              </w:rPr>
              <w:t>.</w:t>
            </w:r>
            <w:r w:rsidRPr="007148A2">
              <w:rPr>
                <w:rFonts w:ascii="Calibri" w:hAnsi="Calibri" w:cs="Calibri"/>
                <w:color w:val="000000"/>
              </w:rPr>
              <w:t>2%</w:t>
            </w:r>
            <w:r>
              <w:rPr>
                <w:rFonts w:ascii="Arial" w:hAnsi="Arial" w:cs="Arial"/>
                <w:sz w:val="20"/>
                <w:szCs w:val="20"/>
              </w:rPr>
              <w:t xml:space="preserve"> </w:t>
            </w:r>
          </w:p>
        </w:tc>
      </w:tr>
      <w:tr w:rsidR="00B204EE" w14:paraId="18A2325E" w14:textId="77777777" w:rsidTr="000E3B4A">
        <w:trPr>
          <w:trHeight w:val="405"/>
        </w:trPr>
        <w:tc>
          <w:tcPr>
            <w:tcW w:w="1197" w:type="dxa"/>
          </w:tcPr>
          <w:p w14:paraId="1235719A" w14:textId="77777777" w:rsidR="00B204EE" w:rsidRPr="00A81D25" w:rsidRDefault="00B204EE" w:rsidP="000E3B4A">
            <w:pPr>
              <w:spacing w:after="0"/>
              <w:rPr>
                <w:rFonts w:ascii="Calibri" w:hAnsi="Calibri" w:cs="Calibri"/>
                <w:color w:val="000000"/>
              </w:rPr>
            </w:pPr>
            <w:r w:rsidRPr="00A81D25">
              <w:rPr>
                <w:rFonts w:ascii="Calibri" w:hAnsi="Calibri" w:cs="Calibri"/>
                <w:color w:val="000000"/>
              </w:rPr>
              <w:t xml:space="preserve">CRP </w:t>
            </w:r>
          </w:p>
          <w:p w14:paraId="2753C98F" w14:textId="77777777" w:rsidR="00B204EE" w:rsidRPr="00A81D25" w:rsidRDefault="00B204EE" w:rsidP="000E3B4A">
            <w:pPr>
              <w:spacing w:after="0"/>
              <w:rPr>
                <w:rFonts w:ascii="Calibri" w:hAnsi="Calibri" w:cs="Calibri"/>
                <w:color w:val="000000"/>
              </w:rPr>
            </w:pPr>
          </w:p>
        </w:tc>
        <w:tc>
          <w:tcPr>
            <w:tcW w:w="5182" w:type="dxa"/>
          </w:tcPr>
          <w:p w14:paraId="546837A8" w14:textId="77777777" w:rsidR="00B204EE" w:rsidRPr="00A81D25" w:rsidRDefault="00B204EE" w:rsidP="000E3B4A">
            <w:pPr>
              <w:spacing w:after="0"/>
              <w:rPr>
                <w:rFonts w:ascii="Calibri" w:hAnsi="Calibri" w:cs="Calibri"/>
                <w:color w:val="000000"/>
              </w:rPr>
            </w:pPr>
            <w:r w:rsidRPr="00A81D25">
              <w:rPr>
                <w:rFonts w:ascii="Calibri" w:hAnsi="Calibri" w:cs="Calibri"/>
                <w:color w:val="000000"/>
              </w:rPr>
              <w:t>For 5’-CTCTCTCATGCTTTTGGCCAGACAG-3’</w:t>
            </w:r>
            <w:r w:rsidRPr="00A81D25">
              <w:rPr>
                <w:rFonts w:ascii="Calibri" w:hAnsi="Calibri" w:cs="Calibri"/>
                <w:color w:val="000000"/>
              </w:rPr>
              <w:br/>
              <w:t>Rev 5’-AAGAATTCACAGCCCCACAAGGTTC-3’</w:t>
            </w:r>
          </w:p>
          <w:p w14:paraId="3D2C1786" w14:textId="77777777" w:rsidR="00B204EE" w:rsidRPr="00A81D25" w:rsidRDefault="00B204EE" w:rsidP="000E3B4A">
            <w:pPr>
              <w:spacing w:after="0"/>
              <w:rPr>
                <w:rFonts w:ascii="Calibri" w:hAnsi="Calibri" w:cs="Calibri"/>
                <w:color w:val="000000"/>
              </w:rPr>
            </w:pPr>
          </w:p>
        </w:tc>
        <w:tc>
          <w:tcPr>
            <w:tcW w:w="2571" w:type="dxa"/>
          </w:tcPr>
          <w:p w14:paraId="5F8F544F" w14:textId="77777777" w:rsidR="00B204EE" w:rsidRPr="00C46EC6" w:rsidRDefault="00B204EE" w:rsidP="000E3B4A">
            <w:pPr>
              <w:spacing w:after="0"/>
              <w:rPr>
                <w:rFonts w:ascii="Calibri" w:hAnsi="Calibri" w:cs="Calibri"/>
                <w:color w:val="000000"/>
              </w:rPr>
            </w:pPr>
            <w:r>
              <w:rPr>
                <w:rFonts w:ascii="Calibri" w:hAnsi="Calibri" w:cs="Calibri"/>
                <w:color w:val="000000"/>
              </w:rPr>
              <w:t>96.3%</w:t>
            </w:r>
          </w:p>
        </w:tc>
      </w:tr>
      <w:tr w:rsidR="00B204EE" w14:paraId="30B844FC" w14:textId="77777777" w:rsidTr="000E3B4A">
        <w:trPr>
          <w:trHeight w:val="936"/>
        </w:trPr>
        <w:tc>
          <w:tcPr>
            <w:tcW w:w="1197" w:type="dxa"/>
          </w:tcPr>
          <w:p w14:paraId="2173078F" w14:textId="77777777" w:rsidR="00B204EE" w:rsidRPr="00A81D25" w:rsidRDefault="00B204EE" w:rsidP="000E3B4A">
            <w:pPr>
              <w:spacing w:after="0"/>
              <w:rPr>
                <w:rFonts w:ascii="Calibri" w:hAnsi="Calibri" w:cs="Calibri"/>
                <w:color w:val="000000"/>
              </w:rPr>
            </w:pPr>
            <w:r w:rsidRPr="00A81D25">
              <w:rPr>
                <w:rFonts w:ascii="Calibri" w:hAnsi="Calibri" w:cs="Calibri"/>
                <w:color w:val="000000"/>
              </w:rPr>
              <w:t>PNLPA3</w:t>
            </w:r>
          </w:p>
        </w:tc>
        <w:tc>
          <w:tcPr>
            <w:tcW w:w="5182" w:type="dxa"/>
          </w:tcPr>
          <w:p w14:paraId="707CFC6A" w14:textId="40D1B9B2" w:rsidR="00B204EE" w:rsidRPr="000E3B4A" w:rsidRDefault="00B204EE" w:rsidP="000E3B4A">
            <w:pPr>
              <w:spacing w:after="0"/>
              <w:rPr>
                <w:rFonts w:ascii="Calibri" w:hAnsi="Calibri" w:cs="Calibri"/>
                <w:color w:val="000000"/>
              </w:rPr>
            </w:pPr>
            <w:r w:rsidRPr="000E3B4A">
              <w:rPr>
                <w:rFonts w:ascii="Calibri" w:hAnsi="Calibri" w:cs="Calibri"/>
                <w:color w:val="000000"/>
              </w:rPr>
              <w:t>For 5’-TCACTCGAGTGCTGATGTGTCTGC-3’</w:t>
            </w:r>
            <w:r w:rsidR="000E3B4A">
              <w:rPr>
                <w:rFonts w:ascii="Calibri" w:hAnsi="Calibri" w:cs="Calibri"/>
                <w:color w:val="000000"/>
              </w:rPr>
              <w:br/>
            </w:r>
            <w:r w:rsidRPr="000E3B4A">
              <w:rPr>
                <w:rFonts w:ascii="Calibri" w:hAnsi="Calibri" w:cs="Calibri"/>
                <w:color w:val="000000"/>
              </w:rPr>
              <w:t xml:space="preserve">Rev 5’-CCTCTGCTTTGGTCTCTGCTGGAC-3’ </w:t>
            </w:r>
          </w:p>
          <w:p w14:paraId="05EC53AA" w14:textId="77777777" w:rsidR="00B204EE" w:rsidRPr="007E386D" w:rsidRDefault="00B204EE" w:rsidP="000E3B4A">
            <w:pPr>
              <w:spacing w:after="0"/>
              <w:rPr>
                <w:rFonts w:ascii="Calibri" w:hAnsi="Calibri" w:cs="Calibri"/>
                <w:color w:val="000000"/>
              </w:rPr>
            </w:pPr>
          </w:p>
        </w:tc>
        <w:tc>
          <w:tcPr>
            <w:tcW w:w="2571" w:type="dxa"/>
          </w:tcPr>
          <w:p w14:paraId="56525CA0" w14:textId="77777777" w:rsidR="00B204EE" w:rsidRPr="00C46EC6" w:rsidRDefault="00B204EE" w:rsidP="000E3B4A">
            <w:pPr>
              <w:spacing w:after="0"/>
              <w:rPr>
                <w:rFonts w:ascii="Calibri" w:hAnsi="Calibri" w:cs="Calibri"/>
                <w:color w:val="000000"/>
              </w:rPr>
            </w:pPr>
            <w:r>
              <w:rPr>
                <w:rFonts w:ascii="Calibri" w:hAnsi="Calibri" w:cs="Calibri"/>
                <w:color w:val="000000"/>
              </w:rPr>
              <w:t xml:space="preserve">97.8% </w:t>
            </w:r>
          </w:p>
        </w:tc>
      </w:tr>
    </w:tbl>
    <w:p w14:paraId="283B4FBD" w14:textId="77777777" w:rsidR="00B204EE" w:rsidRDefault="00B204EE" w:rsidP="00B204EE">
      <w:pPr>
        <w:rPr>
          <w:b/>
          <w:bCs/>
        </w:rPr>
      </w:pPr>
    </w:p>
    <w:p w14:paraId="066ED77C" w14:textId="77777777" w:rsidR="00B204EE" w:rsidRPr="00B80A62" w:rsidRDefault="00B204EE" w:rsidP="00B204EE">
      <w:pPr>
        <w:rPr>
          <w:u w:val="single"/>
        </w:rPr>
      </w:pPr>
      <w:r w:rsidRPr="00B80A62">
        <w:rPr>
          <w:u w:val="single"/>
        </w:rPr>
        <w:t>Quantification of 4’hydroxymephenytoin by LC-MS/MS</w:t>
      </w:r>
    </w:p>
    <w:p w14:paraId="654D7102" w14:textId="77777777" w:rsidR="00B204EE" w:rsidRDefault="00B204EE" w:rsidP="00B204EE">
      <w:r>
        <w:t xml:space="preserve">Quantification of 4’hydroxymephentoin in the microsomal incubations was done using a liquid chromatography-tandem mass spectrometry (LC-MS/MS) system consisting of a Nexera LC-40 high-performance liquid chromatography (HPLC) system equipped with a </w:t>
      </w:r>
      <w:r w:rsidRPr="008F4EB6">
        <w:t xml:space="preserve">DGU-403 degassing unit, </w:t>
      </w:r>
      <w:r>
        <w:t xml:space="preserve">two </w:t>
      </w:r>
      <w:r w:rsidRPr="008F4EB6">
        <w:t>LC-40D pumps, a SIL-40C autosampler, and a CTO-40S column oven (Shimadzu, ‘s-Hertogenbosch, the Netherlands)</w:t>
      </w:r>
      <w:r>
        <w:t xml:space="preserve">. A Kinetex C18 column (1.7 </w:t>
      </w:r>
      <w:r>
        <w:rPr>
          <w:rFonts w:cstheme="minorHAnsi"/>
        </w:rPr>
        <w:t>µ</w:t>
      </w:r>
      <w:r>
        <w:t xml:space="preserve">M, 50x2.1 mm) (Phenomenex, Utrecht, The Netherlands) </w:t>
      </w:r>
      <w:r w:rsidRPr="003424F0">
        <w:t>with a SecurityGuard Ultra C8, 2.7 µm, 5 × 2.1 mm cartridge (Phenomenex, Utrecht, The Netherlands) as guard column were used</w:t>
      </w:r>
      <w:r>
        <w:t xml:space="preserve"> to separate 4’hydroxymephenytoin from other analytes present in the sample matrix. Mobile phases consisted of water (A) and methanol (B) both containing 0.1% formic acid. The gradient, with a flow rate of 0.4 ml/min, started at 5% B and increased to 100% B in 4 min, maintaining 100% B for 2 min, and then returned to initial conditions for another 2 min. The column was kept at 50</w:t>
      </w:r>
      <w:r w:rsidRPr="00AA7235">
        <w:rPr>
          <w:lang w:val="en-GB"/>
        </w:rPr>
        <w:t xml:space="preserve"> </w:t>
      </w:r>
      <w:r w:rsidRPr="003424F0">
        <w:rPr>
          <w:lang w:val="en-GB"/>
        </w:rPr>
        <w:t>˚C</w:t>
      </w:r>
      <w:r>
        <w:t xml:space="preserve"> and the injection volume was 20 µL. The HPLC was coupled to a Sciex QTRAP 6500+ mass spectrometer (</w:t>
      </w:r>
      <w:r w:rsidRPr="003424F0">
        <w:t xml:space="preserve">AB Sciex </w:t>
      </w:r>
      <w:r w:rsidRPr="003424F0">
        <w:lastRenderedPageBreak/>
        <w:t>Netherlands B.V., Nieuwerkerk aan den Ijssel, The Netherlands</w:t>
      </w:r>
      <w:r>
        <w:t>) operating in positive electrospray mode (ESI+).</w:t>
      </w:r>
    </w:p>
    <w:p w14:paraId="0E128B39" w14:textId="6D6B2EFD" w:rsidR="00B204EE" w:rsidRDefault="00B204EE" w:rsidP="00B204EE">
      <w:r>
        <w:t xml:space="preserve">The MS conditions were as follows: </w:t>
      </w:r>
      <w:r>
        <w:rPr>
          <w:lang w:val="en-GB"/>
        </w:rPr>
        <w:t xml:space="preserve">curtain gas 20 psi, </w:t>
      </w:r>
      <w:r w:rsidRPr="003424F0">
        <w:rPr>
          <w:lang w:val="en-GB"/>
        </w:rPr>
        <w:t>collision gas “medium”</w:t>
      </w:r>
      <w:r>
        <w:rPr>
          <w:lang w:val="en-GB"/>
        </w:rPr>
        <w:t xml:space="preserve">, ion source gas 1 40 psi, ion source gas 2 40 psi, ion spray voltage 5500 V and  temperature 550 </w:t>
      </w:r>
      <w:r w:rsidRPr="003424F0">
        <w:rPr>
          <w:lang w:val="en-GB"/>
        </w:rPr>
        <w:t>˚C</w:t>
      </w:r>
      <w:r>
        <w:rPr>
          <w:lang w:val="en-GB"/>
        </w:rPr>
        <w:t xml:space="preserve">. </w:t>
      </w:r>
      <w:r>
        <w:t>The MS was operated in the multiple reaction monitoring (MRM) mode and was optimized by direct infusion of the standards individually. The optimized MRM transitions, retention time, declustering potential (DP), collision energy (CE) and cell exit potential (CXP) for 4’hydroxymephenytoin and internal standard 4’hydroxymephenytoin-d</w:t>
      </w:r>
      <w:r w:rsidRPr="00733D1B">
        <w:rPr>
          <w:vertAlign w:val="subscript"/>
        </w:rPr>
        <w:t>3</w:t>
      </w:r>
      <w:r>
        <w:t xml:space="preserve"> are summarized in Supplementary Table 2.</w:t>
      </w:r>
    </w:p>
    <w:p w14:paraId="7873BC21" w14:textId="34C89AAB" w:rsidR="00B204EE" w:rsidRPr="00297023" w:rsidRDefault="00B204EE" w:rsidP="00B204EE">
      <w:pPr>
        <w:rPr>
          <w:szCs w:val="24"/>
        </w:rPr>
      </w:pPr>
      <w:r w:rsidRPr="00297023">
        <w:rPr>
          <w:szCs w:val="24"/>
        </w:rPr>
        <w:t xml:space="preserve">Supplementary Table </w:t>
      </w:r>
      <w:r w:rsidR="0029702E">
        <w:rPr>
          <w:szCs w:val="24"/>
        </w:rPr>
        <w:t>S</w:t>
      </w:r>
      <w:r w:rsidRPr="00297023">
        <w:rPr>
          <w:szCs w:val="24"/>
        </w:rPr>
        <w:t>2. MRM parameters and retention time for the quantified analytes by the LC-MS/MS method.</w:t>
      </w:r>
    </w:p>
    <w:tbl>
      <w:tblPr>
        <w:tblStyle w:val="TableGrid"/>
        <w:tblW w:w="0" w:type="auto"/>
        <w:tblLook w:val="04A0" w:firstRow="1" w:lastRow="0" w:firstColumn="1" w:lastColumn="0" w:noHBand="0" w:noVBand="1"/>
      </w:tblPr>
      <w:tblGrid>
        <w:gridCol w:w="2689"/>
        <w:gridCol w:w="756"/>
        <w:gridCol w:w="1145"/>
        <w:gridCol w:w="1222"/>
        <w:gridCol w:w="1084"/>
        <w:gridCol w:w="1084"/>
        <w:gridCol w:w="1084"/>
      </w:tblGrid>
      <w:tr w:rsidR="00B204EE" w14:paraId="77B9B5C1" w14:textId="77777777" w:rsidTr="00574C70">
        <w:tc>
          <w:tcPr>
            <w:tcW w:w="2689" w:type="dxa"/>
          </w:tcPr>
          <w:p w14:paraId="0B05478F" w14:textId="77777777" w:rsidR="00B204EE" w:rsidRPr="00312B9D" w:rsidRDefault="00B204EE" w:rsidP="00574C70">
            <w:pPr>
              <w:rPr>
                <w:b/>
                <w:bCs/>
                <w:lang w:val="en-GB"/>
              </w:rPr>
            </w:pPr>
            <w:r w:rsidRPr="00312B9D">
              <w:rPr>
                <w:b/>
                <w:bCs/>
                <w:lang w:val="en-GB"/>
              </w:rPr>
              <w:t>Analyte</w:t>
            </w:r>
          </w:p>
        </w:tc>
        <w:tc>
          <w:tcPr>
            <w:tcW w:w="754" w:type="dxa"/>
          </w:tcPr>
          <w:p w14:paraId="6496FF4E" w14:textId="77777777" w:rsidR="00B204EE" w:rsidRPr="00312B9D" w:rsidRDefault="00B204EE" w:rsidP="00574C70">
            <w:pPr>
              <w:rPr>
                <w:b/>
                <w:bCs/>
                <w:lang w:val="en-GB"/>
              </w:rPr>
            </w:pPr>
            <w:r w:rsidRPr="00312B9D">
              <w:rPr>
                <w:b/>
                <w:bCs/>
                <w:lang w:val="en-GB"/>
              </w:rPr>
              <w:t>Q1 mass (Da)</w:t>
            </w:r>
          </w:p>
        </w:tc>
        <w:tc>
          <w:tcPr>
            <w:tcW w:w="1145" w:type="dxa"/>
          </w:tcPr>
          <w:p w14:paraId="0FCD42AF" w14:textId="77777777" w:rsidR="00B204EE" w:rsidRPr="00312B9D" w:rsidRDefault="00B204EE" w:rsidP="00574C70">
            <w:pPr>
              <w:rPr>
                <w:b/>
                <w:bCs/>
                <w:lang w:val="en-GB"/>
              </w:rPr>
            </w:pPr>
            <w:r w:rsidRPr="00312B9D">
              <w:rPr>
                <w:b/>
                <w:bCs/>
                <w:lang w:val="en-GB"/>
              </w:rPr>
              <w:t>Q3 mass (Da)</w:t>
            </w:r>
          </w:p>
        </w:tc>
        <w:tc>
          <w:tcPr>
            <w:tcW w:w="1222" w:type="dxa"/>
          </w:tcPr>
          <w:p w14:paraId="5083E3E7" w14:textId="77777777" w:rsidR="00B204EE" w:rsidRPr="00312B9D" w:rsidRDefault="00B204EE" w:rsidP="00574C70">
            <w:pPr>
              <w:rPr>
                <w:b/>
                <w:bCs/>
                <w:lang w:val="en-GB"/>
              </w:rPr>
            </w:pPr>
            <w:r w:rsidRPr="00312B9D">
              <w:rPr>
                <w:b/>
                <w:bCs/>
                <w:lang w:val="en-GB"/>
              </w:rPr>
              <w:t>Retention time</w:t>
            </w:r>
            <w:r>
              <w:rPr>
                <w:b/>
                <w:bCs/>
                <w:lang w:val="en-GB"/>
              </w:rPr>
              <w:t xml:space="preserve"> (min)</w:t>
            </w:r>
          </w:p>
        </w:tc>
        <w:tc>
          <w:tcPr>
            <w:tcW w:w="1084" w:type="dxa"/>
          </w:tcPr>
          <w:p w14:paraId="6ECAF4D3" w14:textId="77777777" w:rsidR="00B204EE" w:rsidRPr="00312B9D" w:rsidRDefault="00B204EE" w:rsidP="00574C70">
            <w:pPr>
              <w:rPr>
                <w:b/>
                <w:bCs/>
                <w:lang w:val="en-GB"/>
              </w:rPr>
            </w:pPr>
            <w:r w:rsidRPr="00312B9D">
              <w:rPr>
                <w:b/>
                <w:bCs/>
                <w:lang w:val="en-GB"/>
              </w:rPr>
              <w:t>DP (</w:t>
            </w:r>
            <w:r>
              <w:rPr>
                <w:b/>
                <w:bCs/>
                <w:lang w:val="en-GB"/>
              </w:rPr>
              <w:t>V</w:t>
            </w:r>
            <w:r w:rsidRPr="00312B9D">
              <w:rPr>
                <w:b/>
                <w:bCs/>
                <w:lang w:val="en-GB"/>
              </w:rPr>
              <w:t>)</w:t>
            </w:r>
          </w:p>
        </w:tc>
        <w:tc>
          <w:tcPr>
            <w:tcW w:w="1084" w:type="dxa"/>
          </w:tcPr>
          <w:p w14:paraId="7B1F2FAB" w14:textId="77777777" w:rsidR="00B204EE" w:rsidRPr="00312B9D" w:rsidRDefault="00B204EE" w:rsidP="00574C70">
            <w:pPr>
              <w:rPr>
                <w:b/>
                <w:bCs/>
                <w:lang w:val="en-GB"/>
              </w:rPr>
            </w:pPr>
            <w:r w:rsidRPr="00312B9D">
              <w:rPr>
                <w:b/>
                <w:bCs/>
                <w:lang w:val="en-GB"/>
              </w:rPr>
              <w:t>CE (</w:t>
            </w:r>
            <w:r>
              <w:rPr>
                <w:b/>
                <w:bCs/>
                <w:lang w:val="en-GB"/>
              </w:rPr>
              <w:t>V</w:t>
            </w:r>
            <w:r w:rsidRPr="00312B9D">
              <w:rPr>
                <w:b/>
                <w:bCs/>
                <w:lang w:val="en-GB"/>
              </w:rPr>
              <w:t>)</w:t>
            </w:r>
          </w:p>
        </w:tc>
        <w:tc>
          <w:tcPr>
            <w:tcW w:w="1084" w:type="dxa"/>
          </w:tcPr>
          <w:p w14:paraId="7674BE69" w14:textId="77777777" w:rsidR="00B204EE" w:rsidRPr="00312B9D" w:rsidRDefault="00B204EE" w:rsidP="00574C70">
            <w:pPr>
              <w:rPr>
                <w:b/>
                <w:bCs/>
                <w:lang w:val="en-GB"/>
              </w:rPr>
            </w:pPr>
            <w:r w:rsidRPr="00312B9D">
              <w:rPr>
                <w:b/>
                <w:bCs/>
                <w:lang w:val="en-GB"/>
              </w:rPr>
              <w:t>CXP (</w:t>
            </w:r>
            <w:r>
              <w:rPr>
                <w:b/>
                <w:bCs/>
                <w:lang w:val="en-GB"/>
              </w:rPr>
              <w:t>V</w:t>
            </w:r>
            <w:r w:rsidRPr="00312B9D">
              <w:rPr>
                <w:b/>
                <w:bCs/>
                <w:lang w:val="en-GB"/>
              </w:rPr>
              <w:t>)</w:t>
            </w:r>
          </w:p>
        </w:tc>
      </w:tr>
      <w:tr w:rsidR="00B204EE" w14:paraId="1A4405A5" w14:textId="77777777" w:rsidTr="00574C70">
        <w:tc>
          <w:tcPr>
            <w:tcW w:w="2689" w:type="dxa"/>
          </w:tcPr>
          <w:p w14:paraId="2A7EB7CF" w14:textId="77777777" w:rsidR="00B204EE" w:rsidRDefault="00B204EE" w:rsidP="00574C70">
            <w:pPr>
              <w:rPr>
                <w:lang w:val="en-GB"/>
              </w:rPr>
            </w:pPr>
            <w:r>
              <w:rPr>
                <w:lang w:val="en-GB"/>
              </w:rPr>
              <w:t>4’-hydroxymephenytoin</w:t>
            </w:r>
          </w:p>
        </w:tc>
        <w:tc>
          <w:tcPr>
            <w:tcW w:w="754" w:type="dxa"/>
          </w:tcPr>
          <w:p w14:paraId="5A5E3C11" w14:textId="77777777" w:rsidR="00B204EE" w:rsidRDefault="00B204EE" w:rsidP="00574C70">
            <w:pPr>
              <w:rPr>
                <w:lang w:val="en-GB"/>
              </w:rPr>
            </w:pPr>
            <w:r>
              <w:rPr>
                <w:lang w:val="en-GB"/>
              </w:rPr>
              <w:t>235.1</w:t>
            </w:r>
          </w:p>
        </w:tc>
        <w:tc>
          <w:tcPr>
            <w:tcW w:w="1145" w:type="dxa"/>
          </w:tcPr>
          <w:p w14:paraId="6C333708" w14:textId="77777777" w:rsidR="00B204EE" w:rsidRDefault="00B204EE" w:rsidP="00574C70">
            <w:pPr>
              <w:rPr>
                <w:lang w:val="en-GB"/>
              </w:rPr>
            </w:pPr>
            <w:r>
              <w:rPr>
                <w:lang w:val="en-GB"/>
              </w:rPr>
              <w:t>150.1</w:t>
            </w:r>
          </w:p>
        </w:tc>
        <w:tc>
          <w:tcPr>
            <w:tcW w:w="1222" w:type="dxa"/>
          </w:tcPr>
          <w:p w14:paraId="03D32C77" w14:textId="77777777" w:rsidR="00B204EE" w:rsidRDefault="00B204EE" w:rsidP="00574C70">
            <w:pPr>
              <w:rPr>
                <w:lang w:val="en-GB"/>
              </w:rPr>
            </w:pPr>
            <w:r>
              <w:rPr>
                <w:lang w:val="en-GB"/>
              </w:rPr>
              <w:t>2.7</w:t>
            </w:r>
          </w:p>
        </w:tc>
        <w:tc>
          <w:tcPr>
            <w:tcW w:w="1084" w:type="dxa"/>
          </w:tcPr>
          <w:p w14:paraId="575D7CC3" w14:textId="77777777" w:rsidR="00B204EE" w:rsidRDefault="00B204EE" w:rsidP="00574C70">
            <w:pPr>
              <w:rPr>
                <w:lang w:val="en-GB"/>
              </w:rPr>
            </w:pPr>
            <w:r>
              <w:rPr>
                <w:lang w:val="en-GB"/>
              </w:rPr>
              <w:t>51</w:t>
            </w:r>
          </w:p>
        </w:tc>
        <w:tc>
          <w:tcPr>
            <w:tcW w:w="1084" w:type="dxa"/>
          </w:tcPr>
          <w:p w14:paraId="38883323" w14:textId="77777777" w:rsidR="00B204EE" w:rsidRDefault="00B204EE" w:rsidP="00574C70">
            <w:pPr>
              <w:rPr>
                <w:lang w:val="en-GB"/>
              </w:rPr>
            </w:pPr>
            <w:r>
              <w:rPr>
                <w:lang w:val="en-GB"/>
              </w:rPr>
              <w:t>25</w:t>
            </w:r>
          </w:p>
        </w:tc>
        <w:tc>
          <w:tcPr>
            <w:tcW w:w="1084" w:type="dxa"/>
          </w:tcPr>
          <w:p w14:paraId="5C1E8793" w14:textId="77777777" w:rsidR="00B204EE" w:rsidRDefault="00B204EE" w:rsidP="00574C70">
            <w:pPr>
              <w:rPr>
                <w:lang w:val="en-GB"/>
              </w:rPr>
            </w:pPr>
            <w:r>
              <w:rPr>
                <w:lang w:val="en-GB"/>
              </w:rPr>
              <w:t>10</w:t>
            </w:r>
          </w:p>
        </w:tc>
      </w:tr>
      <w:tr w:rsidR="00B204EE" w14:paraId="28A8F4E2" w14:textId="77777777" w:rsidTr="00574C70">
        <w:tc>
          <w:tcPr>
            <w:tcW w:w="2689" w:type="dxa"/>
          </w:tcPr>
          <w:p w14:paraId="3E994C5B" w14:textId="77777777" w:rsidR="00B204EE" w:rsidRDefault="00B204EE" w:rsidP="00574C70">
            <w:pPr>
              <w:rPr>
                <w:lang w:val="en-GB"/>
              </w:rPr>
            </w:pPr>
            <w:r>
              <w:rPr>
                <w:lang w:val="en-GB"/>
              </w:rPr>
              <w:t>4’-hydroxymephenytoin-d</w:t>
            </w:r>
            <w:r w:rsidRPr="00D43203">
              <w:rPr>
                <w:vertAlign w:val="subscript"/>
                <w:lang w:val="en-GB"/>
              </w:rPr>
              <w:t>3</w:t>
            </w:r>
          </w:p>
        </w:tc>
        <w:tc>
          <w:tcPr>
            <w:tcW w:w="754" w:type="dxa"/>
          </w:tcPr>
          <w:p w14:paraId="1A13087E" w14:textId="77777777" w:rsidR="00B204EE" w:rsidRDefault="00B204EE" w:rsidP="00574C70">
            <w:pPr>
              <w:rPr>
                <w:lang w:val="en-GB"/>
              </w:rPr>
            </w:pPr>
            <w:r>
              <w:rPr>
                <w:lang w:val="en-GB"/>
              </w:rPr>
              <w:t>238.1</w:t>
            </w:r>
          </w:p>
        </w:tc>
        <w:tc>
          <w:tcPr>
            <w:tcW w:w="1145" w:type="dxa"/>
          </w:tcPr>
          <w:p w14:paraId="67397D8C" w14:textId="77777777" w:rsidR="00B204EE" w:rsidRDefault="00B204EE" w:rsidP="00574C70">
            <w:pPr>
              <w:rPr>
                <w:lang w:val="en-GB"/>
              </w:rPr>
            </w:pPr>
            <w:r>
              <w:rPr>
                <w:lang w:val="en-GB"/>
              </w:rPr>
              <w:t>150.1</w:t>
            </w:r>
          </w:p>
        </w:tc>
        <w:tc>
          <w:tcPr>
            <w:tcW w:w="1222" w:type="dxa"/>
          </w:tcPr>
          <w:p w14:paraId="23925168" w14:textId="77777777" w:rsidR="00B204EE" w:rsidRDefault="00B204EE" w:rsidP="00574C70">
            <w:pPr>
              <w:rPr>
                <w:lang w:val="en-GB"/>
              </w:rPr>
            </w:pPr>
            <w:r>
              <w:rPr>
                <w:lang w:val="en-GB"/>
              </w:rPr>
              <w:t>2.7</w:t>
            </w:r>
          </w:p>
        </w:tc>
        <w:tc>
          <w:tcPr>
            <w:tcW w:w="1084" w:type="dxa"/>
          </w:tcPr>
          <w:p w14:paraId="3F49CBB0" w14:textId="77777777" w:rsidR="00B204EE" w:rsidRDefault="00B204EE" w:rsidP="00574C70">
            <w:pPr>
              <w:rPr>
                <w:lang w:val="en-GB"/>
              </w:rPr>
            </w:pPr>
            <w:r>
              <w:rPr>
                <w:lang w:val="en-GB"/>
              </w:rPr>
              <w:t>41</w:t>
            </w:r>
          </w:p>
        </w:tc>
        <w:tc>
          <w:tcPr>
            <w:tcW w:w="1084" w:type="dxa"/>
          </w:tcPr>
          <w:p w14:paraId="0D17EEAA" w14:textId="77777777" w:rsidR="00B204EE" w:rsidRDefault="00B204EE" w:rsidP="00574C70">
            <w:pPr>
              <w:rPr>
                <w:lang w:val="en-GB"/>
              </w:rPr>
            </w:pPr>
            <w:r>
              <w:rPr>
                <w:lang w:val="en-GB"/>
              </w:rPr>
              <w:t>25</w:t>
            </w:r>
          </w:p>
        </w:tc>
        <w:tc>
          <w:tcPr>
            <w:tcW w:w="1084" w:type="dxa"/>
          </w:tcPr>
          <w:p w14:paraId="6A2BAD6C" w14:textId="77777777" w:rsidR="00B204EE" w:rsidRDefault="00B204EE" w:rsidP="00574C70">
            <w:pPr>
              <w:rPr>
                <w:lang w:val="en-GB"/>
              </w:rPr>
            </w:pPr>
            <w:r>
              <w:rPr>
                <w:lang w:val="en-GB"/>
              </w:rPr>
              <w:t>14</w:t>
            </w:r>
          </w:p>
        </w:tc>
      </w:tr>
    </w:tbl>
    <w:p w14:paraId="1B8CE75A" w14:textId="77777777" w:rsidR="00B204EE" w:rsidRPr="00E96235" w:rsidRDefault="00B204EE" w:rsidP="00B204EE">
      <w:r>
        <w:t>Assay accuracy and precision were determined by analyzing q</w:t>
      </w:r>
      <w:r w:rsidRPr="0006703B">
        <w:t>uintuplicate</w:t>
      </w:r>
      <w:r>
        <w:t>s</w:t>
      </w:r>
      <w:r w:rsidRPr="0006703B">
        <w:t xml:space="preserve"> </w:t>
      </w:r>
      <w:r>
        <w:t xml:space="preserve">of quality controls at five concentration levels quality controls that were prepared like the microsomal samples.  Within – and between runs coefficients of variation (CV)  were </w:t>
      </w:r>
      <w:r>
        <w:rPr>
          <w:rFonts w:cs="Arial"/>
          <w:szCs w:val="20"/>
        </w:rPr>
        <w:t>≤2% (n=3). The mean b</w:t>
      </w:r>
      <w:r w:rsidRPr="00BC2C8D">
        <w:rPr>
          <w:rFonts w:cs="Arial"/>
          <w:szCs w:val="20"/>
        </w:rPr>
        <w:t>ias was</w:t>
      </w:r>
      <w:r>
        <w:rPr>
          <w:rFonts w:cs="Arial"/>
          <w:szCs w:val="20"/>
        </w:rPr>
        <w:t xml:space="preserve"> in the range of -4</w:t>
      </w:r>
      <w:r w:rsidRPr="00BC2C8D">
        <w:rPr>
          <w:rFonts w:cs="Arial"/>
          <w:szCs w:val="20"/>
        </w:rPr>
        <w:t xml:space="preserve">% </w:t>
      </w:r>
      <w:r>
        <w:rPr>
          <w:rFonts w:cs="Arial"/>
          <w:szCs w:val="20"/>
        </w:rPr>
        <w:t>to 7% across</w:t>
      </w:r>
      <w:r w:rsidRPr="00BC2C8D">
        <w:rPr>
          <w:rFonts w:cs="Arial"/>
          <w:szCs w:val="20"/>
        </w:rPr>
        <w:t xml:space="preserve"> all </w:t>
      </w:r>
      <w:r>
        <w:rPr>
          <w:rFonts w:cs="Arial"/>
          <w:szCs w:val="20"/>
        </w:rPr>
        <w:t xml:space="preserve">concentration </w:t>
      </w:r>
      <w:r w:rsidRPr="00BC2C8D">
        <w:rPr>
          <w:rFonts w:cs="Arial"/>
          <w:szCs w:val="20"/>
        </w:rPr>
        <w:t>levels</w:t>
      </w:r>
      <w:r>
        <w:rPr>
          <w:rFonts w:cs="Arial"/>
          <w:szCs w:val="20"/>
        </w:rPr>
        <w:t xml:space="preserve"> (n=3)</w:t>
      </w:r>
      <w:r w:rsidRPr="00BC2C8D">
        <w:rPr>
          <w:rFonts w:cs="Arial"/>
          <w:szCs w:val="20"/>
        </w:rPr>
        <w:t>.</w:t>
      </w:r>
      <w:r>
        <w:t xml:space="preserve"> Analyst software version 1.4 (</w:t>
      </w:r>
      <w:r w:rsidRPr="003424F0">
        <w:t>AB Sciex Netherlands B.V., Nieuwerkerk aan den Ijssel, The Netherlands</w:t>
      </w:r>
      <w:r>
        <w:t xml:space="preserve">) was used for data analysis. </w:t>
      </w:r>
    </w:p>
    <w:p w14:paraId="079420DF" w14:textId="77777777" w:rsidR="00B204EE" w:rsidRPr="000764A4" w:rsidRDefault="00B204EE" w:rsidP="00B204EE">
      <w:pPr>
        <w:rPr>
          <w:u w:val="single"/>
        </w:rPr>
      </w:pPr>
      <w:r>
        <w:rPr>
          <w:u w:val="single"/>
        </w:rPr>
        <w:t>Calculating the unbound maximum hepatic inlet concentration</w:t>
      </w:r>
    </w:p>
    <w:p w14:paraId="58BDAED4" w14:textId="77777777" w:rsidR="00B204EE" w:rsidRDefault="00B204EE" w:rsidP="00B204EE">
      <w:r>
        <w:t xml:space="preserve">The unbound maximum hepatic inlet concentration in plasma incorporates the sum of two concentrations, namely the maximum concentration of drug in plasma (Plasma </w:t>
      </w:r>
      <w:r w:rsidRPr="00723A37">
        <w:t>I</w:t>
      </w:r>
      <w:r w:rsidRPr="00723A37">
        <w:rPr>
          <w:vertAlign w:val="subscript"/>
        </w:rPr>
        <w:t>max</w:t>
      </w:r>
      <w:r>
        <w:t>) and the maximum concentration of drug that was absorbed from the gut into the hepatic portal system (</w:t>
      </w:r>
      <w:r w:rsidRPr="001E1901">
        <w:t>Total portal</w:t>
      </w:r>
      <w:r w:rsidRPr="00660503">
        <w:rPr>
          <w:i/>
          <w:iCs/>
        </w:rPr>
        <w:t xml:space="preserve"> </w:t>
      </w:r>
      <w:r w:rsidRPr="00723A37">
        <w:t>C</w:t>
      </w:r>
      <w:r w:rsidRPr="00723A37">
        <w:rPr>
          <w:vertAlign w:val="subscript"/>
        </w:rPr>
        <w:t>max</w:t>
      </w:r>
      <w:r w:rsidRPr="00660503">
        <w:rPr>
          <w:i/>
          <w:iCs/>
        </w:rPr>
        <w:t xml:space="preserve"> </w:t>
      </w:r>
      <w:r w:rsidRPr="001E1901">
        <w:t>in plasma</w:t>
      </w:r>
      <w:r>
        <w:rPr>
          <w:i/>
          <w:iCs/>
        </w:rPr>
        <w:t>)</w:t>
      </w:r>
      <w:r>
        <w:t xml:space="preserve">, and is predicted to adequately mimic the clinical inhibition of hepatic P450 enzymes </w:t>
      </w:r>
      <w:r>
        <w:fldChar w:fldCharType="begin" w:fldLock="1"/>
      </w:r>
      <w:r>
        <w:instrText>ADDIN CSL_CITATION {"citationItems":[{"id":"ITEM-1","itemData":{"DOI":"10.1124/DMD.119.086496","ISSN":"1521-009X","PMID":"31048452","author":[{"dropping-particle":"","family":"Parkinson","given":"Andrew","non-dropping-particle":"","parse-names":false,"suffix":""}],"container-title":"Drug metabolism and disposition: the biological fate of chemicals","id":"ITEM-1","issue":"7","issued":{"date-parts":[["2019","7","1"]]},"page":"779-784","publisher":"Drug Metab Dispos","title":"Regulatory Recommendations for Calculating the Unbound Maximum Hepatic Inlet Concentration: A Complicated Story with a Surprising and Happy Ending","type":"article-journal","volume":"47"},"uris":["http://www.mendeley.com/documents/?uuid=4796dd8a-e1ba-350c-88a9-d852ab236e4d"]}],"mendeley":{"formattedCitation":"(1)","plainTextFormattedCitation":"(1)","previouslyFormattedCitation":"(1)"},"properties":{"noteIndex":0},"schema":"https://github.com/citation-style-language/schema/raw/master/csl-citation.json"}</w:instrText>
      </w:r>
      <w:r>
        <w:fldChar w:fldCharType="separate"/>
      </w:r>
      <w:r w:rsidRPr="000A202E">
        <w:rPr>
          <w:noProof/>
        </w:rPr>
        <w:t>(1)</w:t>
      </w:r>
      <w:r>
        <w:fldChar w:fldCharType="end"/>
      </w:r>
      <w:r>
        <w:t xml:space="preserve">. </w:t>
      </w:r>
    </w:p>
    <w:p w14:paraId="7FE8CE1C" w14:textId="64BD7D4C" w:rsidR="00B204EE" w:rsidRDefault="00B204EE" w:rsidP="00B204EE">
      <w:r>
        <w:t xml:space="preserve">The </w:t>
      </w:r>
      <w:r w:rsidR="0081228A">
        <w:t xml:space="preserve">mean </w:t>
      </w:r>
      <w:r>
        <w:t xml:space="preserve">maximum concentration of inhibitors in plasma after dosing to steady state (Plasma </w:t>
      </w:r>
      <w:r w:rsidRPr="00723A37">
        <w:t>I</w:t>
      </w:r>
      <w:r w:rsidRPr="00723A37">
        <w:rPr>
          <w:vertAlign w:val="subscript"/>
        </w:rPr>
        <w:t>max</w:t>
      </w:r>
      <w:r>
        <w:rPr>
          <w:i/>
          <w:iCs/>
        </w:rPr>
        <w:t>)</w:t>
      </w:r>
      <w:r>
        <w:t xml:space="preserve"> with the chosen clinical dose was retrieved from literature (</w:t>
      </w:r>
      <w:r w:rsidR="00723A37">
        <w:t xml:space="preserve">Supplementary </w:t>
      </w:r>
      <w:r>
        <w:t xml:space="preserve">Table 3). </w:t>
      </w:r>
    </w:p>
    <w:p w14:paraId="671AD5C3" w14:textId="77777777" w:rsidR="005C0D71" w:rsidRDefault="005C0D71" w:rsidP="00B204EE">
      <w:pPr>
        <w:rPr>
          <w:szCs w:val="24"/>
        </w:rPr>
      </w:pPr>
    </w:p>
    <w:p w14:paraId="6916ED3B" w14:textId="77777777" w:rsidR="005C0D71" w:rsidRDefault="005C0D71" w:rsidP="00B204EE">
      <w:pPr>
        <w:rPr>
          <w:szCs w:val="24"/>
        </w:rPr>
      </w:pPr>
    </w:p>
    <w:p w14:paraId="7042AE0D" w14:textId="77777777" w:rsidR="005C0D71" w:rsidRDefault="005C0D71" w:rsidP="00B204EE">
      <w:pPr>
        <w:rPr>
          <w:szCs w:val="24"/>
        </w:rPr>
      </w:pPr>
    </w:p>
    <w:p w14:paraId="57A5C5EA" w14:textId="77777777" w:rsidR="005C0D71" w:rsidRDefault="005C0D71" w:rsidP="00B204EE">
      <w:pPr>
        <w:rPr>
          <w:szCs w:val="24"/>
        </w:rPr>
      </w:pPr>
    </w:p>
    <w:p w14:paraId="2137F2DF" w14:textId="17B5B4AF" w:rsidR="00B204EE" w:rsidRPr="00297023" w:rsidRDefault="00B204EE" w:rsidP="00B204EE">
      <w:pPr>
        <w:rPr>
          <w:szCs w:val="24"/>
        </w:rPr>
      </w:pPr>
      <w:r w:rsidRPr="00297023">
        <w:rPr>
          <w:szCs w:val="24"/>
        </w:rPr>
        <w:lastRenderedPageBreak/>
        <w:t xml:space="preserve">Supplementary Table </w:t>
      </w:r>
      <w:r w:rsidR="0029702E">
        <w:rPr>
          <w:szCs w:val="24"/>
        </w:rPr>
        <w:t>S</w:t>
      </w:r>
      <w:r w:rsidRPr="00297023">
        <w:rPr>
          <w:szCs w:val="24"/>
        </w:rPr>
        <w:t xml:space="preserve">3. Retrieved mean total systemic </w:t>
      </w:r>
      <w:r w:rsidR="00EF0F6F">
        <w:rPr>
          <w:szCs w:val="24"/>
        </w:rPr>
        <w:t>I</w:t>
      </w:r>
      <w:r w:rsidRPr="00297023">
        <w:rPr>
          <w:szCs w:val="24"/>
          <w:vertAlign w:val="subscript"/>
        </w:rPr>
        <w:t>max</w:t>
      </w:r>
      <w:r w:rsidRPr="00297023">
        <w:rPr>
          <w:szCs w:val="24"/>
        </w:rPr>
        <w:t xml:space="preserve"> values in plasma for clinically relevant dosages of CYP2C19 inhibitors. </w:t>
      </w:r>
    </w:p>
    <w:tbl>
      <w:tblPr>
        <w:tblStyle w:val="TableGrid"/>
        <w:tblW w:w="0" w:type="auto"/>
        <w:tblLook w:val="04A0" w:firstRow="1" w:lastRow="0" w:firstColumn="1" w:lastColumn="0" w:noHBand="0" w:noVBand="1"/>
      </w:tblPr>
      <w:tblGrid>
        <w:gridCol w:w="1531"/>
        <w:gridCol w:w="732"/>
        <w:gridCol w:w="2552"/>
        <w:gridCol w:w="4247"/>
      </w:tblGrid>
      <w:tr w:rsidR="00B204EE" w:rsidRPr="002B35E7" w14:paraId="078A07AB" w14:textId="77777777" w:rsidTr="00574C70">
        <w:tc>
          <w:tcPr>
            <w:tcW w:w="1531" w:type="dxa"/>
          </w:tcPr>
          <w:p w14:paraId="7A6D21A9" w14:textId="77777777" w:rsidR="00B204EE" w:rsidRDefault="00B204EE" w:rsidP="00574C70">
            <w:pPr>
              <w:rPr>
                <w:lang w:val="en-GB"/>
              </w:rPr>
            </w:pPr>
            <w:bookmarkStart w:id="0" w:name="_Hlk124862622"/>
          </w:p>
        </w:tc>
        <w:tc>
          <w:tcPr>
            <w:tcW w:w="732" w:type="dxa"/>
          </w:tcPr>
          <w:p w14:paraId="47B149A1" w14:textId="77777777" w:rsidR="00B204EE" w:rsidRDefault="00B204EE" w:rsidP="00574C70">
            <w:pPr>
              <w:rPr>
                <w:lang w:val="en-GB"/>
              </w:rPr>
            </w:pPr>
            <w:r>
              <w:rPr>
                <w:lang w:val="en-GB"/>
              </w:rPr>
              <w:t>Dose (mg)</w:t>
            </w:r>
          </w:p>
        </w:tc>
        <w:tc>
          <w:tcPr>
            <w:tcW w:w="2552" w:type="dxa"/>
          </w:tcPr>
          <w:p w14:paraId="77627B6E" w14:textId="77777777" w:rsidR="00B204EE" w:rsidRPr="00AD681F" w:rsidRDefault="00B204EE" w:rsidP="00574C70">
            <w:pPr>
              <w:rPr>
                <w:lang w:val="en-GB"/>
              </w:rPr>
            </w:pPr>
            <w:r>
              <w:rPr>
                <w:lang w:val="en-GB"/>
              </w:rPr>
              <w:t>Mean Plasma I</w:t>
            </w:r>
            <w:r w:rsidRPr="00AD681F">
              <w:rPr>
                <w:vertAlign w:val="subscript"/>
                <w:lang w:val="en-GB"/>
              </w:rPr>
              <w:t xml:space="preserve">max </w:t>
            </w:r>
            <w:r>
              <w:rPr>
                <w:lang w:val="en-GB"/>
              </w:rPr>
              <w:t>(µM)</w:t>
            </w:r>
          </w:p>
        </w:tc>
        <w:tc>
          <w:tcPr>
            <w:tcW w:w="4247" w:type="dxa"/>
          </w:tcPr>
          <w:p w14:paraId="182611EA" w14:textId="2F2DDEAF" w:rsidR="00B204EE" w:rsidRDefault="00B204EE" w:rsidP="00574C70">
            <w:pPr>
              <w:rPr>
                <w:lang w:val="en-GB"/>
              </w:rPr>
            </w:pPr>
            <w:r>
              <w:rPr>
                <w:lang w:val="en-GB"/>
              </w:rPr>
              <w:t>References</w:t>
            </w:r>
          </w:p>
        </w:tc>
      </w:tr>
      <w:tr w:rsidR="00B204EE" w:rsidRPr="000A202E" w14:paraId="79ECF11B" w14:textId="77777777" w:rsidTr="00574C70">
        <w:tc>
          <w:tcPr>
            <w:tcW w:w="1531" w:type="dxa"/>
          </w:tcPr>
          <w:p w14:paraId="5554CD70" w14:textId="77777777" w:rsidR="00B204EE" w:rsidRDefault="00B204EE" w:rsidP="00574C70">
            <w:pPr>
              <w:rPr>
                <w:lang w:val="en-GB"/>
              </w:rPr>
            </w:pPr>
            <w:r>
              <w:rPr>
                <w:lang w:val="en-GB"/>
              </w:rPr>
              <w:t>Fluvoxamine</w:t>
            </w:r>
          </w:p>
        </w:tc>
        <w:tc>
          <w:tcPr>
            <w:tcW w:w="732" w:type="dxa"/>
          </w:tcPr>
          <w:p w14:paraId="315A22DF" w14:textId="77777777" w:rsidR="00B204EE" w:rsidRDefault="00B204EE" w:rsidP="00574C70">
            <w:pPr>
              <w:rPr>
                <w:lang w:val="en-GB"/>
              </w:rPr>
            </w:pPr>
            <w:r>
              <w:rPr>
                <w:lang w:val="en-GB"/>
              </w:rPr>
              <w:t>100</w:t>
            </w:r>
          </w:p>
        </w:tc>
        <w:tc>
          <w:tcPr>
            <w:tcW w:w="2552" w:type="dxa"/>
          </w:tcPr>
          <w:p w14:paraId="69F88F0A" w14:textId="77777777" w:rsidR="00B204EE" w:rsidRDefault="00B204EE" w:rsidP="00574C70">
            <w:pPr>
              <w:rPr>
                <w:lang w:val="en-GB"/>
              </w:rPr>
            </w:pPr>
            <w:r>
              <w:t>0.3</w:t>
            </w:r>
          </w:p>
        </w:tc>
        <w:tc>
          <w:tcPr>
            <w:tcW w:w="4247" w:type="dxa"/>
          </w:tcPr>
          <w:p w14:paraId="7F945E27" w14:textId="77777777" w:rsidR="00B204EE" w:rsidRDefault="00B204EE" w:rsidP="00574C70">
            <w:pPr>
              <w:rPr>
                <w:lang w:val="en-GB"/>
              </w:rPr>
            </w:pPr>
            <w:r>
              <w:rPr>
                <w:lang w:val="en-GB"/>
              </w:rPr>
              <w:t xml:space="preserve">Summarized from references within </w:t>
            </w:r>
            <w:r>
              <w:rPr>
                <w:lang w:val="en-GB"/>
              </w:rPr>
              <w:fldChar w:fldCharType="begin" w:fldLock="1"/>
            </w:r>
            <w:r>
              <w:rPr>
                <w:lang w:val="en-GB"/>
              </w:rPr>
              <w:instrText>ADDIN CSL_CITATION {"citationItems":[{"id":"ITEM-1","itemData":{"DOI":"10.1002/PSP4.12397","ISSN":"2163-8306","PMID":"30762305","abstract":"This study provides whole-body physiologically-based pharmacokinetic models of the strong index cytochrome P450 (CYP)1A2 inhibitor and moderate CYP3A4 inhibitor fluvoxamine and of the sensitive CYP1A2 substrate theophylline. Both models were built and thoroughly evaluated for their application in drug–drug interaction (DDI) prediction in a network of perpetrator and victim drugs, combining them with previously developed models of caffeine (sensitive index CYP1A2 substrate), rifampicin (moderate CYP1A2 inducer), and midazolam (sensitive index CYP3A4 substrate). Simulation of all reported clinical DDI studies for combinations of these five drugs shows that the presented models reliably predict the observed drug concentrations, resulting in seven of eight of the predicted DDI area under the plasma curve (AUC) ratios (AUC during DDI/AUC control) and seven of seven of the predicted DDI peak plasma concentration (Cmax) ratios (Cmax during DDI/Cmax control) within twofold of the observed values. Therefore, the models are considered qualified for DDI prediction. All models are comprehensively documented and publicly available, as tools to support the drug development and clinical research community.","author":[{"dropping-particle":"","family":"Britz","given":"Hannah","non-dropping-particle":"","parse-names":false,"suffix":""},{"dropping-particle":"","family":"Hanke","given":"Nina","non-dropping-particle":"","parse-names":false,"suffix":""},{"dropping-particle":"","family":"Volz","given":"Anke Katrin","non-dropping-particle":"","parse-names":false,"suffix":""},{"dropping-particle":"","family":"Spigset","given":"Olav","non-dropping-particle":"","parse-names":false,"suffix":""},{"dropping-particle":"","family":"Schwab","given":"Matthias","non-dropping-particle":"","parse-names":false,"suffix":""},{"dropping-particle":"","family":"Eissing","given":"Thomas","non-dropping-particle":"","parse-names":false,"suffix":""},{"dropping-particle":"","family":"Wendl","given":"Thomas","non-dropping-particle":"","parse-names":false,"suffix":""},{"dropping-particle":"","family":"Frechen","given":"Sebastian","non-dropping-particle":"","parse-names":false,"suffix":""},{"dropping-particle":"","family":"Lehr","given":"Thorsten","non-dropping-particle":"","parse-names":false,"suffix":""}],"container-title":"CPT: pharmacometrics &amp; systems pharmacology","id":"ITEM-1","issue":"5","issued":{"date-parts":[["2019","5","1"]]},"page":"296-307","publisher":"CPT Pharmacometrics Syst Pharmacol","title":"Physiologically-Based Pharmacokinetic Models for CYP1A2 Drug-Drug Interaction Prediction: A Modeling Network of Fluvoxamine, Theophylline, Caffeine, Rifampicin, and Midazolam","type":"article-journal","volume":"8"},"uris":["http://www.mendeley.com/documents/?uuid=f9f2ed77-9ab2-3856-a02d-01743f3c1ce2"]}],"mendeley":{"formattedCitation":"(2)","plainTextFormattedCitation":"(2)","previouslyFormattedCitation":"(2)"},"properties":{"noteIndex":0},"schema":"https://github.com/citation-style-language/schema/raw/master/csl-citation.json"}</w:instrText>
            </w:r>
            <w:r>
              <w:rPr>
                <w:lang w:val="en-GB"/>
              </w:rPr>
              <w:fldChar w:fldCharType="separate"/>
            </w:r>
            <w:r w:rsidRPr="000A202E">
              <w:rPr>
                <w:noProof/>
                <w:lang w:val="en-GB"/>
              </w:rPr>
              <w:t>(2)</w:t>
            </w:r>
            <w:r>
              <w:rPr>
                <w:lang w:val="en-GB"/>
              </w:rPr>
              <w:fldChar w:fldCharType="end"/>
            </w:r>
          </w:p>
        </w:tc>
      </w:tr>
      <w:tr w:rsidR="00B204EE" w:rsidRPr="000A202E" w14:paraId="4E02B332" w14:textId="77777777" w:rsidTr="00574C70">
        <w:tc>
          <w:tcPr>
            <w:tcW w:w="1531" w:type="dxa"/>
          </w:tcPr>
          <w:p w14:paraId="11EA8B3A" w14:textId="77777777" w:rsidR="00B204EE" w:rsidRDefault="00B204EE" w:rsidP="00574C70">
            <w:pPr>
              <w:rPr>
                <w:lang w:val="en-GB"/>
              </w:rPr>
            </w:pPr>
            <w:r>
              <w:rPr>
                <w:lang w:val="en-GB"/>
              </w:rPr>
              <w:t>Omeprazole</w:t>
            </w:r>
          </w:p>
        </w:tc>
        <w:tc>
          <w:tcPr>
            <w:tcW w:w="732" w:type="dxa"/>
          </w:tcPr>
          <w:p w14:paraId="6DEBF1A1" w14:textId="77777777" w:rsidR="00B204EE" w:rsidRDefault="00B204EE" w:rsidP="00574C70">
            <w:pPr>
              <w:rPr>
                <w:lang w:val="en-GB"/>
              </w:rPr>
            </w:pPr>
            <w:r>
              <w:rPr>
                <w:lang w:val="en-GB"/>
              </w:rPr>
              <w:t xml:space="preserve">40 </w:t>
            </w:r>
          </w:p>
        </w:tc>
        <w:tc>
          <w:tcPr>
            <w:tcW w:w="2552" w:type="dxa"/>
          </w:tcPr>
          <w:p w14:paraId="0FA1AB39" w14:textId="77777777" w:rsidR="00B204EE" w:rsidRDefault="00B204EE" w:rsidP="00574C70">
            <w:pPr>
              <w:rPr>
                <w:lang w:val="en-GB"/>
              </w:rPr>
            </w:pPr>
            <w:r>
              <w:rPr>
                <w:lang w:val="en-GB"/>
              </w:rPr>
              <w:t>3.3</w:t>
            </w:r>
          </w:p>
        </w:tc>
        <w:tc>
          <w:tcPr>
            <w:tcW w:w="4247" w:type="dxa"/>
          </w:tcPr>
          <w:p w14:paraId="48325564" w14:textId="77777777" w:rsidR="00B204EE" w:rsidRDefault="00B204EE" w:rsidP="00574C70">
            <w:pPr>
              <w:rPr>
                <w:lang w:val="en-GB"/>
              </w:rPr>
            </w:pPr>
            <w:r>
              <w:rPr>
                <w:lang w:val="en-GB"/>
              </w:rPr>
              <w:fldChar w:fldCharType="begin" w:fldLock="1"/>
            </w:r>
            <w:r>
              <w:rPr>
                <w:lang w:val="en-GB"/>
              </w:rPr>
              <w:instrText xml:space="preserve">ADDIN CSL_CITATION {"citationItems":[{"id":"ITEM-1","itemData":{"DOI":"10.1007/S40268-014-0053-9","ISSN":"11796901","PMID":"24973042","abstract":"Background: Icosapent ethyl (IPE) is a high-purity prescription form of eicosapentaenoic acid ethyl ester approved by the US Food and Drug Administration as an adjunct to diet to reduce triglyceride levels in adult patients with severe hypertriglyceridemia. Patients with high serum triglycerides may be taking concurrent medications for associated conditions such as obesity and/or diabetes mellitus. Objective: To evaluate the effect of IPE on the plasma pharmacokinetics (PK) of omeprazole, a commonly used proton pump inhibitor and a substrate of cytochrome P450 (CYP) 2C19. Study design: Omeprazole (40 mg/day for 7 days) was administered orally without and with 4 g/day IPE at steady state. The primary PK endpoint was area under the concentration-time curve from time 0 to 24 h (AUC&lt;inf&gt;0–24&lt;/inf&gt;); secondary endpoints included maximum observed plasma concentration (C&lt;inf&gt;max&lt;/inf&gt;). Safety was monitored in all subjects who received one or more dose(s) of the study drug. Participants: Thirty healthy adult subjects were enrolled and 28 completed the study. Results: IPE 4 g/day at steady state did not significantly change the AUC&lt;inf&gt;0–24&lt;/inf&gt; or C&lt;inf&gt;max&lt;/inf&gt; of omeprazole when co-administered at 40 mg/day to steady state. The ratios of least squares geometric means (90 % confidence interval) for AUC&lt;inf&gt;0–24&lt;/inf&gt; and C&lt;inf&gt;max&lt;/inf&gt; (omeprazole with IPE vs. omeprazole alone) were 0.84 (76.0–91.9) and 1.01 (87.4–116.3), respectively. There were no clinically significant findings from laboratory tests, vital signs, or physical examinations. Conclusions: At steady-state concentrations, IPE 4 g/day did not inhibit the AUC&lt;inf&gt;0–24&lt;/inf&gt; or C&lt;inf&gt;max&lt;/inf&gt; of omeprazole 40 mg/day, a CYP2C19 substrate. Co-administration of IPE with omeprazole was safe and well tolerated.","author":[{"dropping-particle":"","family":"Braeckman","given":"Rene A.","non-dropping-particle":"","parse-names":false,"suffix":""},{"dropping-particle":"","family":"Stirtan","given":"William G.","non-dropping-particle":"","parse-names":false,"suffix":""},{"dropping-particle":"","family":"Soni","given":"Paresh N.","non-dropping-particle":"","parse-names":false,"suffix":""}],"container-title":"Drugs in R&amp;D","id":"ITEM-1","issue":"3","issued":{"date-parts":[["2014","9","1"]]},"page":"159","publisher":"Springer","title":"Effect of Icosapent Ethyl (Eicosapentaenoic Acid Ethyl Ester) on Omeprazole Plasma Pharmacokinetics in Healthy Adults","type":"article-journal","volume":"14"},"uris":["http://www.mendeley.com/documents/?uuid=8956d8f4-7a71-3a08-acf8-4955ddd86f0e"]},{"id":"ITEM-2","itemData":{"DOI":"10.1007/S00228-004-0841-1","ISSN":"0031-6970","PMID":"15578172","abstract":"Objective: To investigate the pharmacokinetics of S-omeprazole (esomeprazole), R-omeprazole and racemic omeprazole following single and repeated oral doses of 20 mg and 40 mg of each compound in healthy male and female subjects. Methods: In an open, randomised, three-way, cross-over study, 12 subjects received 20 mg and another 12 subjects received 40 mg S-omeprazole, R-omeprazole and racemic omeprazole as oral solutions once daily for 5 days, separated by washout periods of at least 10 days. Blood samples were taken for analysis pre-dose and at selected time points during a 12-h period following drug administration on study day 1 and day 5. Pharmacokinetic parameters of S-omeprazole, R-omeprazole, racemic omeprazole and the two main metabolites (5-hydroxy and sulphone) were calculated using non-compartmental analysis. Results: Following the 20-mg dose of each compound, values of the total area under the plasma concentration-time curve (AUC) were 1.52, 0.62 and 1.04 μmol h/l for S-omeprazole, R-omeprazole and racemic omeprazole, respectively, on day 1. Respectively, AUC values on day 5 were 2.84, 0.68 and 1.63 μmol h/l. Corresponding values after the 40-mg doses were 3.88, 1.39 and 2.44 μmol h/l on day 1 and 9.32, 1.80 and 5.79 μmol h/l on day 5. Conclusion: Treatment with S-omeprazole (esomeprazole; 20 mg and 40 mg) resulted in higher AUC values than with either R-omeprazole or racemic omeprazole after both single and repeated doses due to a lower metabolic rate of S-omeprazole than R-omeprazole and, consequently, racemic omeprazole. S-Omeprazole, R-omeprazole and the racemate were well tolerated. © Springer-Verlag 2004.","author":[{"dropping-particle":"","family":"Hassan-Alin","given":"M.","non-dropping-particle":"","parse-names":false,"suffix":""},{"dropping-particle":"","family":"Andersson","given":"T.","non-dropping-particle":"","parse-names":false,"suffix":""},{"dropping-particle":"","family":"Niazi","given":"M.","non-dropping-particle":"","parse-names":false,"suffix":""},{"dropping-particle":"","family":"Röhss","given":"K.","non-dropping-particle":"","parse-names":false,"suffix":""}],"container-title":"European journal of clinical pharmacology","id":"ITEM-2","issue":"11","issued":{"date-parts":[["2005","1"]]},"page":"779-784","publisher":"Eur J Clin Pharmacol","title":"A pharmacokinetic study comparing single and repeated oral doses of 20 mg and 40 mg omeprazole and its two optical isomers, S-omeprazole (esomeprazole) and R-omeprazole, in healthy subjects","type":"article-journal","volume":"60"},"uris":["http://www.mendeley.com/documents/?uuid=2f97c105-a22d-391e-a616-c89f965ef2eb"]},{"id":"ITEM-3","itemData":{"DOI":"10.1111/J.1742-7843.2004.950302.X","ISSN":"1742-7843","PMID":"15447734","abstract":"This study aimed to investigate the effect of omeprazole on intragastric pH and gastrin release as well as the plasma concentration of omeprazole in relation to CYP2C19 genotypes after repeated doses in Korean patients. Twenty-six Korean patients with acid related disease were genotyped for CYP2C19 by allele specific PCR (wt/wt, CYP2C19*1/*1/; wt/mut, CYP2C19*1/*2 or *1/*3; mut/mut, CYP2C19*2/ *2, *2/*3 or *3/*3). Intragastric pH was monitored during 24 hr, and the plasma concentrations of omeprazole, hydroxyomeprazole, omeprazole sulfone and meal-stimulated gastrin were measured during 4 hr before and after 8 consecutive daily doses of 20 mg omeprazole. Unexpectedly the AUCs of omeprazole in the three genotypes were similarly high on Day 8. The mean 24 hr pH increased significantly in all three genotypes (paired t-test; P&lt;0.0001), and the AUCs (4 hr) of gastrin in all patients increased markedly from 129±73 to 298±142 pMhr (P&lt;0.0001). However, there was no statistically significant difference between the three genotypes in the mean pH and gastrin AUCs on Day 8. After 8 consecutive doses of 20 mg omeprazole, the gastric pH and the plasma gastrin were increased significantly in all three CYP2C19 genotypes, which were confirmed by high plasma concentrations of omeprazole in all three genotype groups. We suggest that the reason why the wt/wt had high concentrations of omeprazole similar to those in the other two genotype groups is that some of them were old with low CYP2C19 activity. In these patients omeprazole accumulated from the first to the eighth dose similar to that in the heterozygotes.","author":[{"dropping-particle":"","family":"Roh","given":"Hyung Keun","non-dropping-particle":"","parse-names":false,"suffix":""},{"dropping-particle":"","family":"Kim","given":"Pum Soo","non-dropping-particle":"","parse-names":false,"suffix":""},{"dropping-particle":"","family":"Lee","given":"Don Haeng","non-dropping-particle":"","parse-names":false,"suffix":""},{"dropping-particle":"","family":"Tybring","given":"Gunnel","non-dropping-particle":"","parse-names":false,"suffix":""},{"dropping-particle":"","family":"Sagar","given":"Mohamed","non-dropping-particle":"","parse-names":false,"suffix":""},{"dropping-particle":"","family":"Park","given":"Chang Shin","non-dropping-particle":"","parse-names":false,"suffix":""},{"dropping-particle":"","family":"Seensalu","given":"Rein","non-dropping-particle":"","parse-names":false,"suffix":""},{"dropping-particle":"","family":"Bertilsson","given":"Leif","non-dropping-particle":"","parse-names":false,"suffix":""}],"container-title":"Basic &amp; Clinical Pharmacology &amp; Toxicology","id":"ITEM-3","issue":"3","issued":{"date-parts":[["2004","9","1"]]},"page":"112-119","publisher":"John Wiley &amp; Sons, Ltd","title":"Omeprazole Treatment of Korean Patients: Effects on Gastric pH and Gastrin Release in Relation to CYP2C19 Geno- and Phenotypes","type":"article-journal","volume":"95"},"uris":["http://www.mendeley.com/documents/?uuid=98ade4ca-360d-3a05-a937-9c4cd6bf2048"]},{"id":"ITEM-4","itemData":{"DOI":"10.1016/S0016-5085(85)80133-5","ISSN":"0016-5085","PMID":"3880557","abstract":"Pharmacodynamic and pharmacokinetic studies of omeprazole, a new gastric antisecretory agent, were undertaken in 8 healthy subjects. The drug was administered orally as an encapsulated entericcoated granulate (40 mg daily at 9 AM or 9 PM for 5 days), and its effect on the integrated 24-h gastric pH was determined, together with its apparent bioavailability. The pretreatment 24-h median pH was 1.9 (interquartile range 1.4–2.9). After 5 days of treatment, the median pH had risen to 5.0 (3.7–6.0) (p &lt; 0.01) with morning dosage and 4.5 (3.0–5.6) (p &lt; 0.01) with evening dosage. This corresponded to a </w:instrText>
            </w:r>
            <w:r>
              <w:rPr>
                <w:rFonts w:ascii="MS Gothic" w:eastAsia="MS Gothic" w:hAnsi="MS Gothic" w:cs="MS Gothic" w:hint="eastAsia"/>
                <w:lang w:val="en-GB"/>
              </w:rPr>
              <w:instrText>〉</w:instrText>
            </w:r>
            <w:r>
              <w:rPr>
                <w:lang w:val="en-GB"/>
              </w:rPr>
              <w:instrText>99% reduction in 24-h median hydrogen ion activity, with morning dosage having a greater effect (from 9 AM to 8 PM) (p &lt; 0.01) than evening dosage. The relative bioavailability of omeprazole increased twofold from day 1 to day 5 of treatment with morning dosage (p &lt; 0.02) and threefold with evening dosage (p &lt; 0.02), suggesting that increased absorption of this acid-labile drug occurs with increasing inhibition of acid secretion. We conclude that this formulation of omeprazole presently being used in clinical trials is a highly potent antisecretory agent in humans, although its optimal effect may not be observed for several days. © 1985, American Gastroenterological Association. All rights reserved.","author":[{"dropping-particle":"","family":"Prichard","given":"Peter J.","non-dropping-particle":"","parse-names":false,"suffix":""},{"dropping-particle":"","family":"Yeomans","given":"Neville D.","non-dropping-particle":"","parse-names":false,"suffix":""},{"dropping-particle":"","family":"Mihaly","given":"George W.","non-dropping-particle":"","parse-names":false,"suffix":""},{"dropping-particle":"","family":"Jones","given":"D. Brian","non-dropping-particle":"","parse-names":false,"suffix":""},{"dropping-particle":"","family":"Buckle","given":"Peter J.","non-dropping-particle":"","parse-names":false,"suffix":""},{"dropping-particle":"","family":"Smallwood","given":"Richard A.","non-dropping-particle":"","parse-names":false,"suffix":""},{"dropping-particle":"","family":"Louis","given":"William J.","non-dropping-particle":"","parse-names":false,"suffix":""}],"container-title":"Gastroenterology","id":"ITEM-4","issue":"1 Pt 1","issued":{"date-parts":[["1985"]]},"page":"64-69","publisher":"Gastroenterology","title":"Omeprazole: a study of its inhibition of gastric pH and oral pharmacokinetics after morning or evening dosage","type":"article-journal","volume":"88"},"uris":["http://www.mendeley.com/documents/?uuid=8eab12bd-0700-3c38-9f38-5032182f7ff9"]}],"mendeley":{"formattedCitation":"(3–6)","plainTextFormattedCitation":"(3–6)","previouslyFormattedCitation":"(3–6)"},"properties":{"noteIndex":0},"schema":"https://github.com/citation-style-language/schema/raw/master/csl-citation.json"}</w:instrText>
            </w:r>
            <w:r>
              <w:rPr>
                <w:lang w:val="en-GB"/>
              </w:rPr>
              <w:fldChar w:fldCharType="separate"/>
            </w:r>
            <w:r w:rsidRPr="000A202E">
              <w:rPr>
                <w:noProof/>
                <w:lang w:val="en-GB"/>
              </w:rPr>
              <w:t>(3–6)</w:t>
            </w:r>
            <w:r>
              <w:rPr>
                <w:lang w:val="en-GB"/>
              </w:rPr>
              <w:fldChar w:fldCharType="end"/>
            </w:r>
          </w:p>
        </w:tc>
      </w:tr>
      <w:tr w:rsidR="00B204EE" w:rsidRPr="000A202E" w14:paraId="017141C7" w14:textId="77777777" w:rsidTr="00574C70">
        <w:tc>
          <w:tcPr>
            <w:tcW w:w="1531" w:type="dxa"/>
          </w:tcPr>
          <w:p w14:paraId="58A16525" w14:textId="77777777" w:rsidR="00B204EE" w:rsidRDefault="00B204EE" w:rsidP="00574C70">
            <w:pPr>
              <w:rPr>
                <w:lang w:val="en-GB"/>
              </w:rPr>
            </w:pPr>
            <w:r>
              <w:rPr>
                <w:lang w:val="en-GB"/>
              </w:rPr>
              <w:t>Voriconazole</w:t>
            </w:r>
          </w:p>
        </w:tc>
        <w:tc>
          <w:tcPr>
            <w:tcW w:w="732" w:type="dxa"/>
          </w:tcPr>
          <w:p w14:paraId="42B2306E" w14:textId="77777777" w:rsidR="00B204EE" w:rsidRDefault="00B204EE" w:rsidP="00574C70">
            <w:r>
              <w:t xml:space="preserve">200 </w:t>
            </w:r>
          </w:p>
        </w:tc>
        <w:tc>
          <w:tcPr>
            <w:tcW w:w="2552" w:type="dxa"/>
          </w:tcPr>
          <w:p w14:paraId="48F8CCB1" w14:textId="77777777" w:rsidR="00B204EE" w:rsidRDefault="00B204EE" w:rsidP="00574C70">
            <w:pPr>
              <w:rPr>
                <w:lang w:val="en-GB"/>
              </w:rPr>
            </w:pPr>
            <w:r>
              <w:t xml:space="preserve">7.3 </w:t>
            </w:r>
          </w:p>
        </w:tc>
        <w:tc>
          <w:tcPr>
            <w:tcW w:w="4247" w:type="dxa"/>
          </w:tcPr>
          <w:p w14:paraId="0BD18F40" w14:textId="77777777" w:rsidR="00B204EE" w:rsidRDefault="00B204EE" w:rsidP="00574C70">
            <w:pPr>
              <w:rPr>
                <w:lang w:val="en-GB"/>
              </w:rPr>
            </w:pPr>
            <w:r>
              <w:rPr>
                <w:lang w:val="en-GB"/>
              </w:rPr>
              <w:t xml:space="preserve">Summarized from references within </w:t>
            </w:r>
            <w:r>
              <w:rPr>
                <w:lang w:val="en-GB"/>
              </w:rPr>
              <w:fldChar w:fldCharType="begin" w:fldLock="1"/>
            </w:r>
            <w:r>
              <w:rPr>
                <w:lang w:val="en-GB"/>
              </w:rPr>
              <w:instrText>ADDIN CSL_CITATION {"citationItems":[{"id":"ITEM-1","itemData":{"DOI":"10.1007/S40262-019-00856-Z","ISSN":"1179-1926","PMID":"31853755","abstract":"Background: Voriconazole, a first-line antifungal drug, exhibits nonlinear pharmacokinetics (PK), together with large interindividual variability but a narrow therapeutic range, and markedly inhibits cytochrome P450 (CYP) 3A4 in vivo. This causes difficulties in selecting appropriate dosing regimens of voriconazole and coadministered CYP3A4 substrates. Objective: This study aimed to investigate the metabolism of voriconazole in detail to better understand dose- and time-dependent alterations in the PK of the drug, to provide the model basis for safe and effective use according to CYP2C19 genotype, and to assess the potential of voriconazole to cause drug–drug interactions (DDIs) with CYP3A4 substrates in more detail. Methods: In vitro assays were carried out to explore time-dependent inhibition (TDI) of CYP3A4 by voriconazole. These results were combined with 93 published concentration–time datasets of voriconazole from clinical trials in healthy volunteers to develop a whole-body physiologically based PK (PBPK) model in PK-Sim®. The model was evaluated quantitatively with the predicted/observed ratio of the area under the plasma concentration–time curve (AUC), maximum concentration (Cmax), and trough concentrations for multiple dosings (Ctrough), the geometric mean fold error, as well as visually with the comparison of predicted with observed concentration–time datasets over the full range of recommended intravenous and oral dosing regimens. Results: The result of the half maximal inhibitory concentration (IC50) shift assay indicated that voriconazole causes TDI of CYP3A4. The PBPK model evaluation demonstrated a good performance of the model, with 71% of predicted/observed aggregate AUC ratios and all aggregate Cmax ratios from 28 evaluation datasets being within a 0.5- to 2-fold range. For those studies reporting CYP2C19 genotype, 89% of aggregate AUC ratios and all aggregate Cmax ratios were inside a 0.5- to 2-fold range of 44 test datasets. The results of model-based simulations showed that the standard oral maintenance dose of voriconazole 200 mg twice daily would be sufficient for CYP2C19 intermediate metabolizers (IMs; *1/*2, *1/*3, *2/*17, and *2/*2/*17) to reach the tentative therapeutic range of &gt; 1–2 mg/L to &lt; 5–6 mg/L for Ctrough, while 400 mg twice daily might be more suitable for rapid metabolizers (RMs; *1/*17, *17/*17) and normal metabolizers (NMs; *1/*1). When the model was integrated with independently developed CYP3A4 substrate model…","author":[{"dropping-particle":"","family":"Li","given":"Xia","non-dropping-particle":"","parse-names":false,"suffix":""},{"dropping-particle":"","family":"Frechen","given":"Sebastian","non-dropping-particle":"","parse-names":false,"suffix":""},{"dropping-particle":"","family":"Moj","given":"Daniel","non-dropping-particle":"","parse-names":false,"suffix":""},{"dropping-particle":"","family":"Lehr","given":"Thorsten","non-dropping-particle":"","parse-names":false,"suffix":""},{"dropping-particle":"","family":"Taubert","given":"Max","non-dropping-particle":"","parse-names":false,"suffix":""},{"dropping-particle":"","family":"Hsin","given":"Chih hsuan","non-dropping-particle":"","parse-names":false,"suffix":""},{"dropping-particle":"","family":"Mikus","given":"Gerd","non-dropping-particle":"","parse-names":false,"suffix":""},{"dropping-particle":"","family":"Neuvonen","given":"Pertti J.","non-dropping-particle":"","parse-names":false,"suffix":""},{"dropping-particle":"","family":"Olkkola","given":"Klaus T.","non-dropping-particle":"","parse-names":false,"suffix":""},{"dropping-particle":"","family":"Saari","given":"Teijo I.","non-dropping-particle":"","parse-names":false,"suffix":""},{"dropping-particle":"","family":"Fuhr","given":"Uwe","non-dropping-particle":"","parse-names":false,"suffix":""}],"container-title":"Clinical pharmacokinetics","id":"ITEM-1","issue":"6","issued":{"date-parts":[["2020","6","1"]]},"page":"781-808","publisher":"Clin Pharmacokinet","title":"A Physiologically Based Pharmacokinetic Model of Voriconazole Integrating Time-Dependent Inhibition of CYP3A4, Genetic Polymorphisms of CYP2C19 and Predictions of Drug-Drug Interactions","type":"article-journal","volume":"59"},"uris":["http://www.mendeley.com/documents/?uuid=952a32ec-ee30-3be7-bd79-6c57b21950e9"]}],"mendeley":{"formattedCitation":"(7)","plainTextFormattedCitation":"(7)","previouslyFormattedCitation":"(7)"},"properties":{"noteIndex":0},"schema":"https://github.com/citation-style-language/schema/raw/master/csl-citation.json"}</w:instrText>
            </w:r>
            <w:r>
              <w:rPr>
                <w:lang w:val="en-GB"/>
              </w:rPr>
              <w:fldChar w:fldCharType="separate"/>
            </w:r>
            <w:r w:rsidRPr="000A202E">
              <w:rPr>
                <w:noProof/>
                <w:lang w:val="en-GB"/>
              </w:rPr>
              <w:t>(7)</w:t>
            </w:r>
            <w:r>
              <w:rPr>
                <w:lang w:val="en-GB"/>
              </w:rPr>
              <w:fldChar w:fldCharType="end"/>
            </w:r>
          </w:p>
        </w:tc>
      </w:tr>
      <w:tr w:rsidR="00B204EE" w:rsidRPr="00EB2679" w14:paraId="1526EC34" w14:textId="77777777" w:rsidTr="00574C70">
        <w:tc>
          <w:tcPr>
            <w:tcW w:w="1531" w:type="dxa"/>
          </w:tcPr>
          <w:p w14:paraId="70F51342" w14:textId="77777777" w:rsidR="00B204EE" w:rsidRDefault="00B204EE" w:rsidP="00574C70">
            <w:pPr>
              <w:rPr>
                <w:lang w:val="en-GB"/>
              </w:rPr>
            </w:pPr>
            <w:r>
              <w:rPr>
                <w:lang w:val="en-GB"/>
              </w:rPr>
              <w:t>Pantoprazole</w:t>
            </w:r>
          </w:p>
        </w:tc>
        <w:tc>
          <w:tcPr>
            <w:tcW w:w="732" w:type="dxa"/>
          </w:tcPr>
          <w:p w14:paraId="04F0AC04" w14:textId="77777777" w:rsidR="00B204EE" w:rsidRDefault="00B204EE" w:rsidP="00574C70">
            <w:pPr>
              <w:rPr>
                <w:lang w:val="en-GB"/>
              </w:rPr>
            </w:pPr>
            <w:r>
              <w:rPr>
                <w:lang w:val="en-GB"/>
              </w:rPr>
              <w:t xml:space="preserve">40 </w:t>
            </w:r>
          </w:p>
        </w:tc>
        <w:tc>
          <w:tcPr>
            <w:tcW w:w="2552" w:type="dxa"/>
          </w:tcPr>
          <w:p w14:paraId="2003B6CC" w14:textId="77777777" w:rsidR="00B204EE" w:rsidRDefault="00B204EE" w:rsidP="00574C70">
            <w:pPr>
              <w:rPr>
                <w:lang w:val="en-GB"/>
              </w:rPr>
            </w:pPr>
            <w:r>
              <w:t xml:space="preserve">6.5 </w:t>
            </w:r>
          </w:p>
        </w:tc>
        <w:tc>
          <w:tcPr>
            <w:tcW w:w="4247" w:type="dxa"/>
          </w:tcPr>
          <w:p w14:paraId="4988836E" w14:textId="77777777" w:rsidR="00B204EE" w:rsidRDefault="00B204EE" w:rsidP="00574C70">
            <w:pPr>
              <w:rPr>
                <w:lang w:val="en-GB"/>
              </w:rPr>
            </w:pPr>
            <w:r>
              <w:rPr>
                <w:lang w:val="en-GB"/>
              </w:rPr>
              <w:fldChar w:fldCharType="begin" w:fldLock="1"/>
            </w:r>
            <w:r>
              <w:rPr>
                <w:lang w:val="en-GB"/>
              </w:rPr>
              <w:instrText>ADDIN CSL_CITATION {"citationItems":[{"id":"ITEM-1","itemData":{"DOI":"10.1111/J.1751-2980.2008.00363.X","ISSN":"1751-2980","PMID":"19236548","abstract":"Objective: To determine the plasma concentration of pantoprazole sodium by high performance liquid chromatography and its distribution in patients with different CYP2C19 genotypes in an attempt to provide experimental data for the clinical dosage adjustment of the drug. Methods: Patients with liver disease and associated peptic ulcer were genotyped according to their CYP2C19 wild-type sequences and mutations in CYP2C19m1 and CYP2C19m2 by the principles of the American Surgical Association using polymerase chain reaction-restriction fragment length polymorphism (PCR-RFLP). The plasma concentration of pantoprazole sodium was detected after oral administration of the enteric-coated capsules in all patients. Included in the present study were 21 patients with primary liver cancer complicated by pathogenic peptic ulcers (confirmed by endoscopy), 22 patients with fatty liver and 25 healthy volunteers between January 2006 and October 2007. The subjects were administered orally with pantoprazole sodium at 40 mg/day for 1 week consecutively. The drug concentration was detected at 24 h and 1 week after drug administration by drawing 3.0 mL blood from the cubital vein. Results: The plasma concentration of pantoprazole sodium was related to the CYP2C19 enzyme type. The plasma concentration of extensive metabolizers (EM) was lower than that of poor metabolizers (PM) in the healthy control group at day 7 of drug administration. Regardless of PM or EM, the plasma concentration of pantoprazole sodium in primary liver cancer patients was higher than that in fatty liver patients, and even higher than that in healthy controls (P &lt; 0.05). Conclusion: These results suggest that CYP2C19 activity is inversely correlated with the severity of liver disease, especially in PM patients. © Journal compilation © 2009 Chinese Medical Association Shanghai Branch, Chinese Society of Gastroenterology and Blackwell Publishing Asia Pty Ltd.","author":[{"dropping-particle":"","family":"Shao","given":"Jian Guo","non-dropping-particle":"","parse-names":false,"suffix":""},{"dropping-particle":"","family":"Jiang","given":"Wen","non-dropping-particle":"","parse-names":false,"suffix":""},{"dropping-particle":"","family":"Li","given":"Ke Qing","non-dropping-particle":"","parse-names":false,"suffix":""},{"dropping-particle":"","family":"Lu","given":"Jian Rong","non-dropping-particle":"","parse-names":false,"suffix":""},{"dropping-particle":"","family":"Sun","given":"Yuan Yuan","non-dropping-particle":"","parse-names":false,"suffix":""}],"container-title":"Journal of digestive diseases","id":"ITEM-1","issue":"1","issued":{"date-parts":[["2009"]]},"page":"55-60","publisher":"J Dig Dis","title":"Blood concentration of pantoprazole sodium is significantly high in hepatogenic peptic ulcer patients, especially those with a poor CYP2C19 metabolism","type":"article-journal","volume":"10"},"uris":["http://www.mendeley.com/documents/?uuid=e951175e-bfb1-3f73-978b-302df963da50"]}],"mendeley":{"formattedCitation":"(8)","plainTextFormattedCitation":"(8)","previouslyFormattedCitation":"(8)"},"properties":{"noteIndex":0},"schema":"https://github.com/citation-style-language/schema/raw/master/csl-citation.json"}</w:instrText>
            </w:r>
            <w:r>
              <w:rPr>
                <w:lang w:val="en-GB"/>
              </w:rPr>
              <w:fldChar w:fldCharType="separate"/>
            </w:r>
            <w:r w:rsidRPr="000A202E">
              <w:rPr>
                <w:noProof/>
                <w:lang w:val="en-GB"/>
              </w:rPr>
              <w:t>(8)</w:t>
            </w:r>
            <w:r>
              <w:rPr>
                <w:lang w:val="en-GB"/>
              </w:rPr>
              <w:fldChar w:fldCharType="end"/>
            </w:r>
          </w:p>
        </w:tc>
      </w:tr>
      <w:bookmarkEnd w:id="0"/>
    </w:tbl>
    <w:p w14:paraId="5EC83347" w14:textId="77777777" w:rsidR="00B204EE" w:rsidRDefault="00B204EE" w:rsidP="00B204EE">
      <w:pPr>
        <w:rPr>
          <w:b/>
          <w:bCs/>
        </w:rPr>
      </w:pPr>
    </w:p>
    <w:p w14:paraId="105F65FD" w14:textId="77777777" w:rsidR="00464CB2" w:rsidRDefault="00464CB2">
      <w:pPr>
        <w:spacing w:before="0" w:after="200" w:line="276" w:lineRule="auto"/>
        <w:rPr>
          <w:rFonts w:cs="Times New Roman"/>
          <w:b/>
          <w:bCs/>
          <w:szCs w:val="24"/>
        </w:rPr>
      </w:pPr>
      <w:r>
        <w:rPr>
          <w:rFonts w:cs="Times New Roman"/>
          <w:b/>
          <w:bCs/>
          <w:szCs w:val="24"/>
        </w:rPr>
        <w:br w:type="page"/>
      </w:r>
    </w:p>
    <w:p w14:paraId="41640827" w14:textId="0D8DB4D7" w:rsidR="00B204EE" w:rsidRPr="00350B4D" w:rsidRDefault="00B204EE" w:rsidP="00350B4D">
      <w:pPr>
        <w:spacing w:before="240"/>
        <w:rPr>
          <w:rFonts w:cs="Times New Roman"/>
          <w:b/>
          <w:bCs/>
          <w:szCs w:val="24"/>
        </w:rPr>
      </w:pPr>
      <w:r w:rsidRPr="00350B4D">
        <w:rPr>
          <w:rFonts w:cs="Times New Roman"/>
          <w:b/>
          <w:bCs/>
          <w:szCs w:val="24"/>
        </w:rPr>
        <w:lastRenderedPageBreak/>
        <w:t xml:space="preserve">Supplementary method references </w:t>
      </w:r>
    </w:p>
    <w:p w14:paraId="3599A672" w14:textId="77777777" w:rsidR="00B204EE" w:rsidRPr="006668BE" w:rsidRDefault="00B204EE" w:rsidP="00B204EE">
      <w:pPr>
        <w:widowControl w:val="0"/>
        <w:autoSpaceDE w:val="0"/>
        <w:autoSpaceDN w:val="0"/>
        <w:adjustRightInd w:val="0"/>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Pr="006668BE">
        <w:rPr>
          <w:rFonts w:ascii="Calibri" w:hAnsi="Calibri" w:cs="Calibri"/>
          <w:noProof/>
          <w:szCs w:val="24"/>
        </w:rPr>
        <w:t xml:space="preserve">1. </w:t>
      </w:r>
      <w:r w:rsidRPr="006668BE">
        <w:rPr>
          <w:rFonts w:ascii="Calibri" w:hAnsi="Calibri" w:cs="Calibri"/>
          <w:noProof/>
          <w:szCs w:val="24"/>
        </w:rPr>
        <w:tab/>
        <w:t>Parkinson A. Regulatory Recommendations for Calculating the Unbound Maximum Hepatic Inlet Concentration: A Complicated Story with a Surprising and Happy Ending. Drug Metab Dispos [Internet]. 2019 Jul 1 [cited 2022 Nov 3];47(7):779–84. Available from: https://pubmed.ncbi.nlm.nih.gov/31048452/</w:t>
      </w:r>
    </w:p>
    <w:p w14:paraId="62933AEE" w14:textId="77777777" w:rsidR="00B204EE" w:rsidRPr="006668BE" w:rsidRDefault="00B204EE" w:rsidP="00B204EE">
      <w:pPr>
        <w:widowControl w:val="0"/>
        <w:autoSpaceDE w:val="0"/>
        <w:autoSpaceDN w:val="0"/>
        <w:adjustRightInd w:val="0"/>
        <w:ind w:left="640" w:hanging="640"/>
        <w:rPr>
          <w:rFonts w:ascii="Calibri" w:hAnsi="Calibri" w:cs="Calibri"/>
          <w:noProof/>
          <w:szCs w:val="24"/>
        </w:rPr>
      </w:pPr>
      <w:r w:rsidRPr="006668BE">
        <w:rPr>
          <w:rFonts w:ascii="Calibri" w:hAnsi="Calibri" w:cs="Calibri"/>
          <w:noProof/>
          <w:szCs w:val="24"/>
        </w:rPr>
        <w:t xml:space="preserve">2. </w:t>
      </w:r>
      <w:r w:rsidRPr="006668BE">
        <w:rPr>
          <w:rFonts w:ascii="Calibri" w:hAnsi="Calibri" w:cs="Calibri"/>
          <w:noProof/>
          <w:szCs w:val="24"/>
        </w:rPr>
        <w:tab/>
        <w:t>Britz H, Hanke N, Volz AK, Spigset O, Schwab M, Eissing T, et al. Physiologically-Based Pharmacokinetic Models for CYP1A2 Drug-Drug Interaction Prediction: A Modeling Network of Fluvoxamine, Theophylline, Caffeine, Rifampicin, and Midazolam. CPT pharmacometrics Syst Pharmacol [Internet]. 2019 May 1 [cited 2023 Feb 26];8(5):296–307. Available from: https://pubmed.ncbi.nlm.nih.gov/30762305/</w:t>
      </w:r>
    </w:p>
    <w:p w14:paraId="45489C4B" w14:textId="77777777" w:rsidR="00B204EE" w:rsidRPr="006668BE" w:rsidRDefault="00B204EE" w:rsidP="00B204EE">
      <w:pPr>
        <w:widowControl w:val="0"/>
        <w:autoSpaceDE w:val="0"/>
        <w:autoSpaceDN w:val="0"/>
        <w:adjustRightInd w:val="0"/>
        <w:ind w:left="640" w:hanging="640"/>
        <w:rPr>
          <w:rFonts w:ascii="Calibri" w:hAnsi="Calibri" w:cs="Calibri"/>
          <w:noProof/>
          <w:szCs w:val="24"/>
        </w:rPr>
      </w:pPr>
      <w:r w:rsidRPr="006668BE">
        <w:rPr>
          <w:rFonts w:ascii="Calibri" w:hAnsi="Calibri" w:cs="Calibri"/>
          <w:noProof/>
          <w:szCs w:val="24"/>
        </w:rPr>
        <w:t xml:space="preserve">3. </w:t>
      </w:r>
      <w:r w:rsidRPr="006668BE">
        <w:rPr>
          <w:rFonts w:ascii="Calibri" w:hAnsi="Calibri" w:cs="Calibri"/>
          <w:noProof/>
          <w:szCs w:val="24"/>
        </w:rPr>
        <w:tab/>
        <w:t>Braeckman RA, Stirtan WG, Soni PN. Effect of Icosapent Ethyl (Eicosapentaenoic Acid Ethyl Ester) on Omeprazole Plasma Pharmacokinetics in Healthy Adults. Drugs R D [Internet]. 2014 Sep 1 [cited 2023 Feb 26];14(3):159. Available from: /pmc/articles/PMC4153963/</w:t>
      </w:r>
    </w:p>
    <w:p w14:paraId="0DA0CF4D" w14:textId="77777777" w:rsidR="00B204EE" w:rsidRPr="006668BE" w:rsidRDefault="00B204EE" w:rsidP="00B204EE">
      <w:pPr>
        <w:widowControl w:val="0"/>
        <w:autoSpaceDE w:val="0"/>
        <w:autoSpaceDN w:val="0"/>
        <w:adjustRightInd w:val="0"/>
        <w:ind w:left="640" w:hanging="640"/>
        <w:rPr>
          <w:rFonts w:ascii="Calibri" w:hAnsi="Calibri" w:cs="Calibri"/>
          <w:noProof/>
          <w:szCs w:val="24"/>
        </w:rPr>
      </w:pPr>
      <w:r w:rsidRPr="006668BE">
        <w:rPr>
          <w:rFonts w:ascii="Calibri" w:hAnsi="Calibri" w:cs="Calibri"/>
          <w:noProof/>
          <w:szCs w:val="24"/>
        </w:rPr>
        <w:t xml:space="preserve">4. </w:t>
      </w:r>
      <w:r w:rsidRPr="006668BE">
        <w:rPr>
          <w:rFonts w:ascii="Calibri" w:hAnsi="Calibri" w:cs="Calibri"/>
          <w:noProof/>
          <w:szCs w:val="24"/>
        </w:rPr>
        <w:tab/>
        <w:t>Hassan-Alin M, Andersson T, Niazi M, Röhss K. A pharmacokinetic study comparing single and repeated oral doses of 20 mg and 40 mg omeprazole and its two optical isomers, S-omeprazole (esomeprazole) and R-omeprazole, in healthy subjects. Eur J Clin Pharmacol [Internet]. 2005 Jan [cited 2023 Feb 26];60(11):779–84. Available from: https://pubmed.ncbi.nlm.nih.gov/15578172/</w:t>
      </w:r>
    </w:p>
    <w:p w14:paraId="6D3D7F95" w14:textId="77777777" w:rsidR="00B204EE" w:rsidRPr="006668BE" w:rsidRDefault="00B204EE" w:rsidP="00B204EE">
      <w:pPr>
        <w:widowControl w:val="0"/>
        <w:autoSpaceDE w:val="0"/>
        <w:autoSpaceDN w:val="0"/>
        <w:adjustRightInd w:val="0"/>
        <w:ind w:left="640" w:hanging="640"/>
        <w:rPr>
          <w:rFonts w:ascii="Calibri" w:hAnsi="Calibri" w:cs="Calibri"/>
          <w:noProof/>
          <w:szCs w:val="24"/>
        </w:rPr>
      </w:pPr>
      <w:r w:rsidRPr="006668BE">
        <w:rPr>
          <w:rFonts w:ascii="Calibri" w:hAnsi="Calibri" w:cs="Calibri"/>
          <w:noProof/>
          <w:szCs w:val="24"/>
        </w:rPr>
        <w:t xml:space="preserve">5. </w:t>
      </w:r>
      <w:r w:rsidRPr="006668BE">
        <w:rPr>
          <w:rFonts w:ascii="Calibri" w:hAnsi="Calibri" w:cs="Calibri"/>
          <w:noProof/>
          <w:szCs w:val="24"/>
        </w:rPr>
        <w:tab/>
        <w:t>Roh HK, Kim PS, Lee DH, Tybring G, Sagar M, Park CS, et al. Omeprazole Treatment of Korean Patients: Effects on Gastric pH and Gastrin Release in Relation to CYP2C19 Geno- and Phenotypes. Basic Clin Pharmacol Toxicol [Internet]. 2004 Sep 1 [cited 2023 Feb 26];95(3):112–9. Available from: https://onlinelibrary.wiley.com/doi/full/10.1111/j.1742-7843.2004.950302.x</w:t>
      </w:r>
    </w:p>
    <w:p w14:paraId="6B546353" w14:textId="77777777" w:rsidR="00B204EE" w:rsidRPr="006668BE" w:rsidRDefault="00B204EE" w:rsidP="00B204EE">
      <w:pPr>
        <w:widowControl w:val="0"/>
        <w:autoSpaceDE w:val="0"/>
        <w:autoSpaceDN w:val="0"/>
        <w:adjustRightInd w:val="0"/>
        <w:ind w:left="640" w:hanging="640"/>
        <w:rPr>
          <w:rFonts w:ascii="Calibri" w:hAnsi="Calibri" w:cs="Calibri"/>
          <w:noProof/>
          <w:szCs w:val="24"/>
        </w:rPr>
      </w:pPr>
      <w:r w:rsidRPr="006668BE">
        <w:rPr>
          <w:rFonts w:ascii="Calibri" w:hAnsi="Calibri" w:cs="Calibri"/>
          <w:noProof/>
          <w:szCs w:val="24"/>
        </w:rPr>
        <w:t xml:space="preserve">6. </w:t>
      </w:r>
      <w:r w:rsidRPr="006668BE">
        <w:rPr>
          <w:rFonts w:ascii="Calibri" w:hAnsi="Calibri" w:cs="Calibri"/>
          <w:noProof/>
          <w:szCs w:val="24"/>
        </w:rPr>
        <w:tab/>
        <w:t>Prichard PJ, Yeomans ND, Mihaly GW, Jones DB, Buckle PJ, Smallwood RA, et al. Omeprazole: a study of its inhibition of gastric pH and oral pharmacokinetics after morning or evening dosage. Gastroenterology [Internet]. 1985 [cited 2023 Feb 26];88(1 Pt 1):64–9. Available from: https://pubmed.ncbi.nlm.nih.gov/3880557/</w:t>
      </w:r>
    </w:p>
    <w:p w14:paraId="1F734C15" w14:textId="77777777" w:rsidR="00B204EE" w:rsidRPr="006668BE" w:rsidRDefault="00B204EE" w:rsidP="00B204EE">
      <w:pPr>
        <w:widowControl w:val="0"/>
        <w:autoSpaceDE w:val="0"/>
        <w:autoSpaceDN w:val="0"/>
        <w:adjustRightInd w:val="0"/>
        <w:ind w:left="640" w:hanging="640"/>
        <w:rPr>
          <w:rFonts w:ascii="Calibri" w:hAnsi="Calibri" w:cs="Calibri"/>
          <w:noProof/>
          <w:szCs w:val="24"/>
        </w:rPr>
      </w:pPr>
      <w:r w:rsidRPr="006668BE">
        <w:rPr>
          <w:rFonts w:ascii="Calibri" w:hAnsi="Calibri" w:cs="Calibri"/>
          <w:noProof/>
          <w:szCs w:val="24"/>
          <w:lang w:val="de-DE"/>
        </w:rPr>
        <w:t xml:space="preserve">7. </w:t>
      </w:r>
      <w:r w:rsidRPr="006668BE">
        <w:rPr>
          <w:rFonts w:ascii="Calibri" w:hAnsi="Calibri" w:cs="Calibri"/>
          <w:noProof/>
          <w:szCs w:val="24"/>
          <w:lang w:val="de-DE"/>
        </w:rPr>
        <w:tab/>
        <w:t xml:space="preserve">Li X, Frechen S, Moj D, Lehr T, Taubert M, Hsin C hsuan, et al. </w:t>
      </w:r>
      <w:r w:rsidRPr="006668BE">
        <w:rPr>
          <w:rFonts w:ascii="Calibri" w:hAnsi="Calibri" w:cs="Calibri"/>
          <w:noProof/>
          <w:szCs w:val="24"/>
        </w:rPr>
        <w:t>A Physiologically Based Pharmacokinetic Model of Voriconazole Integrating Time-Dependent Inhibition of CYP3A4, Genetic Polymorphisms of CYP2C19 and Predictions of Drug-Drug Interactions. Clin Pharmacokinet [Internet]. 2020 Jun 1 [cited 2023 Feb 26];59(6):781–808. Available from: https://pubmed.ncbi.nlm.nih.gov/31853755/</w:t>
      </w:r>
    </w:p>
    <w:p w14:paraId="253A8EE2" w14:textId="77777777" w:rsidR="00B204EE" w:rsidRPr="006668BE" w:rsidRDefault="00B204EE" w:rsidP="00B204EE">
      <w:pPr>
        <w:widowControl w:val="0"/>
        <w:autoSpaceDE w:val="0"/>
        <w:autoSpaceDN w:val="0"/>
        <w:adjustRightInd w:val="0"/>
        <w:ind w:left="640" w:hanging="640"/>
        <w:rPr>
          <w:rFonts w:ascii="Calibri" w:hAnsi="Calibri" w:cs="Calibri"/>
          <w:noProof/>
        </w:rPr>
      </w:pPr>
      <w:r w:rsidRPr="006668BE">
        <w:rPr>
          <w:rFonts w:ascii="Calibri" w:hAnsi="Calibri" w:cs="Calibri"/>
          <w:noProof/>
          <w:szCs w:val="24"/>
        </w:rPr>
        <w:t xml:space="preserve">8. </w:t>
      </w:r>
      <w:r w:rsidRPr="006668BE">
        <w:rPr>
          <w:rFonts w:ascii="Calibri" w:hAnsi="Calibri" w:cs="Calibri"/>
          <w:noProof/>
          <w:szCs w:val="24"/>
        </w:rPr>
        <w:tab/>
        <w:t>Shao JG, Jiang W, Li KQ, Lu JR, Sun YY. Blood concentration of pantoprazole sodium is significantly high in hepatogenic peptic ulcer patients, especially those with a poor CYP2C19 metabolism. J Dig Dis [Internet]. 2009 [cited 2023 Feb 26];10(1):55–60. Available from: https://pubmed.ncbi.nlm.nih.gov/19236548/</w:t>
      </w:r>
    </w:p>
    <w:p w14:paraId="0F98941F" w14:textId="528831FE" w:rsidR="00F15050" w:rsidRPr="00F15050" w:rsidRDefault="00B204EE" w:rsidP="00B204EE">
      <w:pPr>
        <w:spacing w:before="240"/>
        <w:rPr>
          <w:b/>
          <w:bCs/>
        </w:rPr>
      </w:pPr>
      <w:r>
        <w:fldChar w:fldCharType="end"/>
      </w:r>
    </w:p>
    <w:sectPr w:rsidR="00F15050" w:rsidRPr="00F15050"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3F30" w14:textId="77777777" w:rsidR="00783430" w:rsidRDefault="00783430" w:rsidP="00117666">
      <w:pPr>
        <w:spacing w:after="0"/>
      </w:pPr>
      <w:r>
        <w:separator/>
      </w:r>
    </w:p>
  </w:endnote>
  <w:endnote w:type="continuationSeparator" w:id="0">
    <w:p w14:paraId="7F3B5317" w14:textId="77777777" w:rsidR="00783430" w:rsidRDefault="0078343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65E8" w14:textId="77777777" w:rsidR="00783430" w:rsidRDefault="00783430" w:rsidP="00117666">
      <w:pPr>
        <w:spacing w:after="0"/>
      </w:pPr>
      <w:r>
        <w:separator/>
      </w:r>
    </w:p>
  </w:footnote>
  <w:footnote w:type="continuationSeparator" w:id="0">
    <w:p w14:paraId="657D1426" w14:textId="77777777" w:rsidR="00783430" w:rsidRDefault="0078343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D179F"/>
    <w:rsid w:val="000E3B4A"/>
    <w:rsid w:val="00105FD9"/>
    <w:rsid w:val="00110775"/>
    <w:rsid w:val="00117666"/>
    <w:rsid w:val="001549D3"/>
    <w:rsid w:val="00160065"/>
    <w:rsid w:val="00177D84"/>
    <w:rsid w:val="00267D18"/>
    <w:rsid w:val="002868E2"/>
    <w:rsid w:val="002869C3"/>
    <w:rsid w:val="002936E4"/>
    <w:rsid w:val="00297023"/>
    <w:rsid w:val="0029702E"/>
    <w:rsid w:val="002B4A57"/>
    <w:rsid w:val="002C74CA"/>
    <w:rsid w:val="00350B4D"/>
    <w:rsid w:val="003544FB"/>
    <w:rsid w:val="003D2F2D"/>
    <w:rsid w:val="00401590"/>
    <w:rsid w:val="00447801"/>
    <w:rsid w:val="00452E9C"/>
    <w:rsid w:val="00464CB2"/>
    <w:rsid w:val="004735C8"/>
    <w:rsid w:val="004961FF"/>
    <w:rsid w:val="00517A89"/>
    <w:rsid w:val="005250F2"/>
    <w:rsid w:val="00533447"/>
    <w:rsid w:val="00593EEA"/>
    <w:rsid w:val="005A5EEE"/>
    <w:rsid w:val="005C0D71"/>
    <w:rsid w:val="00631885"/>
    <w:rsid w:val="006375C7"/>
    <w:rsid w:val="00654E8F"/>
    <w:rsid w:val="00660D05"/>
    <w:rsid w:val="006820B1"/>
    <w:rsid w:val="006B7D14"/>
    <w:rsid w:val="006E069E"/>
    <w:rsid w:val="00701727"/>
    <w:rsid w:val="0070566C"/>
    <w:rsid w:val="00714C50"/>
    <w:rsid w:val="00723A37"/>
    <w:rsid w:val="00725A7D"/>
    <w:rsid w:val="007501BE"/>
    <w:rsid w:val="00783430"/>
    <w:rsid w:val="00790BB3"/>
    <w:rsid w:val="007C206C"/>
    <w:rsid w:val="00803D24"/>
    <w:rsid w:val="0081228A"/>
    <w:rsid w:val="00817DD6"/>
    <w:rsid w:val="00885156"/>
    <w:rsid w:val="009151AA"/>
    <w:rsid w:val="0093429D"/>
    <w:rsid w:val="00943573"/>
    <w:rsid w:val="00970F7D"/>
    <w:rsid w:val="00994A3D"/>
    <w:rsid w:val="009C2B12"/>
    <w:rsid w:val="009C70F3"/>
    <w:rsid w:val="00A174D9"/>
    <w:rsid w:val="00A53439"/>
    <w:rsid w:val="00A569CD"/>
    <w:rsid w:val="00A838CA"/>
    <w:rsid w:val="00AB6715"/>
    <w:rsid w:val="00B1671E"/>
    <w:rsid w:val="00B204EE"/>
    <w:rsid w:val="00B25EB8"/>
    <w:rsid w:val="00B354E1"/>
    <w:rsid w:val="00B37F4D"/>
    <w:rsid w:val="00C52A7B"/>
    <w:rsid w:val="00C56BAF"/>
    <w:rsid w:val="00C679AA"/>
    <w:rsid w:val="00C75972"/>
    <w:rsid w:val="00CC0A3A"/>
    <w:rsid w:val="00CD066B"/>
    <w:rsid w:val="00CE4FEE"/>
    <w:rsid w:val="00DB59C3"/>
    <w:rsid w:val="00DC259A"/>
    <w:rsid w:val="00DE23E8"/>
    <w:rsid w:val="00E01B3E"/>
    <w:rsid w:val="00E52377"/>
    <w:rsid w:val="00E64E17"/>
    <w:rsid w:val="00E866C9"/>
    <w:rsid w:val="00EA3D3C"/>
    <w:rsid w:val="00EA655E"/>
    <w:rsid w:val="00EF0F6F"/>
    <w:rsid w:val="00F15050"/>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4</Pages>
  <Words>4742</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Jong, L.M. de (Laura)</cp:lastModifiedBy>
  <cp:revision>17</cp:revision>
  <cp:lastPrinted>2013-10-03T12:51:00Z</cp:lastPrinted>
  <dcterms:created xsi:type="dcterms:W3CDTF">2023-04-03T11:49:00Z</dcterms:created>
  <dcterms:modified xsi:type="dcterms:W3CDTF">2023-05-25T15:34:00Z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