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EC22" w14:textId="0B17C1AA" w:rsidR="008773FA" w:rsidRDefault="008773FA" w:rsidP="008773FA">
      <w:pPr>
        <w:spacing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24"/>
          <w:szCs w:val="24"/>
        </w:rPr>
        <w:drawing>
          <wp:inline distT="0" distB="0" distL="0" distR="0" wp14:anchorId="296D5D91" wp14:editId="1F051AE3">
            <wp:extent cx="5943600" cy="2844165"/>
            <wp:effectExtent l="0" t="0" r="0" b="635"/>
            <wp:docPr id="1" name="Picture 1" descr="A graph of a pregnant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a pregnant pers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40EB1" w14:textId="67FDBD10" w:rsidR="00235CF4" w:rsidRPr="008773FA" w:rsidRDefault="008773FA" w:rsidP="008773FA">
      <w:pPr>
        <w:spacing w:line="240" w:lineRule="auto"/>
        <w:rPr>
          <w:rFonts w:ascii="Times New Roman" w:hAnsi="Times New Roman" w:cs="Times New Roman"/>
          <w:color w:val="000000" w:themeColor="text1"/>
        </w:rPr>
      </w:pPr>
      <w:r w:rsidRPr="008773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Figure S2.</w:t>
      </w:r>
      <w:r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D36" w:rsidRPr="001756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Adjusted associations from multivariable regression models are shown in Figure </w:t>
      </w:r>
      <w:r w:rsidR="009E6D3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E6D3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E6D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E6D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73FA">
        <w:rPr>
          <w:rFonts w:ascii="Times New Roman" w:hAnsi="Times New Roman" w:cs="Times New Roman"/>
          <w:color w:val="000000" w:themeColor="text1"/>
          <w:sz w:val="24"/>
          <w:szCs w:val="24"/>
        </w:rPr>
        <w:t>Unadjusted models display a c</w:t>
      </w:r>
      <w:r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onsistent beneficial association of breastfeeding at 3 months with BMI z score and infant weight gain velocity at 1 year, regardless of maternal secretor status. </w:t>
      </w:r>
      <w:r w:rsidR="00AC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Unadjusted</w:t>
      </w:r>
      <w:r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β estimates for </w:t>
      </w:r>
      <w:r w:rsidR="00AC6DD9" w:rsidRPr="008773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(A)</w:t>
      </w:r>
      <w:r w:rsidR="00AC6DD9"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BMI z score </w:t>
      </w:r>
      <w:r w:rsidR="00AC6D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AC6DD9" w:rsidRPr="008773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AC6DD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="00AC6DD9" w:rsidRPr="008773F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AC6DD9"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weight gain velocity </w:t>
      </w:r>
      <w:r w:rsidRPr="008773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by infant feeding mode at 3 months. Lines represent 95% confidence intervals that display the (un)certainty in sub-sampling study participants from a larger population.</w:t>
      </w:r>
    </w:p>
    <w:sectPr w:rsidR="00235CF4" w:rsidRPr="00877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FA"/>
    <w:rsid w:val="00235CF4"/>
    <w:rsid w:val="005A378F"/>
    <w:rsid w:val="008773FA"/>
    <w:rsid w:val="009E6D36"/>
    <w:rsid w:val="00AC6DD9"/>
    <w:rsid w:val="00E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84CA09"/>
  <w15:chartTrackingRefBased/>
  <w15:docId w15:val="{1B560F1D-7EFF-844A-A0BB-E22480AB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3F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Manus</dc:creator>
  <cp:keywords/>
  <dc:description/>
  <cp:lastModifiedBy>Melissa Manus</cp:lastModifiedBy>
  <cp:revision>3</cp:revision>
  <dcterms:created xsi:type="dcterms:W3CDTF">2023-07-26T19:07:00Z</dcterms:created>
  <dcterms:modified xsi:type="dcterms:W3CDTF">2023-07-28T11:46:00Z</dcterms:modified>
</cp:coreProperties>
</file>