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5661A3A" w14:textId="77777777" w:rsidR="000755C1" w:rsidRPr="000755C1" w:rsidRDefault="000755C1" w:rsidP="000755C1">
      <w:pPr>
        <w:pStyle w:val="AuthorList"/>
        <w:jc w:val="center"/>
        <w:rPr>
          <w:sz w:val="32"/>
          <w:szCs w:val="32"/>
        </w:rPr>
      </w:pPr>
      <w:r w:rsidRPr="000755C1">
        <w:rPr>
          <w:sz w:val="32"/>
          <w:szCs w:val="32"/>
        </w:rPr>
        <w:t>Iron-mediated oxidative stress induces PD-L1 expression via activation of c-</w:t>
      </w:r>
      <w:proofErr w:type="spellStart"/>
      <w:r w:rsidRPr="000755C1">
        <w:rPr>
          <w:sz w:val="32"/>
          <w:szCs w:val="32"/>
        </w:rPr>
        <w:t>Myc</w:t>
      </w:r>
      <w:proofErr w:type="spellEnd"/>
      <w:r w:rsidRPr="000755C1">
        <w:rPr>
          <w:sz w:val="32"/>
          <w:szCs w:val="32"/>
        </w:rPr>
        <w:t xml:space="preserve"> in lung adenocarcinoma</w:t>
      </w:r>
    </w:p>
    <w:p w14:paraId="0E37FC3B" w14:textId="2CFA57AB" w:rsidR="000755C1" w:rsidRPr="00450D2E" w:rsidRDefault="000755C1" w:rsidP="000755C1">
      <w:pPr>
        <w:pStyle w:val="AuthorList"/>
        <w:jc w:val="both"/>
        <w:rPr>
          <w:vertAlign w:val="superscript"/>
          <w:lang w:val="it-IT"/>
        </w:rPr>
      </w:pPr>
      <w:r w:rsidRPr="00C71CE7">
        <w:rPr>
          <w:lang w:val="it-IT"/>
        </w:rPr>
        <w:t>Anna Martina Battaglia</w:t>
      </w:r>
      <w:r w:rsidRPr="00482E89">
        <w:rPr>
          <w:vertAlign w:val="superscript"/>
          <w:lang w:val="it-IT"/>
        </w:rPr>
        <w:t>†</w:t>
      </w:r>
      <w:r w:rsidRPr="00450D2E">
        <w:rPr>
          <w:vertAlign w:val="superscript"/>
          <w:lang w:val="it-IT"/>
        </w:rPr>
        <w:t>1</w:t>
      </w:r>
      <w:r w:rsidRPr="00C71CE7">
        <w:rPr>
          <w:lang w:val="it-IT"/>
        </w:rPr>
        <w:t>, Alessandro Sacco</w:t>
      </w:r>
      <w:r w:rsidRPr="00C71CE7">
        <w:rPr>
          <w:vertAlign w:val="superscript"/>
          <w:lang w:val="it-IT"/>
        </w:rPr>
        <w:t>†</w:t>
      </w:r>
      <w:r w:rsidRPr="00450D2E">
        <w:rPr>
          <w:vertAlign w:val="superscript"/>
          <w:lang w:val="it-IT"/>
        </w:rPr>
        <w:t>1</w:t>
      </w:r>
      <w:r w:rsidRPr="00C71CE7">
        <w:rPr>
          <w:lang w:val="it-IT"/>
        </w:rPr>
        <w:t xml:space="preserve">, </w:t>
      </w:r>
      <w:r>
        <w:rPr>
          <w:lang w:val="it-IT"/>
        </w:rPr>
        <w:t>Ilenia Aversa</w:t>
      </w:r>
      <w:r>
        <w:rPr>
          <w:vertAlign w:val="superscript"/>
          <w:lang w:val="it-IT"/>
        </w:rPr>
        <w:t>2</w:t>
      </w:r>
      <w:r w:rsidRPr="00C71CE7">
        <w:rPr>
          <w:lang w:val="it-IT"/>
        </w:rPr>
        <w:t>,</w:t>
      </w:r>
      <w:r>
        <w:rPr>
          <w:lang w:val="it-IT"/>
        </w:rPr>
        <w:t xml:space="preserve"> Gianluca Santamaria</w:t>
      </w:r>
      <w:r>
        <w:rPr>
          <w:vertAlign w:val="superscript"/>
          <w:lang w:val="it-IT"/>
        </w:rPr>
        <w:t>3</w:t>
      </w:r>
      <w:r w:rsidRPr="00C71CE7">
        <w:rPr>
          <w:lang w:val="it-IT"/>
        </w:rPr>
        <w:t>,</w:t>
      </w:r>
      <w:r>
        <w:rPr>
          <w:lang w:val="it-IT"/>
        </w:rPr>
        <w:t xml:space="preserve"> Camillo Palmieri</w:t>
      </w:r>
      <w:r>
        <w:rPr>
          <w:vertAlign w:val="superscript"/>
          <w:lang w:val="it-IT"/>
        </w:rPr>
        <w:t>2</w:t>
      </w:r>
      <w:r w:rsidRPr="00450D2E">
        <w:rPr>
          <w:lang w:val="it-IT"/>
        </w:rPr>
        <w:t xml:space="preserve">, </w:t>
      </w:r>
      <w:r w:rsidRPr="00336FEF">
        <w:rPr>
          <w:lang w:val="it-IT"/>
        </w:rPr>
        <w:t>Cirino Botta</w:t>
      </w:r>
      <w:r>
        <w:rPr>
          <w:vertAlign w:val="superscript"/>
          <w:lang w:val="it-IT"/>
        </w:rPr>
        <w:t>4</w:t>
      </w:r>
      <w:r w:rsidRPr="00336FEF">
        <w:rPr>
          <w:lang w:val="it-IT"/>
        </w:rPr>
        <w:t>, Roberto De Stefano</w:t>
      </w:r>
      <w:r>
        <w:rPr>
          <w:vertAlign w:val="superscript"/>
          <w:lang w:val="it-IT"/>
        </w:rPr>
        <w:t>5</w:t>
      </w:r>
      <w:r w:rsidRPr="00336FEF">
        <w:rPr>
          <w:lang w:val="it-IT"/>
        </w:rPr>
        <w:t>, Maurizio Bitetto</w:t>
      </w:r>
      <w:r>
        <w:rPr>
          <w:vertAlign w:val="superscript"/>
          <w:lang w:val="it-IT"/>
        </w:rPr>
        <w:t>6</w:t>
      </w:r>
      <w:r w:rsidRPr="00336FEF">
        <w:rPr>
          <w:lang w:val="it-IT"/>
        </w:rPr>
        <w:t xml:space="preserve">, </w:t>
      </w:r>
      <w:r w:rsidR="005D3D63">
        <w:rPr>
          <w:lang w:val="it-IT"/>
        </w:rPr>
        <w:t>Lavinia Petriaggi</w:t>
      </w:r>
      <w:r w:rsidR="005D3D63" w:rsidRPr="00C71CE7">
        <w:rPr>
          <w:vertAlign w:val="superscript"/>
          <w:lang w:val="it-IT"/>
        </w:rPr>
        <w:t>1</w:t>
      </w:r>
      <w:r w:rsidR="005D3D63">
        <w:rPr>
          <w:lang w:val="it-IT"/>
        </w:rPr>
        <w:t>, Emanuele Giorgio</w:t>
      </w:r>
      <w:r w:rsidR="005D3D63" w:rsidRPr="00C71CE7">
        <w:rPr>
          <w:vertAlign w:val="superscript"/>
          <w:lang w:val="it-IT"/>
        </w:rPr>
        <w:t>1</w:t>
      </w:r>
      <w:r w:rsidR="005D3D63">
        <w:rPr>
          <w:lang w:val="it-IT"/>
        </w:rPr>
        <w:t>, Concetta Maria Faniello</w:t>
      </w:r>
      <w:r w:rsidR="005D3D63" w:rsidRPr="00C71CE7">
        <w:rPr>
          <w:vertAlign w:val="superscript"/>
          <w:lang w:val="it-IT"/>
        </w:rPr>
        <w:t>1</w:t>
      </w:r>
      <w:r w:rsidR="004801E7">
        <w:rPr>
          <w:lang w:val="it-IT"/>
        </w:rPr>
        <w:t xml:space="preserve">, </w:t>
      </w:r>
      <w:r>
        <w:rPr>
          <w:lang w:val="it-IT"/>
        </w:rPr>
        <w:t>Francesco Costanzo</w:t>
      </w:r>
      <w:r w:rsidRPr="00C71CE7">
        <w:rPr>
          <w:vertAlign w:val="superscript"/>
          <w:lang w:val="it-IT"/>
        </w:rPr>
        <w:t>1</w:t>
      </w:r>
      <w:r>
        <w:rPr>
          <w:vertAlign w:val="superscript"/>
          <w:lang w:val="it-IT"/>
        </w:rPr>
        <w:t>,7</w:t>
      </w:r>
      <w:r>
        <w:rPr>
          <w:lang w:val="it-IT"/>
        </w:rPr>
        <w:t>, Flavia Biamonte</w:t>
      </w:r>
      <w:r>
        <w:rPr>
          <w:vertAlign w:val="superscript"/>
          <w:lang w:val="it-IT"/>
        </w:rPr>
        <w:t>*</w:t>
      </w:r>
      <w:r w:rsidRPr="00C71CE7">
        <w:rPr>
          <w:vertAlign w:val="superscript"/>
          <w:lang w:val="it-IT"/>
        </w:rPr>
        <w:t>1</w:t>
      </w:r>
      <w:r>
        <w:rPr>
          <w:vertAlign w:val="superscript"/>
          <w:lang w:val="it-IT"/>
        </w:rPr>
        <w:t>,7</w:t>
      </w:r>
    </w:p>
    <w:p w14:paraId="04252DAD" w14:textId="01B6C6EB" w:rsidR="000755C1" w:rsidRPr="000755C1" w:rsidRDefault="000755C1" w:rsidP="000755C1">
      <w:pPr>
        <w:spacing w:before="240" w:after="0"/>
        <w:rPr>
          <w:rFonts w:cs="Times New Roman"/>
          <w:b/>
          <w:szCs w:val="24"/>
          <w:lang w:val="it-IT"/>
        </w:rPr>
      </w:pPr>
      <w:r w:rsidRPr="000755C1">
        <w:rPr>
          <w:rFonts w:cs="Times New Roman"/>
          <w:b/>
          <w:szCs w:val="24"/>
          <w:lang w:val="it-IT"/>
        </w:rPr>
        <w:t xml:space="preserve">*Correspondence: </w:t>
      </w:r>
      <w:r w:rsidRPr="000755C1">
        <w:rPr>
          <w:rFonts w:cs="Times New Roman"/>
          <w:szCs w:val="24"/>
          <w:lang w:val="it-IT"/>
        </w:rPr>
        <w:t>Flavia Biamonte, flavia.biamonte@unicz.it</w:t>
      </w:r>
    </w:p>
    <w:p w14:paraId="6045CA6D" w14:textId="77777777" w:rsidR="000755C1" w:rsidRPr="00DA1FFB" w:rsidRDefault="000755C1" w:rsidP="000755C1">
      <w:pPr>
        <w:pStyle w:val="Heading2"/>
        <w:numPr>
          <w:ilvl w:val="0"/>
          <w:numId w:val="0"/>
        </w:numPr>
        <w:rPr>
          <w:lang w:val="it-IT"/>
        </w:rPr>
      </w:pPr>
    </w:p>
    <w:p w14:paraId="348AB070" w14:textId="47012B38" w:rsidR="00647862" w:rsidRPr="00647862" w:rsidRDefault="00833FEF" w:rsidP="00647862">
      <w:pPr>
        <w:pStyle w:val="Heading2"/>
        <w:numPr>
          <w:ilvl w:val="0"/>
          <w:numId w:val="0"/>
        </w:num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560F86" wp14:editId="4F3D3856">
            <wp:simplePos x="0" y="0"/>
            <wp:positionH relativeFrom="column">
              <wp:posOffset>-1270</wp:posOffset>
            </wp:positionH>
            <wp:positionV relativeFrom="paragraph">
              <wp:posOffset>354330</wp:posOffset>
            </wp:positionV>
            <wp:extent cx="6171565" cy="1918335"/>
            <wp:effectExtent l="0" t="0" r="635" b="0"/>
            <wp:wrapTight wrapText="bothSides">
              <wp:wrapPolygon edited="0">
                <wp:start x="0" y="0"/>
                <wp:lineTo x="0" y="21450"/>
                <wp:lineTo x="21558" y="21450"/>
                <wp:lineTo x="21558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A3D" w:rsidRPr="0001436A">
        <w:t>Supplementary</w:t>
      </w:r>
      <w:r w:rsidR="00994A3D" w:rsidRPr="001549D3">
        <w:t xml:space="preserve"> Figures</w:t>
      </w:r>
    </w:p>
    <w:p w14:paraId="177746CB" w14:textId="78864575" w:rsidR="00833FEF" w:rsidRDefault="00833FEF" w:rsidP="00833FEF">
      <w:pPr>
        <w:jc w:val="both"/>
      </w:pPr>
      <w:r w:rsidRPr="00833FEF">
        <w:rPr>
          <w:b/>
          <w:bCs/>
        </w:rPr>
        <w:t>Supplementary Figure 1.</w:t>
      </w:r>
      <w:r>
        <w:t xml:space="preserve"> Apoptotic cell death determined using </w:t>
      </w:r>
      <w:r w:rsidR="00FF7D29" w:rsidRPr="00B568D3">
        <w:rPr>
          <w:szCs w:val="24"/>
        </w:rPr>
        <w:t>Annexin V/</w:t>
      </w:r>
      <w:r>
        <w:t xml:space="preserve">PI </w:t>
      </w:r>
      <w:r w:rsidR="008D346E">
        <w:t xml:space="preserve">flow </w:t>
      </w:r>
      <w:r w:rsidR="00C54D47">
        <w:t>cytometry assay</w:t>
      </w:r>
      <w:r>
        <w:t xml:space="preserve"> in A549 and H460 cell lines upon administration of 250µM </w:t>
      </w:r>
      <w:proofErr w:type="spellStart"/>
      <w:r>
        <w:t>ferlixit</w:t>
      </w:r>
      <w:proofErr w:type="spellEnd"/>
      <w:r>
        <w:t xml:space="preserve"> for 24h.</w:t>
      </w:r>
    </w:p>
    <w:p w14:paraId="6E654CF1" w14:textId="77777777" w:rsidR="00685566" w:rsidRDefault="00685566" w:rsidP="00833FEF">
      <w:pPr>
        <w:jc w:val="both"/>
      </w:pPr>
    </w:p>
    <w:p w14:paraId="317648A9" w14:textId="77777777" w:rsidR="00685566" w:rsidRDefault="00685566" w:rsidP="00833FEF">
      <w:pPr>
        <w:jc w:val="both"/>
      </w:pPr>
    </w:p>
    <w:p w14:paraId="01446C05" w14:textId="77777777" w:rsidR="00685566" w:rsidRDefault="00685566" w:rsidP="00833FEF">
      <w:pPr>
        <w:jc w:val="both"/>
      </w:pPr>
    </w:p>
    <w:p w14:paraId="03C10A97" w14:textId="77777777" w:rsidR="00685566" w:rsidRDefault="00685566" w:rsidP="00833FEF">
      <w:pPr>
        <w:jc w:val="both"/>
      </w:pPr>
    </w:p>
    <w:p w14:paraId="1F630EB2" w14:textId="77777777" w:rsidR="00685566" w:rsidRDefault="00685566" w:rsidP="00833FEF">
      <w:pPr>
        <w:jc w:val="both"/>
      </w:pPr>
    </w:p>
    <w:p w14:paraId="0ABBBDBC" w14:textId="77777777" w:rsidR="00685566" w:rsidRDefault="00685566" w:rsidP="00833FEF">
      <w:pPr>
        <w:jc w:val="both"/>
      </w:pPr>
    </w:p>
    <w:p w14:paraId="144A6E66" w14:textId="77777777" w:rsidR="00685566" w:rsidRDefault="00685566" w:rsidP="00833FEF">
      <w:pPr>
        <w:jc w:val="both"/>
      </w:pPr>
    </w:p>
    <w:p w14:paraId="110949AF" w14:textId="77777777" w:rsidR="00685566" w:rsidRDefault="00685566" w:rsidP="00833FEF">
      <w:pPr>
        <w:jc w:val="both"/>
      </w:pPr>
    </w:p>
    <w:p w14:paraId="70D836AB" w14:textId="41A0E1EE" w:rsidR="00685566" w:rsidRDefault="00685566" w:rsidP="00833FEF">
      <w:pPr>
        <w:jc w:val="both"/>
      </w:pPr>
    </w:p>
    <w:p w14:paraId="13196909" w14:textId="1FC9AE23" w:rsidR="00685566" w:rsidRDefault="005D3D63" w:rsidP="00F06181">
      <w:pPr>
        <w:jc w:val="both"/>
        <w:rPr>
          <w:b/>
          <w:bCs/>
        </w:rPr>
      </w:pPr>
      <w:r>
        <w:rPr>
          <w:noProof/>
          <w:szCs w:val="24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172A3BC0" wp14:editId="4A42EFB8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6208395" cy="4027805"/>
            <wp:effectExtent l="0" t="0" r="1905" b="0"/>
            <wp:wrapTight wrapText="bothSides">
              <wp:wrapPolygon edited="0">
                <wp:start x="0" y="0"/>
                <wp:lineTo x="0" y="21522"/>
                <wp:lineTo x="21562" y="21522"/>
                <wp:lineTo x="21562" y="0"/>
                <wp:lineTo x="0" y="0"/>
              </wp:wrapPolygon>
            </wp:wrapTight>
            <wp:docPr id="292546234" name="Immagine 1" descr="Immagine che contiene testo, diagramma, Parallel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46234" name="Immagine 1" descr="Immagine che contiene testo, diagramma, Parallelo, schermata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B00F6" w14:textId="77777777" w:rsidR="00685566" w:rsidRDefault="00685566" w:rsidP="00F06181">
      <w:pPr>
        <w:jc w:val="both"/>
        <w:rPr>
          <w:b/>
          <w:bCs/>
        </w:rPr>
      </w:pPr>
    </w:p>
    <w:p w14:paraId="3B1BA281" w14:textId="77777777" w:rsidR="005D3D63" w:rsidRPr="00685566" w:rsidRDefault="00B0141C" w:rsidP="005D3D63">
      <w:pPr>
        <w:jc w:val="both"/>
      </w:pPr>
      <w:r w:rsidRPr="00617093">
        <w:rPr>
          <w:b/>
          <w:bCs/>
        </w:rPr>
        <w:t>Supplementary Figure 2.</w:t>
      </w:r>
      <w:r w:rsidRPr="001549D3">
        <w:t xml:space="preserve"> </w:t>
      </w:r>
      <w:r w:rsidR="00F06181" w:rsidRPr="00F06181">
        <w:rPr>
          <w:b/>
          <w:bCs/>
        </w:rPr>
        <w:t>(A)</w:t>
      </w:r>
      <w:r w:rsidR="00F06181" w:rsidRPr="00F06181">
        <w:t xml:space="preserve"> </w:t>
      </w:r>
      <w:proofErr w:type="spellStart"/>
      <w:r w:rsidR="005D3D63" w:rsidRPr="00F06181">
        <w:t>qRT</w:t>
      </w:r>
      <w:proofErr w:type="spellEnd"/>
      <w:r w:rsidR="005D3D63" w:rsidRPr="00F06181">
        <w:t xml:space="preserve">-PCR of </w:t>
      </w:r>
      <w:r w:rsidR="005D3D63" w:rsidRPr="00F06181">
        <w:rPr>
          <w:i/>
          <w:iCs/>
        </w:rPr>
        <w:t>PD-L1</w:t>
      </w:r>
      <w:r w:rsidR="005D3D63" w:rsidRPr="00F06181">
        <w:t xml:space="preserve"> mRNA levels in A549 and H460 cells upon administration of 250μM </w:t>
      </w:r>
      <w:proofErr w:type="spellStart"/>
      <w:r w:rsidR="005D3D63" w:rsidRPr="00F06181">
        <w:t>ferlixit</w:t>
      </w:r>
      <w:proofErr w:type="spellEnd"/>
      <w:r w:rsidR="005D3D63" w:rsidRPr="00F06181">
        <w:t xml:space="preserve"> for 24h or additionally treated with 200μM </w:t>
      </w:r>
      <w:proofErr w:type="spellStart"/>
      <w:r w:rsidR="005D3D63" w:rsidRPr="00F06181">
        <w:t>trolox</w:t>
      </w:r>
      <w:proofErr w:type="spellEnd"/>
      <w:r w:rsidR="005D3D63" w:rsidRPr="00F06181">
        <w:t xml:space="preserve"> for 6h. </w:t>
      </w:r>
      <w:r w:rsidR="005D3D63" w:rsidRPr="00F06181">
        <w:rPr>
          <w:i/>
          <w:iCs/>
        </w:rPr>
        <w:t>ACTB</w:t>
      </w:r>
      <w:r w:rsidR="005D3D63">
        <w:t xml:space="preserve"> was used as </w:t>
      </w:r>
      <w:r w:rsidR="005D3D63" w:rsidRPr="00B75F73">
        <w:rPr>
          <w:szCs w:val="24"/>
        </w:rPr>
        <w:t>housekeeping gene</w:t>
      </w:r>
      <w:r w:rsidR="005D3D63">
        <w:rPr>
          <w:szCs w:val="24"/>
        </w:rPr>
        <w:t xml:space="preserve">. </w:t>
      </w:r>
      <w:r w:rsidR="005D3D63" w:rsidRPr="00F06181">
        <w:rPr>
          <w:b/>
          <w:bCs/>
        </w:rPr>
        <w:t>(</w:t>
      </w:r>
      <w:r w:rsidR="005D3D63">
        <w:rPr>
          <w:b/>
          <w:bCs/>
        </w:rPr>
        <w:t>B</w:t>
      </w:r>
      <w:r w:rsidR="005D3D63" w:rsidRPr="00F06181">
        <w:rPr>
          <w:b/>
          <w:bCs/>
        </w:rPr>
        <w:t>)</w:t>
      </w:r>
      <w:r w:rsidR="005D3D63" w:rsidRPr="00F06181">
        <w:t xml:space="preserve"> Western blot analysis of HIF-1α, p-mTOR/mTOR, p-STA3/STA3, p-ERK/ERK, NF-</w:t>
      </w:r>
      <w:proofErr w:type="spellStart"/>
      <w:r w:rsidR="005D3D63" w:rsidRPr="00F06181">
        <w:t>κB</w:t>
      </w:r>
      <w:proofErr w:type="spellEnd"/>
      <w:r w:rsidR="005D3D63" w:rsidRPr="00F06181">
        <w:t xml:space="preserve">, Nrf2, c-JUN, p-S6/S6 protein expression in A549 and H460 cell lines upon administration of 250µM </w:t>
      </w:r>
      <w:proofErr w:type="spellStart"/>
      <w:r w:rsidR="005D3D63" w:rsidRPr="00F06181">
        <w:t>ferlixit</w:t>
      </w:r>
      <w:proofErr w:type="spellEnd"/>
      <w:r w:rsidR="005D3D63" w:rsidRPr="00F06181">
        <w:t xml:space="preserve"> for 24h alone or in combination with 200µM </w:t>
      </w:r>
      <w:proofErr w:type="spellStart"/>
      <w:r w:rsidR="005D3D63" w:rsidRPr="00F06181">
        <w:t>trolox</w:t>
      </w:r>
      <w:proofErr w:type="spellEnd"/>
      <w:r w:rsidR="005D3D63" w:rsidRPr="00F06181">
        <w:t xml:space="preserve"> for 6h. LAMIN and ɣ-TUB were used as a normalization control for nuclear and cytosolic protein quantification, respectively. </w:t>
      </w:r>
      <w:r w:rsidR="005D3D63" w:rsidRPr="00F06181">
        <w:rPr>
          <w:b/>
          <w:bCs/>
          <w:szCs w:val="24"/>
          <w:shd w:val="clear" w:color="auto" w:fill="FFFFFF"/>
        </w:rPr>
        <w:t>(</w:t>
      </w:r>
      <w:r w:rsidR="005D3D63">
        <w:rPr>
          <w:b/>
          <w:bCs/>
          <w:szCs w:val="24"/>
          <w:shd w:val="clear" w:color="auto" w:fill="FFFFFF"/>
        </w:rPr>
        <w:t>C</w:t>
      </w:r>
      <w:r w:rsidR="005D3D63" w:rsidRPr="00F06181">
        <w:rPr>
          <w:b/>
          <w:bCs/>
          <w:szCs w:val="24"/>
          <w:shd w:val="clear" w:color="auto" w:fill="FFFFFF"/>
        </w:rPr>
        <w:t>)</w:t>
      </w:r>
      <w:r w:rsidR="005D3D63" w:rsidRPr="00F06181">
        <w:rPr>
          <w:szCs w:val="24"/>
          <w:shd w:val="clear" w:color="auto" w:fill="FFFFFF"/>
        </w:rPr>
        <w:t xml:space="preserve"> Real-time PCR of PD-L1 expression in A549 and H460 cells untreated or treated with </w:t>
      </w:r>
      <w:proofErr w:type="spellStart"/>
      <w:r w:rsidR="005D3D63" w:rsidRPr="00F06181">
        <w:rPr>
          <w:szCs w:val="24"/>
          <w:shd w:val="clear" w:color="auto" w:fill="FFFFFF"/>
        </w:rPr>
        <w:t>ferlixit</w:t>
      </w:r>
      <w:proofErr w:type="spellEnd"/>
      <w:r w:rsidR="005D3D63" w:rsidRPr="00F06181">
        <w:rPr>
          <w:szCs w:val="24"/>
          <w:shd w:val="clear" w:color="auto" w:fill="FFFFFF"/>
        </w:rPr>
        <w:t xml:space="preserve"> (250μM for 24h) and upon c-</w:t>
      </w:r>
      <w:proofErr w:type="spellStart"/>
      <w:r w:rsidR="005D3D63" w:rsidRPr="00F06181">
        <w:rPr>
          <w:szCs w:val="24"/>
          <w:shd w:val="clear" w:color="auto" w:fill="FFFFFF"/>
        </w:rPr>
        <w:t>Myc</w:t>
      </w:r>
      <w:proofErr w:type="spellEnd"/>
      <w:r w:rsidR="005D3D63" w:rsidRPr="00F06181">
        <w:rPr>
          <w:szCs w:val="24"/>
          <w:shd w:val="clear" w:color="auto" w:fill="FFFFFF"/>
        </w:rPr>
        <w:t xml:space="preserve"> silencing (48h).</w:t>
      </w:r>
      <w:r w:rsidR="005D3D63">
        <w:rPr>
          <w:szCs w:val="24"/>
          <w:shd w:val="clear" w:color="auto" w:fill="FFFFFF"/>
        </w:rPr>
        <w:t xml:space="preserve"> </w:t>
      </w:r>
      <w:r w:rsidR="005D3D63" w:rsidRPr="00F06181">
        <w:rPr>
          <w:i/>
          <w:iCs/>
        </w:rPr>
        <w:t>ACTB</w:t>
      </w:r>
      <w:r w:rsidR="005D3D63">
        <w:t xml:space="preserve"> was used as </w:t>
      </w:r>
      <w:r w:rsidR="005D3D63" w:rsidRPr="00B75F73">
        <w:rPr>
          <w:szCs w:val="24"/>
        </w:rPr>
        <w:t>housekeeping gene</w:t>
      </w:r>
      <w:r w:rsidR="005D3D63">
        <w:t xml:space="preserve">. </w:t>
      </w:r>
      <w:r w:rsidR="005D3D63" w:rsidRPr="00F06181">
        <w:rPr>
          <w:szCs w:val="24"/>
          <w:shd w:val="clear" w:color="auto" w:fill="FFFFFF"/>
        </w:rPr>
        <w:t xml:space="preserve">Results are presented as mean ± SD from three independent experiments. </w:t>
      </w:r>
      <w:r w:rsidR="005D3D63">
        <w:rPr>
          <w:szCs w:val="24"/>
          <w:shd w:val="clear" w:color="auto" w:fill="FFFFFF"/>
        </w:rPr>
        <w:t>*</w:t>
      </w:r>
      <w:r w:rsidR="005D3D63" w:rsidRPr="003B1C1D">
        <w:rPr>
          <w:i/>
          <w:iCs/>
          <w:szCs w:val="24"/>
          <w:shd w:val="clear" w:color="auto" w:fill="FFFFFF"/>
        </w:rPr>
        <w:t>p</w:t>
      </w:r>
      <w:r w:rsidR="005D3D63">
        <w:rPr>
          <w:szCs w:val="24"/>
          <w:shd w:val="clear" w:color="auto" w:fill="FFFFFF"/>
        </w:rPr>
        <w:t>-value &lt; 0.05; **</w:t>
      </w:r>
      <w:r w:rsidR="005D3D63" w:rsidRPr="00BD22B8">
        <w:rPr>
          <w:i/>
          <w:iCs/>
          <w:szCs w:val="24"/>
          <w:shd w:val="clear" w:color="auto" w:fill="FFFFFF"/>
        </w:rPr>
        <w:t xml:space="preserve"> </w:t>
      </w:r>
      <w:r w:rsidR="005D3D63" w:rsidRPr="003B1C1D">
        <w:rPr>
          <w:i/>
          <w:iCs/>
          <w:szCs w:val="24"/>
          <w:shd w:val="clear" w:color="auto" w:fill="FFFFFF"/>
        </w:rPr>
        <w:t>p</w:t>
      </w:r>
      <w:r w:rsidR="005D3D63">
        <w:rPr>
          <w:szCs w:val="24"/>
          <w:shd w:val="clear" w:color="auto" w:fill="FFFFFF"/>
        </w:rPr>
        <w:t>-value &lt; 0.01.</w:t>
      </w:r>
    </w:p>
    <w:p w14:paraId="6D5F1F1C" w14:textId="2E35FE37" w:rsidR="001C3637" w:rsidRPr="00685566" w:rsidRDefault="001C3637" w:rsidP="00F06181">
      <w:pPr>
        <w:jc w:val="both"/>
      </w:pPr>
    </w:p>
    <w:sectPr w:rsidR="001C3637" w:rsidRPr="00685566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EE47C" w14:textId="77777777" w:rsidR="007867E9" w:rsidRDefault="007867E9" w:rsidP="00117666">
      <w:pPr>
        <w:spacing w:after="0"/>
      </w:pPr>
      <w:r>
        <w:separator/>
      </w:r>
    </w:p>
  </w:endnote>
  <w:endnote w:type="continuationSeparator" w:id="0">
    <w:p w14:paraId="278E8148" w14:textId="77777777" w:rsidR="007867E9" w:rsidRDefault="007867E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2FF65" w14:textId="77777777" w:rsidR="007867E9" w:rsidRDefault="007867E9" w:rsidP="00117666">
      <w:pPr>
        <w:spacing w:after="0"/>
      </w:pPr>
      <w:r>
        <w:separator/>
      </w:r>
    </w:p>
  </w:footnote>
  <w:footnote w:type="continuationSeparator" w:id="0">
    <w:p w14:paraId="402C565A" w14:textId="77777777" w:rsidR="007867E9" w:rsidRDefault="007867E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8988277">
    <w:abstractNumId w:val="0"/>
  </w:num>
  <w:num w:numId="2" w16cid:durableId="1051881629">
    <w:abstractNumId w:val="4"/>
  </w:num>
  <w:num w:numId="3" w16cid:durableId="1916234348">
    <w:abstractNumId w:val="1"/>
  </w:num>
  <w:num w:numId="4" w16cid:durableId="180314897">
    <w:abstractNumId w:val="5"/>
  </w:num>
  <w:num w:numId="5" w16cid:durableId="8451717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00462776">
    <w:abstractNumId w:val="3"/>
  </w:num>
  <w:num w:numId="7" w16cid:durableId="2133666846">
    <w:abstractNumId w:val="6"/>
  </w:num>
  <w:num w:numId="8" w16cid:durableId="1483698415">
    <w:abstractNumId w:val="6"/>
  </w:num>
  <w:num w:numId="9" w16cid:durableId="1566186028">
    <w:abstractNumId w:val="6"/>
  </w:num>
  <w:num w:numId="10" w16cid:durableId="1116871268">
    <w:abstractNumId w:val="6"/>
  </w:num>
  <w:num w:numId="11" w16cid:durableId="510603207">
    <w:abstractNumId w:val="6"/>
  </w:num>
  <w:num w:numId="12" w16cid:durableId="804153884">
    <w:abstractNumId w:val="6"/>
  </w:num>
  <w:num w:numId="13" w16cid:durableId="1978562022">
    <w:abstractNumId w:val="3"/>
  </w:num>
  <w:num w:numId="14" w16cid:durableId="114912119">
    <w:abstractNumId w:val="2"/>
  </w:num>
  <w:num w:numId="15" w16cid:durableId="255791647">
    <w:abstractNumId w:val="2"/>
  </w:num>
  <w:num w:numId="16" w16cid:durableId="773482309">
    <w:abstractNumId w:val="2"/>
  </w:num>
  <w:num w:numId="17" w16cid:durableId="712995416">
    <w:abstractNumId w:val="2"/>
  </w:num>
  <w:num w:numId="18" w16cid:durableId="2018997781">
    <w:abstractNumId w:val="2"/>
  </w:num>
  <w:num w:numId="19" w16cid:durableId="8191502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55C1"/>
    <w:rsid w:val="00077D53"/>
    <w:rsid w:val="000D49A6"/>
    <w:rsid w:val="00105FD9"/>
    <w:rsid w:val="00117666"/>
    <w:rsid w:val="001549D3"/>
    <w:rsid w:val="00160065"/>
    <w:rsid w:val="00177D84"/>
    <w:rsid w:val="001C3637"/>
    <w:rsid w:val="00267D18"/>
    <w:rsid w:val="002868E2"/>
    <w:rsid w:val="002869C3"/>
    <w:rsid w:val="002936E4"/>
    <w:rsid w:val="002B4A57"/>
    <w:rsid w:val="002C74CA"/>
    <w:rsid w:val="00303C56"/>
    <w:rsid w:val="003544FB"/>
    <w:rsid w:val="003D2F2D"/>
    <w:rsid w:val="00401590"/>
    <w:rsid w:val="00447801"/>
    <w:rsid w:val="00452E9C"/>
    <w:rsid w:val="004735C8"/>
    <w:rsid w:val="004801E7"/>
    <w:rsid w:val="004961FF"/>
    <w:rsid w:val="00517A89"/>
    <w:rsid w:val="005250F2"/>
    <w:rsid w:val="00525982"/>
    <w:rsid w:val="00593EEA"/>
    <w:rsid w:val="005A5EEE"/>
    <w:rsid w:val="005D3D63"/>
    <w:rsid w:val="00617093"/>
    <w:rsid w:val="006375C7"/>
    <w:rsid w:val="00647862"/>
    <w:rsid w:val="00654E8F"/>
    <w:rsid w:val="00660D05"/>
    <w:rsid w:val="006820B1"/>
    <w:rsid w:val="00685566"/>
    <w:rsid w:val="006B7D14"/>
    <w:rsid w:val="00701727"/>
    <w:rsid w:val="0070566C"/>
    <w:rsid w:val="00714C50"/>
    <w:rsid w:val="00725A7D"/>
    <w:rsid w:val="007501BE"/>
    <w:rsid w:val="007867E9"/>
    <w:rsid w:val="00790BB3"/>
    <w:rsid w:val="007C206C"/>
    <w:rsid w:val="00803D24"/>
    <w:rsid w:val="00817DD6"/>
    <w:rsid w:val="00826053"/>
    <w:rsid w:val="00833FEF"/>
    <w:rsid w:val="00885156"/>
    <w:rsid w:val="008D346E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0141C"/>
    <w:rsid w:val="00B1671E"/>
    <w:rsid w:val="00B25EB8"/>
    <w:rsid w:val="00B3401C"/>
    <w:rsid w:val="00B354E1"/>
    <w:rsid w:val="00B37F4D"/>
    <w:rsid w:val="00BC5961"/>
    <w:rsid w:val="00BD22B8"/>
    <w:rsid w:val="00C52A7B"/>
    <w:rsid w:val="00C54D47"/>
    <w:rsid w:val="00C56BAF"/>
    <w:rsid w:val="00C679AA"/>
    <w:rsid w:val="00C75972"/>
    <w:rsid w:val="00CC0A3A"/>
    <w:rsid w:val="00CD066B"/>
    <w:rsid w:val="00CD6552"/>
    <w:rsid w:val="00CE4FEE"/>
    <w:rsid w:val="00DA1FFB"/>
    <w:rsid w:val="00DB59C3"/>
    <w:rsid w:val="00DC259A"/>
    <w:rsid w:val="00DE23E8"/>
    <w:rsid w:val="00E52377"/>
    <w:rsid w:val="00E64E17"/>
    <w:rsid w:val="00E866C9"/>
    <w:rsid w:val="00EA3D3C"/>
    <w:rsid w:val="00F06181"/>
    <w:rsid w:val="00F46900"/>
    <w:rsid w:val="00F61D89"/>
    <w:rsid w:val="00FA3E20"/>
    <w:rsid w:val="00FF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18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Tony Sayers</cp:lastModifiedBy>
  <cp:revision>21</cp:revision>
  <cp:lastPrinted>2013-10-03T12:51:00Z</cp:lastPrinted>
  <dcterms:created xsi:type="dcterms:W3CDTF">2022-11-17T16:58:00Z</dcterms:created>
  <dcterms:modified xsi:type="dcterms:W3CDTF">2023-06-06T10:42:00Z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