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TABLE  Quality assessment results for included case-control studies</w:t>
      </w:r>
    </w:p>
    <w:tbl>
      <w:tblPr>
        <w:tblStyle w:val="3"/>
        <w:tblW w:w="15984" w:type="dxa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520"/>
        <w:gridCol w:w="1530"/>
        <w:gridCol w:w="1080"/>
        <w:gridCol w:w="1170"/>
        <w:gridCol w:w="3180"/>
        <w:gridCol w:w="1410"/>
        <w:gridCol w:w="2396"/>
        <w:gridCol w:w="1054"/>
        <w:gridCol w:w="49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bookmarkStart w:id="0" w:name="OLE_LINK24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Stud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y</w:t>
            </w:r>
            <w:bookmarkEnd w:id="0"/>
          </w:p>
        </w:tc>
        <w:tc>
          <w:tcPr>
            <w:tcW w:w="1520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Selection</w:t>
            </w:r>
          </w:p>
        </w:tc>
        <w:tc>
          <w:tcPr>
            <w:tcW w:w="1080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Comparability</w:t>
            </w:r>
          </w:p>
        </w:tc>
        <w:tc>
          <w:tcPr>
            <w:tcW w:w="1410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396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Exposure</w:t>
            </w:r>
          </w:p>
        </w:tc>
        <w:tc>
          <w:tcPr>
            <w:tcW w:w="105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0"/>
                <w:szCs w:val="10"/>
                <w:vertAlign w:val="baseline"/>
                <w:lang w:val="en-US" w:eastAsia="zh-CN"/>
              </w:rPr>
              <w:t>Total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bottom w:val="single" w:color="auto" w:sz="12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Is the case definition adequate?</w:t>
            </w:r>
          </w:p>
        </w:tc>
        <w:tc>
          <w:tcPr>
            <w:tcW w:w="153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Representativeness of the cases</w:t>
            </w:r>
          </w:p>
        </w:tc>
        <w:tc>
          <w:tcPr>
            <w:tcW w:w="108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Selection of Controls</w:t>
            </w:r>
          </w:p>
        </w:tc>
        <w:tc>
          <w:tcPr>
            <w:tcW w:w="117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Definition of Controls</w:t>
            </w:r>
          </w:p>
        </w:tc>
        <w:tc>
          <w:tcPr>
            <w:tcW w:w="3180" w:type="dxa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Comparability of cases and controls on the basis of the design or analysis</w:t>
            </w:r>
          </w:p>
        </w:tc>
        <w:tc>
          <w:tcPr>
            <w:tcW w:w="141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Ascertainment of exposure</w:t>
            </w:r>
          </w:p>
        </w:tc>
        <w:tc>
          <w:tcPr>
            <w:tcW w:w="2396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Same method of ascertainment for cases and controls</w:t>
            </w:r>
          </w:p>
        </w:tc>
        <w:tc>
          <w:tcPr>
            <w:tcW w:w="1054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Non-Response rate</w:t>
            </w:r>
          </w:p>
        </w:tc>
        <w:tc>
          <w:tcPr>
            <w:tcW w:w="490" w:type="dxa"/>
            <w:tcBorders>
              <w:bottom w:val="single" w:color="auto" w:sz="12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Chen ZM et al. (2008)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[26]</w:t>
            </w:r>
          </w:p>
        </w:tc>
        <w:tc>
          <w:tcPr>
            <w:tcW w:w="152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17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49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Yu (2009)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[27]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Tsenget al. (2010)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[28]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Kim et al. (2011)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[30]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Hita-Yañez et al. (2012)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[31]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Hita-Yañez et al. (2013)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[32]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Spira et al.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[33]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Naismith er al. (2014)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[34]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Wilson et al. (2014)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[35] 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Terpening et al. (2015)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[39]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Brayet et al. (2016)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[40]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bookmarkStart w:id="1" w:name="OLE_LINK21" w:colFirst="6" w:colLast="8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Liguori et al. (2016)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[41]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</w:tr>
      <w:bookmarkEnd w:id="1"/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  <w:t>Chen YJ (2020) [49]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  <w:t>Wlickens et al. (2018) [45]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Sanchez-Espinosa et al. (2014)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[36]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Maestri et al. (2015)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[38]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Gorgoni et al. (2016)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[42]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Reda et al. (2017)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[43]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  <w:t>Carnicelli et al. (2018) [47]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  <w:t>Westerberg et.al. (2010) [29]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Wams et al. (2017)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[44]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~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Buratti et al. (2021)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[50]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TABLE Quality assessment results for included cohort studies</w:t>
      </w:r>
    </w:p>
    <w:tbl>
      <w:tblPr>
        <w:tblStyle w:val="3"/>
        <w:tblW w:w="15671" w:type="dxa"/>
        <w:tblInd w:w="-733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10"/>
        <w:gridCol w:w="1640"/>
        <w:gridCol w:w="1370"/>
        <w:gridCol w:w="1937"/>
        <w:gridCol w:w="2023"/>
        <w:gridCol w:w="1190"/>
        <w:gridCol w:w="2190"/>
        <w:gridCol w:w="1580"/>
        <w:gridCol w:w="87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Stud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y</w:t>
            </w:r>
          </w:p>
        </w:tc>
        <w:tc>
          <w:tcPr>
            <w:tcW w:w="1410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Selection</w:t>
            </w:r>
          </w:p>
        </w:tc>
        <w:tc>
          <w:tcPr>
            <w:tcW w:w="1370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Comparability</w:t>
            </w:r>
          </w:p>
        </w:tc>
        <w:tc>
          <w:tcPr>
            <w:tcW w:w="1190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Outcome</w:t>
            </w:r>
          </w:p>
        </w:tc>
        <w:tc>
          <w:tcPr>
            <w:tcW w:w="1580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0"/>
                <w:szCs w:val="10"/>
                <w:vertAlign w:val="baseline"/>
                <w:lang w:val="en-US" w:eastAsia="zh-CN"/>
              </w:rPr>
              <w:t>Total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tcBorders>
              <w:bottom w:val="single" w:color="auto" w:sz="12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Representativeness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of Cohort</w:t>
            </w:r>
          </w:p>
        </w:tc>
        <w:tc>
          <w:tcPr>
            <w:tcW w:w="164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Selection of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Non-exposed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Cohort</w:t>
            </w:r>
          </w:p>
        </w:tc>
        <w:tc>
          <w:tcPr>
            <w:tcW w:w="137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Ascertainment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of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Exposure</w:t>
            </w:r>
          </w:p>
        </w:tc>
        <w:tc>
          <w:tcPr>
            <w:tcW w:w="1937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Demonstration That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Outcome of Interest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Was Not Present at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Start of Study</w:t>
            </w:r>
          </w:p>
        </w:tc>
        <w:tc>
          <w:tcPr>
            <w:tcW w:w="2023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Comparability of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Cohorts on Basis of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Design or Analysis Time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to Follow-Up</w:t>
            </w:r>
          </w:p>
        </w:tc>
        <w:tc>
          <w:tcPr>
            <w:tcW w:w="119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Assessment of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Outcome</w:t>
            </w:r>
          </w:p>
        </w:tc>
        <w:tc>
          <w:tcPr>
            <w:tcW w:w="219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Follow-Up Long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Enough for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Outcomes to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Occur</w:t>
            </w:r>
          </w:p>
        </w:tc>
        <w:tc>
          <w:tcPr>
            <w:tcW w:w="158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Adequacy of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Follow-Up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Cohorts</w:t>
            </w:r>
          </w:p>
        </w:tc>
        <w:tc>
          <w:tcPr>
            <w:tcW w:w="870" w:type="dxa"/>
            <w:tcBorders>
              <w:bottom w:val="single" w:color="auto" w:sz="12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  <w:t>Hayes et al. (2014) [37]</w:t>
            </w:r>
          </w:p>
        </w:tc>
        <w:tc>
          <w:tcPr>
            <w:tcW w:w="141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64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37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937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023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190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190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80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870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Basta et al. (2019)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[46]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bookmarkStart w:id="2" w:name="OLE_LINK2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  <w:bookmarkEnd w:id="2"/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★★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Liu et al. (2020)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[48]</w:t>
            </w:r>
            <w:bookmarkStart w:id="3" w:name="_GoBack"/>
            <w:bookmarkEnd w:id="3"/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zQ0NzgzM2NhMTg2ODlhZTk0NDEzYmY4NWU3NmIifQ=="/>
  </w:docVars>
  <w:rsids>
    <w:rsidRoot w:val="00000000"/>
    <w:rsid w:val="00297123"/>
    <w:rsid w:val="07587FD8"/>
    <w:rsid w:val="09D9551B"/>
    <w:rsid w:val="29204319"/>
    <w:rsid w:val="2D303879"/>
    <w:rsid w:val="390D0547"/>
    <w:rsid w:val="3BBC0A63"/>
    <w:rsid w:val="462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1392</Characters>
  <Lines>0</Lines>
  <Paragraphs>0</Paragraphs>
  <TotalTime>31</TotalTime>
  <ScaleCrop>false</ScaleCrop>
  <LinksUpToDate>false</LinksUpToDate>
  <CharactersWithSpaces>1554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2023-04-26T01:27:00Z</dcterms:created>
  <dc:creator>asus</dc:creator>
  <cp:lastModifiedBy>梁</cp:lastModifiedBy>
  <dcterms:modified xsi:type="dcterms:W3CDTF">2023-07-11T02:18:55Z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32DE4A6244E2456EBD348C026BDD8E30</vt:lpwstr>
  </property>
</Properties>
</file>