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0758" w14:textId="77777777" w:rsidR="000D44F1" w:rsidRDefault="00D259BA">
      <w:pPr>
        <w:pStyle w:val="SupplementaryMaterial"/>
        <w:rPr>
          <w:b w:val="0"/>
        </w:rPr>
      </w:pPr>
      <w:r>
        <w:t>Supplementary Material</w:t>
      </w:r>
    </w:p>
    <w:p w14:paraId="1808800E" w14:textId="77777777" w:rsidR="000D44F1" w:rsidRDefault="00D259BA">
      <w:pPr>
        <w:wordWrap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Knockout of CAFFEOYL-COA 3-O-METHYLTRANSFERASE 6/6L enhances the S/G ratio of lignin monomers and disease resistance in </w:t>
      </w:r>
      <w:r>
        <w:rPr>
          <w:rFonts w:ascii="Times New Roman" w:hAnsi="Times New Roman" w:cs="Times New Roman"/>
          <w:b/>
          <w:i/>
          <w:sz w:val="32"/>
          <w:szCs w:val="32"/>
        </w:rPr>
        <w:t>Nicotiana tabacum</w:t>
      </w:r>
    </w:p>
    <w:p w14:paraId="19255EB2" w14:textId="77777777" w:rsidR="000D44F1" w:rsidRDefault="00D259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Mingxin</w:t>
      </w:r>
      <w:proofErr w:type="spellEnd"/>
      <w:r>
        <w:rPr>
          <w:rFonts w:ascii="Times New Roman" w:hAnsi="Times New Roman" w:cs="Times New Roman"/>
        </w:rPr>
        <w:t xml:space="preserve"> Liu</w:t>
      </w:r>
      <w:r>
        <w:rPr>
          <w:rFonts w:ascii="Times New Roman" w:hAnsi="Times New Roman" w:cs="Times New Roman" w:hint="eastAsia"/>
          <w:vertAlign w:val="superscript"/>
        </w:rPr>
        <w:t>1,2</w:t>
      </w:r>
      <w:r>
        <w:rPr>
          <w:rFonts w:ascii="Times New Roman" w:hAnsi="Times New Roman" w:cs="Times New Roman"/>
          <w:vertAlign w:val="superscript"/>
        </w:rPr>
        <w:t>†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Huayin</w:t>
      </w:r>
      <w:proofErr w:type="spellEnd"/>
      <w:r>
        <w:rPr>
          <w:rFonts w:ascii="Times New Roman" w:hAnsi="Times New Roman" w:cs="Times New Roman"/>
        </w:rPr>
        <w:t xml:space="preserve"> Liu</w:t>
      </w:r>
      <w:r>
        <w:rPr>
          <w:rFonts w:ascii="Times New Roman" w:hAnsi="Times New Roman" w:cs="Times New Roman" w:hint="eastAsia"/>
          <w:vertAlign w:val="superscript"/>
        </w:rPr>
        <w:t>1,3</w:t>
      </w:r>
      <w:r>
        <w:rPr>
          <w:rFonts w:ascii="Times New Roman" w:hAnsi="Times New Roman" w:cs="Times New Roman"/>
          <w:vertAlign w:val="superscript"/>
        </w:rPr>
        <w:t>†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Jianduo</w:t>
      </w:r>
      <w:proofErr w:type="spellEnd"/>
      <w:r>
        <w:rPr>
          <w:rFonts w:ascii="Times New Roman" w:hAnsi="Times New Roman" w:cs="Times New Roman"/>
        </w:rPr>
        <w:t xml:space="preserve"> Zhang</w:t>
      </w:r>
      <w:r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†</w:t>
      </w:r>
      <w:r>
        <w:rPr>
          <w:rFonts w:ascii="Times New Roman" w:hAnsi="Times New Roman" w:cs="Times New Roman"/>
        </w:rPr>
        <w:t>, Cui Li</w:t>
      </w:r>
      <w:r>
        <w:rPr>
          <w:rFonts w:ascii="Times New Roman" w:hAnsi="Times New Roman" w:cs="Times New Roman" w:hint="eastAsia"/>
          <w:vertAlign w:val="superscript"/>
        </w:rPr>
        <w:t>4,5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Yinke</w:t>
      </w:r>
      <w:proofErr w:type="spellEnd"/>
      <w:r>
        <w:rPr>
          <w:rFonts w:ascii="Times New Roman" w:hAnsi="Times New Roman" w:cs="Times New Roman"/>
        </w:rPr>
        <w:t xml:space="preserve"> Li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Guangyu</w:t>
      </w:r>
      <w:proofErr w:type="spellEnd"/>
      <w:r>
        <w:rPr>
          <w:rFonts w:ascii="Times New Roman" w:hAnsi="Times New Roman" w:cs="Times New Roman"/>
        </w:rPr>
        <w:t xml:space="preserve"> Yang</w:t>
      </w:r>
      <w:r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/>
        </w:rPr>
        <w:t>, Tong Xia</w:t>
      </w:r>
      <w:r>
        <w:rPr>
          <w:rFonts w:ascii="Times New Roman" w:hAnsi="Times New Roman" w:cs="Times New Roman" w:hint="eastAsia"/>
          <w:vertAlign w:val="superscript"/>
        </w:rPr>
        <w:t>4,5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Haitao</w:t>
      </w:r>
      <w:proofErr w:type="spellEnd"/>
      <w:r>
        <w:rPr>
          <w:rFonts w:ascii="Times New Roman" w:hAnsi="Times New Roman" w:cs="Times New Roman"/>
        </w:rPr>
        <w:t xml:space="preserve"> Huang</w:t>
      </w:r>
      <w:r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/>
        </w:rPr>
        <w:t>, Yon</w:t>
      </w:r>
      <w:r>
        <w:rPr>
          <w:rFonts w:ascii="Times New Roman" w:hAnsi="Times New Roman" w:cs="Times New Roman"/>
        </w:rPr>
        <w:t>g Xu</w:t>
      </w:r>
      <w:r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Weisong</w:t>
      </w:r>
      <w:proofErr w:type="spellEnd"/>
      <w:r>
        <w:rPr>
          <w:rFonts w:ascii="Times New Roman" w:hAnsi="Times New Roman" w:cs="Times New Roman"/>
        </w:rPr>
        <w:t xml:space="preserve"> Kong</w:t>
      </w:r>
      <w:r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Bingzhu</w:t>
      </w:r>
      <w:proofErr w:type="spellEnd"/>
      <w:r>
        <w:rPr>
          <w:rFonts w:ascii="Times New Roman" w:hAnsi="Times New Roman" w:cs="Times New Roman"/>
        </w:rPr>
        <w:t xml:space="preserve"> Hou</w:t>
      </w:r>
      <w:proofErr w:type="gramStart"/>
      <w:r>
        <w:rPr>
          <w:rFonts w:ascii="Times New Roman" w:hAnsi="Times New Roman" w:cs="Times New Roman" w:hint="eastAsia"/>
          <w:vertAlign w:val="superscript"/>
        </w:rPr>
        <w:t>4</w:t>
      </w:r>
      <w:r>
        <w:rPr>
          <w:rFonts w:ascii="Times New Roman" w:hAnsi="Times New Roman" w:cs="Times New Roman" w:hint="eastAsia"/>
          <w:vertAlign w:val="superscript"/>
        </w:rPr>
        <w:t>,</w:t>
      </w:r>
      <w:r>
        <w:rPr>
          <w:rFonts w:ascii="Times New Roman" w:hAnsi="Times New Roman" w:cs="Times New Roman" w:hint="eastAsia"/>
          <w:vertAlign w:val="superscript"/>
        </w:rPr>
        <w:t>*</w:t>
      </w:r>
      <w:proofErr w:type="gramEnd"/>
      <w:r>
        <w:rPr>
          <w:rFonts w:ascii="Times New Roman" w:hAnsi="Times New Roman" w:cs="Times New Roman" w:hint="eastAsia"/>
          <w:vertAlign w:val="superscript"/>
        </w:rPr>
        <w:t>,</w:t>
      </w:r>
      <w:r>
        <w:rPr>
          <w:rFonts w:ascii="Times New Roman" w:hAnsi="Times New Roman" w:cs="Times New Roman"/>
          <w:vertAlign w:val="superscript"/>
        </w:rPr>
        <w:t>†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Xiaoquan</w:t>
      </w:r>
      <w:proofErr w:type="spellEnd"/>
      <w:r>
        <w:rPr>
          <w:rFonts w:ascii="Times New Roman" w:hAnsi="Times New Roman" w:cs="Times New Roman"/>
        </w:rPr>
        <w:t xml:space="preserve"> Qi</w:t>
      </w:r>
      <w:r>
        <w:rPr>
          <w:rFonts w:ascii="Times New Roman" w:hAnsi="Times New Roman" w:cs="Times New Roman" w:hint="eastAsia"/>
          <w:vertAlign w:val="superscript"/>
        </w:rPr>
        <w:t>4</w:t>
      </w:r>
      <w:r>
        <w:rPr>
          <w:rFonts w:ascii="Times New Roman" w:hAnsi="Times New Roman" w:cs="Times New Roman" w:hint="eastAsia"/>
          <w:vertAlign w:val="superscript"/>
        </w:rPr>
        <w:t>,</w:t>
      </w:r>
      <w:r>
        <w:rPr>
          <w:rFonts w:ascii="Times New Roman" w:hAnsi="Times New Roman" w:cs="Times New Roman" w:hint="eastAsia"/>
          <w:vertAlign w:val="superscript"/>
        </w:rPr>
        <w:t>*</w:t>
      </w:r>
      <w:r>
        <w:rPr>
          <w:rFonts w:ascii="Times New Roman" w:hAnsi="Times New Roman" w:cs="Times New Roman" w:hint="eastAsia"/>
          <w:vertAlign w:val="superscript"/>
        </w:rPr>
        <w:t>,</w:t>
      </w:r>
      <w:r>
        <w:rPr>
          <w:rFonts w:ascii="Times New Roman" w:hAnsi="Times New Roman" w:cs="Times New Roman"/>
          <w:vertAlign w:val="superscript"/>
        </w:rPr>
        <w:t>†</w:t>
      </w:r>
      <w:r>
        <w:rPr>
          <w:rFonts w:ascii="Times New Roman" w:hAnsi="Times New Roman" w:cs="Times New Roman" w:hint="eastAsia"/>
        </w:rPr>
        <w:t>,</w:t>
      </w:r>
      <w:proofErr w:type="spellStart"/>
      <w:r>
        <w:rPr>
          <w:rFonts w:ascii="Times New Roman" w:hAnsi="Times New Roman" w:cs="Times New Roman"/>
        </w:rPr>
        <w:t>Jin</w:t>
      </w:r>
      <w:proofErr w:type="spellEnd"/>
      <w:r>
        <w:rPr>
          <w:rFonts w:ascii="Times New Roman" w:hAnsi="Times New Roman" w:cs="Times New Roman"/>
        </w:rPr>
        <w:t xml:space="preserve"> Wang</w:t>
      </w:r>
      <w:r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 w:hint="eastAsia"/>
          <w:vertAlign w:val="superscript"/>
        </w:rPr>
        <w:t>,</w:t>
      </w:r>
      <w:r>
        <w:rPr>
          <w:rFonts w:ascii="Times New Roman" w:hAnsi="Times New Roman" w:cs="Times New Roman" w:hint="eastAsia"/>
          <w:vertAlign w:val="superscript"/>
        </w:rPr>
        <w:t>*</w:t>
      </w:r>
      <w:r>
        <w:rPr>
          <w:rFonts w:ascii="Times New Roman" w:hAnsi="Times New Roman" w:cs="Times New Roman" w:hint="eastAsia"/>
          <w:vertAlign w:val="superscript"/>
        </w:rPr>
        <w:t>,</w:t>
      </w:r>
      <w:r>
        <w:rPr>
          <w:rFonts w:ascii="Times New Roman" w:hAnsi="Times New Roman" w:cs="Times New Roman"/>
          <w:vertAlign w:val="superscript"/>
        </w:rPr>
        <w:t>†</w:t>
      </w:r>
    </w:p>
    <w:p w14:paraId="49AEA2B0" w14:textId="77777777" w:rsidR="000D44F1" w:rsidRDefault="00D25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Corresponding author, E-mail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wangjin@iccas.ac.cn</w:t>
      </w:r>
      <w:r>
        <w:rPr>
          <w:rFonts w:ascii="Times New Roman" w:hAnsi="Times New Roman" w:cs="Times New Roman"/>
        </w:rPr>
        <w:t>.</w:t>
      </w:r>
    </w:p>
    <w:p w14:paraId="4BA4137A" w14:textId="77777777" w:rsidR="000D44F1" w:rsidRDefault="000D44F1">
      <w:pPr>
        <w:rPr>
          <w:rFonts w:ascii="Times New Roman" w:hAnsi="Times New Roman" w:cs="Times New Roman"/>
        </w:rPr>
      </w:pPr>
    </w:p>
    <w:p w14:paraId="708C0B7B" w14:textId="77777777" w:rsidR="000D44F1" w:rsidRDefault="00D25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>Research and Development of Center, China Tobacco Yunnan Industrial Co., Ltd., Kunming 650231</w:t>
      </w:r>
      <w:r>
        <w:rPr>
          <w:rFonts w:ascii="Times New Roman" w:hAnsi="Times New Roman" w:cs="Times New Roman" w:hint="eastAsia"/>
          <w:sz w:val="18"/>
          <w:szCs w:val="18"/>
        </w:rPr>
        <w:t>, China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 w:hint="eastAsia"/>
          <w:sz w:val="18"/>
          <w:szCs w:val="18"/>
        </w:rPr>
        <w:t xml:space="preserve"> 2 School of Ethnic Medicine, Yunnan 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Minzu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University, Kunming 650504, China</w:t>
      </w:r>
      <w:r>
        <w:rPr>
          <w:rFonts w:ascii="Times New Roman" w:hAnsi="Times New Roman" w:cs="Times New Roman" w:hint="eastAsia"/>
          <w:sz w:val="18"/>
          <w:szCs w:val="18"/>
        </w:rPr>
        <w:t>；</w:t>
      </w:r>
      <w:r>
        <w:rPr>
          <w:rFonts w:ascii="Times New Roman" w:hAnsi="Times New Roman" w:cs="Times New Roman" w:hint="eastAsia"/>
          <w:sz w:val="18"/>
          <w:szCs w:val="18"/>
        </w:rPr>
        <w:t>3 Technology Center, China Tobacco Yunnan Industrial Co.</w:t>
      </w:r>
      <w:r>
        <w:rPr>
          <w:rFonts w:ascii="Times New Roman" w:hAnsi="Times New Roman" w:cs="Times New Roman" w:hint="eastAsia"/>
          <w:sz w:val="18"/>
          <w:szCs w:val="18"/>
        </w:rPr>
        <w:t>，</w:t>
      </w:r>
      <w:r>
        <w:rPr>
          <w:rFonts w:ascii="Times New Roman" w:hAnsi="Times New Roman" w:cs="Times New Roman" w:hint="eastAsia"/>
          <w:sz w:val="18"/>
          <w:szCs w:val="18"/>
        </w:rPr>
        <w:t>Ltd., Kunming 650106</w:t>
      </w:r>
      <w:r>
        <w:rPr>
          <w:rFonts w:ascii="Times New Roman" w:hAnsi="Times New Roman" w:cs="Times New Roman" w:hint="eastAsia"/>
          <w:sz w:val="18"/>
          <w:szCs w:val="18"/>
        </w:rPr>
        <w:t>，</w:t>
      </w:r>
      <w:r>
        <w:rPr>
          <w:rFonts w:ascii="Times New Roman" w:hAnsi="Times New Roman" w:cs="Times New Roman" w:hint="eastAsia"/>
          <w:sz w:val="18"/>
          <w:szCs w:val="18"/>
        </w:rPr>
        <w:t>China</w:t>
      </w:r>
      <w:r>
        <w:rPr>
          <w:rFonts w:ascii="Times New Roman" w:hAnsi="Times New Roman" w:cs="Times New Roman" w:hint="eastAsia"/>
          <w:sz w:val="18"/>
          <w:szCs w:val="18"/>
        </w:rPr>
        <w:t>；</w:t>
      </w:r>
      <w:r>
        <w:rPr>
          <w:rFonts w:ascii="Times New Roman" w:hAnsi="Times New Roman" w:cs="Times New Roman" w:hint="eastAsia"/>
          <w:sz w:val="18"/>
          <w:szCs w:val="18"/>
        </w:rPr>
        <w:t>4</w:t>
      </w:r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</w:rPr>
        <w:t xml:space="preserve"> Key Laboratory of Plant Molecular Physiology, Institute of Botany, Chinese Academy of Science</w:t>
      </w:r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</w:rPr>
        <w:t xml:space="preserve">s, Nan </w:t>
      </w:r>
      <w:proofErr w:type="spellStart"/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</w:rPr>
        <w:t>XinCun</w:t>
      </w:r>
      <w:proofErr w:type="spellEnd"/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</w:rPr>
        <w:t xml:space="preserve"> 20, Fragrant Hill, Beijing 100093, China. 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</w:rPr>
        <w:t>5</w:t>
      </w:r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</w:rPr>
        <w:t xml:space="preserve"> University of Chinese Academy of Sciences, Yu Quan Road 19, Beijing 100049, China.</w:t>
      </w:r>
    </w:p>
    <w:p w14:paraId="47A1578F" w14:textId="77777777" w:rsidR="000D44F1" w:rsidRDefault="000D44F1">
      <w:pPr>
        <w:rPr>
          <w:b/>
          <w:bCs/>
        </w:rPr>
      </w:pPr>
    </w:p>
    <w:p w14:paraId="13A8D5C1" w14:textId="77777777" w:rsidR="000D44F1" w:rsidRDefault="000D44F1">
      <w:pPr>
        <w:rPr>
          <w:rFonts w:ascii="Times New Roman" w:hAnsi="Times New Roman" w:cs="Times New Roman"/>
          <w:b/>
          <w:bCs/>
        </w:rPr>
      </w:pPr>
    </w:p>
    <w:p w14:paraId="4F1D078F" w14:textId="77777777" w:rsidR="000D44F1" w:rsidRDefault="00D259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Figures</w:t>
      </w:r>
    </w:p>
    <w:p w14:paraId="27B7C680" w14:textId="77777777" w:rsidR="000D44F1" w:rsidRDefault="00D259B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Supplemental Figure 1. </w:t>
      </w:r>
      <w:r>
        <w:rPr>
          <w:rFonts w:ascii="Times New Roman" w:hAnsi="Times New Roman" w:cs="Times New Roman"/>
          <w:sz w:val="20"/>
          <w:szCs w:val="20"/>
        </w:rPr>
        <w:t xml:space="preserve">The relative expression levels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CCoAOMTs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tobacco stem extracted from the TN90 </w:t>
      </w:r>
      <w:proofErr w:type="spellStart"/>
      <w:r>
        <w:rPr>
          <w:rFonts w:ascii="Times New Roman" w:hAnsi="Times New Roman" w:cs="Times New Roman"/>
          <w:sz w:val="20"/>
          <w:szCs w:val="20"/>
        </w:rPr>
        <w:t>RNAseq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dataset, as presented by Sierra et al. in 2014. FPKM (Fragments Per Kilobase of transcript per Million mapped reads) was used to represent the relative expression levels.</w:t>
      </w:r>
    </w:p>
    <w:p w14:paraId="5046F643" w14:textId="77777777" w:rsidR="000D44F1" w:rsidRDefault="00D259B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Supplemental </w:t>
      </w:r>
      <w:r>
        <w:rPr>
          <w:rFonts w:ascii="Times New Roman" w:hAnsi="Times New Roman" w:cs="Times New Roman"/>
          <w:b/>
        </w:rPr>
        <w:t>Figure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Differential me</w:t>
      </w:r>
      <w:r>
        <w:rPr>
          <w:rFonts w:ascii="Times New Roman" w:hAnsi="Times New Roman" w:cs="Times New Roman"/>
          <w:sz w:val="20"/>
          <w:szCs w:val="20"/>
        </w:rPr>
        <w:t>tabolites analysis of leaves (A) and roots (B) between the wild-type and the double mutant</w:t>
      </w:r>
      <w:r>
        <w:rPr>
          <w:rFonts w:ascii="Times New Roman" w:hAnsi="Times New Roman" w:cs="Times New Roman"/>
          <w:i/>
          <w:sz w:val="20"/>
          <w:szCs w:val="20"/>
        </w:rPr>
        <w:t xml:space="preserve"> ccoaomt6 ccoaomt6l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4D625968" w14:textId="77777777" w:rsidR="000D44F1" w:rsidRDefault="00D259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Supplemental </w:t>
      </w:r>
      <w:r>
        <w:rPr>
          <w:rFonts w:ascii="Times New Roman" w:hAnsi="Times New Roman" w:cs="Times New Roman"/>
          <w:b/>
        </w:rPr>
        <w:t>Figure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Transcriptome analysis of</w:t>
      </w:r>
      <w:r>
        <w:rPr>
          <w:rFonts w:ascii="Times New Roman" w:hAnsi="Times New Roman" w:cs="Times New Roman"/>
          <w:sz w:val="20"/>
          <w:szCs w:val="20"/>
        </w:rPr>
        <w:t xml:space="preserve"> leaves and roots between the wild-type and the double mutant</w:t>
      </w:r>
      <w:r>
        <w:rPr>
          <w:rFonts w:ascii="Times New Roman" w:hAnsi="Times New Roman" w:cs="Times New Roman"/>
          <w:i/>
          <w:sz w:val="20"/>
          <w:szCs w:val="20"/>
        </w:rPr>
        <w:t xml:space="preserve"> ccoaomt6 ccoaomt6l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(A) A Venn diagra</w:t>
      </w:r>
      <w:r>
        <w:rPr>
          <w:rFonts w:ascii="Times New Roman" w:hAnsi="Times New Roman" w:cs="Times New Roman"/>
          <w:sz w:val="20"/>
          <w:szCs w:val="20"/>
        </w:rPr>
        <w:t xml:space="preserve">m presentation of differentially expressed gene in </w:t>
      </w:r>
      <w:r>
        <w:rPr>
          <w:rFonts w:ascii="Times New Roman" w:hAnsi="Times New Roman" w:cs="Times New Roman"/>
          <w:i/>
          <w:sz w:val="20"/>
          <w:szCs w:val="20"/>
        </w:rPr>
        <w:t xml:space="preserve">ccoaomt6 ccoaomt6l </w:t>
      </w:r>
      <w:r>
        <w:rPr>
          <w:rFonts w:ascii="Times New Roman" w:hAnsi="Times New Roman" w:cs="Times New Roman"/>
          <w:sz w:val="20"/>
          <w:szCs w:val="20"/>
        </w:rPr>
        <w:t>compared with WT. (B) Number of the up- and down- regulated DEGs in the leaf data. (C) Number of the up- and down- regulated DEGs in the root data.</w:t>
      </w:r>
    </w:p>
    <w:p w14:paraId="510CC84B" w14:textId="77777777" w:rsidR="000D44F1" w:rsidRDefault="00D259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Supplemental Figure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GO enrichment an</w:t>
      </w:r>
      <w:r>
        <w:rPr>
          <w:rFonts w:ascii="Times New Roman" w:hAnsi="Times New Roman" w:cs="Times New Roman"/>
          <w:bCs/>
          <w:sz w:val="20"/>
          <w:szCs w:val="20"/>
        </w:rPr>
        <w:t xml:space="preserve">alysis </w:t>
      </w:r>
      <w:r>
        <w:rPr>
          <w:rFonts w:ascii="Times New Roman" w:hAnsi="Times New Roman" w:cs="Times New Roman"/>
          <w:sz w:val="20"/>
          <w:szCs w:val="20"/>
        </w:rPr>
        <w:t>of DEGs in leaves (A) and roots (B) between the wild-type and the double mutant</w:t>
      </w:r>
      <w:r>
        <w:rPr>
          <w:rFonts w:ascii="Times New Roman" w:hAnsi="Times New Roman" w:cs="Times New Roman"/>
          <w:i/>
          <w:sz w:val="20"/>
          <w:szCs w:val="20"/>
        </w:rPr>
        <w:t xml:space="preserve"> ccoaomt6 ccoaomt6l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726CB318" w14:textId="77777777" w:rsidR="000D44F1" w:rsidRDefault="00D259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Supplemental Figure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EGG classification of DEGs in leaves (A) and roots (B) between the wild-type and the double mutant</w:t>
      </w:r>
      <w:r>
        <w:rPr>
          <w:rFonts w:ascii="Times New Roman" w:hAnsi="Times New Roman" w:cs="Times New Roman"/>
          <w:i/>
          <w:sz w:val="20"/>
          <w:szCs w:val="20"/>
        </w:rPr>
        <w:t xml:space="preserve"> ccoaomt6 ccoaomt6l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4F1F955B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09B1A4CB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7F0BC653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01C46268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65FFD3D2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226E074B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721A9738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01282A6C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7CF01413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213F0881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0A35F596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531B4239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57C87087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3F91D37E" w14:textId="77777777" w:rsidR="000D44F1" w:rsidRDefault="00D259BA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rebuchet MS" w:eastAsia="SimSun" w:hAnsi="Trebuchet MS" w:cs="SimSun"/>
          <w:noProof/>
          <w:color w:val="0000FF"/>
          <w:kern w:val="0"/>
          <w:sz w:val="18"/>
          <w:szCs w:val="21"/>
        </w:rPr>
        <w:drawing>
          <wp:inline distT="0" distB="0" distL="0" distR="0" wp14:anchorId="47A6E9DC" wp14:editId="696667A0">
            <wp:extent cx="3329305" cy="1603375"/>
            <wp:effectExtent l="0" t="0" r="10795" b="9525"/>
            <wp:docPr id="3" name="图片 3" descr="C:\Users\zhao\Desktop\stem expre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zhao\Desktop\stem express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479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6B6A8E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2BE3A500" w14:textId="77777777" w:rsidR="000D44F1" w:rsidRDefault="00D259B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Supplemental Figure 1.</w:t>
      </w:r>
      <w:r>
        <w:rPr>
          <w:rFonts w:ascii="Times New Roman" w:hAnsi="Times New Roman" w:cs="Times New Roman" w:hint="eastAsia"/>
          <w:color w:val="000000" w:themeColor="text1"/>
        </w:rPr>
        <w:t xml:space="preserve"> The relative expression levels of </w:t>
      </w:r>
      <w:proofErr w:type="spellStart"/>
      <w:r>
        <w:rPr>
          <w:rFonts w:ascii="Times New Roman" w:hAnsi="Times New Roman" w:cs="Times New Roman" w:hint="eastAsia"/>
          <w:i/>
          <w:iCs/>
          <w:color w:val="000000" w:themeColor="text1"/>
        </w:rPr>
        <w:t>CCoAOMTs</w:t>
      </w:r>
      <w:proofErr w:type="spellEnd"/>
      <w:r>
        <w:rPr>
          <w:rFonts w:ascii="Times New Roman" w:hAnsi="Times New Roman" w:cs="Times New Roman" w:hint="eastAsia"/>
          <w:color w:val="000000" w:themeColor="text1"/>
        </w:rPr>
        <w:t xml:space="preserve"> in tobacco stem extracted from the TN90 </w:t>
      </w:r>
      <w:proofErr w:type="spellStart"/>
      <w:r>
        <w:rPr>
          <w:rFonts w:ascii="Times New Roman" w:hAnsi="Times New Roman" w:cs="Times New Roman" w:hint="eastAsia"/>
          <w:color w:val="000000" w:themeColor="text1"/>
        </w:rPr>
        <w:t>RNAseq</w:t>
      </w:r>
      <w:proofErr w:type="spellEnd"/>
      <w:r>
        <w:rPr>
          <w:rFonts w:ascii="Times New Roman" w:hAnsi="Times New Roman" w:cs="Times New Roman" w:hint="eastAsia"/>
          <w:color w:val="000000" w:themeColor="text1"/>
        </w:rPr>
        <w:t xml:space="preserve"> dataset, as presented by Sierra et al. in 2014. FPKM (Fragments Per Kilobase of transcript per Million mapped reads) was used to represent the relative expression levels.</w:t>
      </w:r>
    </w:p>
    <w:p w14:paraId="573DBB8D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76510628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1D6628FD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733F4082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5C9AA9D2" w14:textId="77777777" w:rsidR="000D44F1" w:rsidRDefault="000D44F1">
      <w:pPr>
        <w:rPr>
          <w:rFonts w:ascii="Times New Roman" w:hAnsi="Times New Roman" w:cs="Times New Roman"/>
          <w:color w:val="000000" w:themeColor="text1"/>
        </w:rPr>
      </w:pPr>
    </w:p>
    <w:p w14:paraId="3471BB06" w14:textId="77777777" w:rsidR="000D44F1" w:rsidRDefault="00D259BA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18A242A3" wp14:editId="23E33511">
            <wp:extent cx="5274310" cy="4394835"/>
            <wp:effectExtent l="0" t="0" r="8890" b="12065"/>
            <wp:docPr id="1" name="图片 1" descr="F:\本子+专利+文章稿\文章投稿\2022-烟草\fig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本子+专利+文章稿\文章投稿\2022-烟草\fig 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0B7F0" w14:textId="77777777" w:rsidR="000D44F1" w:rsidRDefault="00D259B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Supplemental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Figure </w:t>
      </w:r>
      <w:r>
        <w:rPr>
          <w:rFonts w:ascii="Times New Roman" w:hAnsi="Times New Roman" w:hint="eastAsia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Differe</w:t>
      </w:r>
      <w:r>
        <w:rPr>
          <w:rFonts w:ascii="Times New Roman" w:hAnsi="Times New Roman"/>
          <w:sz w:val="20"/>
          <w:szCs w:val="20"/>
        </w:rPr>
        <w:t xml:space="preserve">ntial metabolites </w:t>
      </w:r>
      <w:r>
        <w:rPr>
          <w:rFonts w:ascii="Times New Roman" w:hAnsi="Times New Roman" w:hint="eastAsia"/>
          <w:sz w:val="20"/>
          <w:szCs w:val="20"/>
        </w:rPr>
        <w:t>analysis of</w:t>
      </w:r>
      <w:r>
        <w:rPr>
          <w:rFonts w:ascii="Times New Roman" w:hAnsi="Times New Roman"/>
          <w:sz w:val="20"/>
          <w:szCs w:val="20"/>
        </w:rPr>
        <w:t xml:space="preserve"> leaves </w:t>
      </w:r>
      <w:r>
        <w:rPr>
          <w:rFonts w:ascii="Times New Roman" w:hAnsi="Times New Roman" w:hint="eastAsia"/>
          <w:sz w:val="20"/>
          <w:szCs w:val="20"/>
        </w:rPr>
        <w:t xml:space="preserve">(A) and roots (B) between the </w:t>
      </w:r>
      <w:r>
        <w:rPr>
          <w:rFonts w:ascii="Times New Roman" w:hAnsi="Times New Roman"/>
          <w:sz w:val="20"/>
          <w:szCs w:val="20"/>
        </w:rPr>
        <w:t>wild</w:t>
      </w:r>
      <w:r>
        <w:rPr>
          <w:rFonts w:ascii="Times New Roman" w:hAnsi="Times New Roman" w:hint="eastAsia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type and </w:t>
      </w:r>
      <w:r>
        <w:rPr>
          <w:rFonts w:ascii="Times New Roman" w:hAnsi="Times New Roman" w:hint="eastAsia"/>
          <w:sz w:val="20"/>
          <w:szCs w:val="20"/>
        </w:rPr>
        <w:t xml:space="preserve">the double </w:t>
      </w:r>
      <w:r>
        <w:rPr>
          <w:rFonts w:ascii="Times New Roman" w:hAnsi="Times New Roman"/>
          <w:sz w:val="20"/>
          <w:szCs w:val="20"/>
        </w:rPr>
        <w:t>mutant</w:t>
      </w:r>
      <w:r>
        <w:rPr>
          <w:rFonts w:ascii="Times New Roman" w:hAnsi="Times New Roman" w:hint="eastAsia"/>
          <w:i/>
          <w:sz w:val="20"/>
          <w:szCs w:val="20"/>
        </w:rPr>
        <w:t xml:space="preserve"> ccoaomt6 ccoaomt6l</w:t>
      </w:r>
    </w:p>
    <w:p w14:paraId="243D351A" w14:textId="77777777" w:rsidR="000D44F1" w:rsidRDefault="00D259BA">
      <w:r>
        <w:rPr>
          <w:noProof/>
        </w:rPr>
        <w:lastRenderedPageBreak/>
        <w:drawing>
          <wp:inline distT="0" distB="0" distL="0" distR="0" wp14:anchorId="5E779C73" wp14:editId="2DB9C85D">
            <wp:extent cx="4556125" cy="4691380"/>
            <wp:effectExtent l="0" t="0" r="3175" b="7620"/>
            <wp:docPr id="2" name="图片 1" descr="F:\本子+专利+文章稿\文章投稿\2022-烟草\fig 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本子+专利+文章稿\文章投稿\2022-烟草\fig 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6125" cy="469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AE1CA" w14:textId="77777777" w:rsidR="000D44F1" w:rsidRDefault="00D259B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Supplemental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Figure </w:t>
      </w:r>
      <w:r>
        <w:rPr>
          <w:rFonts w:ascii="Times New Roman" w:hAnsi="Times New Roman" w:hint="eastAsia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Transcriptome analysis</w:t>
      </w:r>
      <w:r>
        <w:rPr>
          <w:rFonts w:ascii="Times New Roman" w:hAnsi="Times New Roman" w:hint="eastAsia"/>
          <w:bCs/>
          <w:sz w:val="20"/>
          <w:szCs w:val="20"/>
        </w:rPr>
        <w:t xml:space="preserve"> of</w:t>
      </w:r>
      <w:r>
        <w:rPr>
          <w:rFonts w:ascii="Times New Roman" w:hAnsi="Times New Roman"/>
          <w:sz w:val="20"/>
          <w:szCs w:val="20"/>
        </w:rPr>
        <w:t xml:space="preserve"> leaves</w:t>
      </w:r>
      <w:r>
        <w:rPr>
          <w:rFonts w:ascii="Times New Roman" w:hAnsi="Times New Roman" w:hint="eastAsia"/>
          <w:sz w:val="20"/>
          <w:szCs w:val="20"/>
        </w:rPr>
        <w:t xml:space="preserve"> and roots between the </w:t>
      </w:r>
      <w:r>
        <w:rPr>
          <w:rFonts w:ascii="Times New Roman" w:hAnsi="Times New Roman"/>
          <w:sz w:val="20"/>
          <w:szCs w:val="20"/>
        </w:rPr>
        <w:t>wild</w:t>
      </w:r>
      <w:r>
        <w:rPr>
          <w:rFonts w:ascii="Times New Roman" w:hAnsi="Times New Roman" w:hint="eastAsia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type and </w:t>
      </w:r>
      <w:r>
        <w:rPr>
          <w:rFonts w:ascii="Times New Roman" w:hAnsi="Times New Roman" w:hint="eastAsia"/>
          <w:sz w:val="20"/>
          <w:szCs w:val="20"/>
        </w:rPr>
        <w:t xml:space="preserve">the double </w:t>
      </w:r>
      <w:r>
        <w:rPr>
          <w:rFonts w:ascii="Times New Roman" w:hAnsi="Times New Roman"/>
          <w:sz w:val="20"/>
          <w:szCs w:val="20"/>
        </w:rPr>
        <w:t>mutant</w:t>
      </w:r>
      <w:r>
        <w:rPr>
          <w:rFonts w:ascii="Times New Roman" w:hAnsi="Times New Roman" w:hint="eastAsia"/>
          <w:i/>
          <w:sz w:val="20"/>
          <w:szCs w:val="20"/>
        </w:rPr>
        <w:t xml:space="preserve"> ccoaomt6 ccoaomt6l</w:t>
      </w:r>
    </w:p>
    <w:p w14:paraId="1724D6D4" w14:textId="77777777" w:rsidR="000D44F1" w:rsidRDefault="00D259BA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A Venn diagram presentation of </w:t>
      </w:r>
      <w:r>
        <w:rPr>
          <w:rFonts w:ascii="Times New Roman" w:hAnsi="Times New Roman"/>
          <w:sz w:val="20"/>
          <w:szCs w:val="20"/>
        </w:rPr>
        <w:t>differentially expressed gene</w:t>
      </w:r>
      <w:r>
        <w:rPr>
          <w:rFonts w:ascii="Times New Roman" w:hAnsi="Times New Roman" w:hint="eastAsia"/>
          <w:sz w:val="20"/>
          <w:szCs w:val="20"/>
        </w:rPr>
        <w:t xml:space="preserve"> in </w:t>
      </w:r>
      <w:r>
        <w:rPr>
          <w:rFonts w:ascii="Times New Roman" w:hAnsi="Times New Roman" w:hint="eastAsia"/>
          <w:i/>
          <w:sz w:val="20"/>
          <w:szCs w:val="20"/>
        </w:rPr>
        <w:t xml:space="preserve">ccoaomt6 ccoaomt6l </w:t>
      </w:r>
      <w:r>
        <w:rPr>
          <w:rFonts w:ascii="Times New Roman" w:hAnsi="Times New Roman" w:hint="eastAsia"/>
          <w:sz w:val="20"/>
          <w:szCs w:val="20"/>
        </w:rPr>
        <w:t>compared with WT. (B) Number of the up- and down- regulated DEGs in the leaf data. (C) Number of the up- and down- regulated DEGs in the root data.</w:t>
      </w:r>
    </w:p>
    <w:p w14:paraId="7B5251B0" w14:textId="77777777" w:rsidR="000D44F1" w:rsidRDefault="00D259BA">
      <w:r>
        <w:rPr>
          <w:noProof/>
        </w:rPr>
        <w:lastRenderedPageBreak/>
        <w:drawing>
          <wp:inline distT="0" distB="0" distL="0" distR="0" wp14:anchorId="4B48506E" wp14:editId="30427217">
            <wp:extent cx="5274310" cy="6929755"/>
            <wp:effectExtent l="0" t="0" r="8890" b="4445"/>
            <wp:docPr id="6" name="图片 2" descr="F:\本子+专利+文章稿\文章投稿\2022-烟草\fig 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F:\本子+专利+文章稿\文章投稿\2022-烟草\fig 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14C281" w14:textId="77777777" w:rsidR="000D44F1" w:rsidRDefault="00D259B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Sup</w:t>
      </w:r>
      <w:r>
        <w:rPr>
          <w:rFonts w:ascii="Times New Roman" w:hAnsi="Times New Roman"/>
          <w:b/>
          <w:bCs/>
          <w:sz w:val="20"/>
          <w:szCs w:val="20"/>
        </w:rPr>
        <w:t>plemental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Figure </w:t>
      </w:r>
      <w:r>
        <w:rPr>
          <w:rFonts w:ascii="Times New Roman" w:hAnsi="Times New Roman" w:hint="eastAsia"/>
          <w:b/>
          <w:bCs/>
          <w:sz w:val="20"/>
          <w:szCs w:val="20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GO enrichment analysis</w:t>
      </w:r>
      <w:r>
        <w:rPr>
          <w:rFonts w:ascii="Times New Roman" w:hAnsi="Times New Roman" w:hint="eastAsia"/>
          <w:bCs/>
          <w:sz w:val="20"/>
          <w:szCs w:val="20"/>
        </w:rPr>
        <w:t xml:space="preserve"> </w:t>
      </w:r>
      <w:r>
        <w:rPr>
          <w:rFonts w:ascii="Times New Roman" w:hAnsi="Times New Roman" w:hint="eastAsia"/>
          <w:sz w:val="20"/>
          <w:szCs w:val="20"/>
        </w:rPr>
        <w:t>of DEGs in</w:t>
      </w:r>
      <w:r>
        <w:rPr>
          <w:rFonts w:ascii="Times New Roman" w:hAnsi="Times New Roman"/>
          <w:sz w:val="20"/>
          <w:szCs w:val="20"/>
        </w:rPr>
        <w:t xml:space="preserve"> leaves </w:t>
      </w:r>
      <w:r>
        <w:rPr>
          <w:rFonts w:ascii="Times New Roman" w:hAnsi="Times New Roman" w:hint="eastAsia"/>
          <w:sz w:val="20"/>
          <w:szCs w:val="20"/>
        </w:rPr>
        <w:t xml:space="preserve">(A) and roots (B) between the </w:t>
      </w:r>
      <w:r>
        <w:rPr>
          <w:rFonts w:ascii="Times New Roman" w:hAnsi="Times New Roman"/>
          <w:sz w:val="20"/>
          <w:szCs w:val="20"/>
        </w:rPr>
        <w:t>wild</w:t>
      </w:r>
      <w:r>
        <w:rPr>
          <w:rFonts w:ascii="Times New Roman" w:hAnsi="Times New Roman" w:hint="eastAsia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type and </w:t>
      </w:r>
      <w:r>
        <w:rPr>
          <w:rFonts w:ascii="Times New Roman" w:hAnsi="Times New Roman" w:hint="eastAsia"/>
          <w:sz w:val="20"/>
          <w:szCs w:val="20"/>
        </w:rPr>
        <w:t xml:space="preserve">the double </w:t>
      </w:r>
      <w:r>
        <w:rPr>
          <w:rFonts w:ascii="Times New Roman" w:hAnsi="Times New Roman"/>
          <w:sz w:val="20"/>
          <w:szCs w:val="20"/>
        </w:rPr>
        <w:t>mutant</w:t>
      </w:r>
      <w:r>
        <w:rPr>
          <w:rFonts w:ascii="Times New Roman" w:hAnsi="Times New Roman" w:hint="eastAsia"/>
          <w:i/>
          <w:sz w:val="20"/>
          <w:szCs w:val="20"/>
        </w:rPr>
        <w:t xml:space="preserve"> ccoaomt6 ccoaomt6l</w:t>
      </w:r>
    </w:p>
    <w:p w14:paraId="57768230" w14:textId="77777777" w:rsidR="000D44F1" w:rsidRDefault="00D259BA">
      <w:r>
        <w:rPr>
          <w:noProof/>
        </w:rPr>
        <w:lastRenderedPageBreak/>
        <w:drawing>
          <wp:inline distT="0" distB="0" distL="0" distR="0" wp14:anchorId="001FA5F0" wp14:editId="592DA9E6">
            <wp:extent cx="5274310" cy="6259830"/>
            <wp:effectExtent l="0" t="0" r="8890" b="1270"/>
            <wp:docPr id="7" name="图片 3" descr="F:\本子+专利+文章稿\文章投稿\2022-烟草\fig 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F:\本子+专利+文章稿\文章投稿\2022-烟草\fig S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6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D5588" w14:textId="77777777" w:rsidR="000D44F1" w:rsidRDefault="00D259B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Supplemental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Figure </w:t>
      </w:r>
      <w:r>
        <w:rPr>
          <w:rFonts w:ascii="Times New Roman" w:hAnsi="Times New Roman" w:hint="eastAsia"/>
          <w:b/>
          <w:bCs/>
          <w:sz w:val="20"/>
          <w:szCs w:val="20"/>
        </w:rPr>
        <w:t>5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hAnsi="Times New Roman" w:hint="eastAsia"/>
          <w:sz w:val="20"/>
          <w:szCs w:val="20"/>
        </w:rPr>
        <w:t>KEGG classification of DEGs in</w:t>
      </w:r>
      <w:r>
        <w:rPr>
          <w:rFonts w:ascii="Times New Roman" w:hAnsi="Times New Roman"/>
          <w:sz w:val="20"/>
          <w:szCs w:val="20"/>
        </w:rPr>
        <w:t xml:space="preserve"> leaves </w:t>
      </w:r>
      <w:r>
        <w:rPr>
          <w:rFonts w:ascii="Times New Roman" w:hAnsi="Times New Roman" w:hint="eastAsia"/>
          <w:sz w:val="20"/>
          <w:szCs w:val="20"/>
        </w:rPr>
        <w:t xml:space="preserve">(A) and roots (B) between the </w:t>
      </w:r>
      <w:r>
        <w:rPr>
          <w:rFonts w:ascii="Times New Roman" w:hAnsi="Times New Roman"/>
          <w:sz w:val="20"/>
          <w:szCs w:val="20"/>
        </w:rPr>
        <w:t>wild</w:t>
      </w:r>
      <w:r>
        <w:rPr>
          <w:rFonts w:ascii="Times New Roman" w:hAnsi="Times New Roman" w:hint="eastAsia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type and </w:t>
      </w:r>
      <w:r>
        <w:rPr>
          <w:rFonts w:ascii="Times New Roman" w:hAnsi="Times New Roman" w:hint="eastAsia"/>
          <w:sz w:val="20"/>
          <w:szCs w:val="20"/>
        </w:rPr>
        <w:t xml:space="preserve">the double </w:t>
      </w:r>
      <w:r>
        <w:rPr>
          <w:rFonts w:ascii="Times New Roman" w:hAnsi="Times New Roman"/>
          <w:sz w:val="20"/>
          <w:szCs w:val="20"/>
        </w:rPr>
        <w:t>mutant</w:t>
      </w:r>
      <w:r>
        <w:rPr>
          <w:rFonts w:ascii="Times New Roman" w:hAnsi="Times New Roman" w:hint="eastAsia"/>
          <w:i/>
          <w:sz w:val="20"/>
          <w:szCs w:val="20"/>
        </w:rPr>
        <w:t xml:space="preserve"> ccoaomt6 ccoaomt6l</w:t>
      </w:r>
    </w:p>
    <w:p w14:paraId="15774A67" w14:textId="77777777" w:rsidR="000D44F1" w:rsidRDefault="000D44F1"/>
    <w:p w14:paraId="1C6E1EF9" w14:textId="77777777" w:rsidR="000D44F1" w:rsidRDefault="000D44F1"/>
    <w:sectPr w:rsidR="000D4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75DCB"/>
    <w:multiLevelType w:val="singleLevel"/>
    <w:tmpl w:val="42475DCB"/>
    <w:lvl w:ilvl="0">
      <w:start w:val="1"/>
      <w:numFmt w:val="upperLetter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JjZTA4NjcxZWVmOWM1NjdhNjY5N2Q1YmI3ODE0YjUifQ=="/>
  </w:docVars>
  <w:rsids>
    <w:rsidRoot w:val="048C5B01"/>
    <w:rsid w:val="000D44F1"/>
    <w:rsid w:val="00D259BA"/>
    <w:rsid w:val="03F92894"/>
    <w:rsid w:val="048C5B01"/>
    <w:rsid w:val="1CEE4B08"/>
    <w:rsid w:val="21E464DA"/>
    <w:rsid w:val="23E638E3"/>
    <w:rsid w:val="3364550D"/>
    <w:rsid w:val="354E2190"/>
    <w:rsid w:val="393B5AA6"/>
    <w:rsid w:val="3C9364C9"/>
    <w:rsid w:val="65E41BD1"/>
    <w:rsid w:val="6F991C7F"/>
    <w:rsid w:val="6FCF01A7"/>
    <w:rsid w:val="7561782C"/>
    <w:rsid w:val="7C3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8ECF6"/>
  <w15:docId w15:val="{4400359F-CF9B-4014-99E9-8CFD8668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464</Words>
  <Characters>2648</Characters>
  <Application>Microsoft Office Word</Application>
  <DocSecurity>0</DocSecurity>
  <Lines>22</Lines>
  <Paragraphs>6</Paragraphs>
  <ScaleCrop>false</ScaleCrop>
  <Company>Frontiers Media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Himesama</dc:creator>
  <cp:lastModifiedBy>Abby Rassette</cp:lastModifiedBy>
  <cp:revision>2</cp:revision>
  <dcterms:created xsi:type="dcterms:W3CDTF">2023-09-13T12:05:00Z</dcterms:created>
  <dcterms:modified xsi:type="dcterms:W3CDTF">2023-09-13T12:05:00Z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2EE6934F458E4F6997E4D9D18D71D209</vt:lpwstr>
  </property>
</Properties>
</file>