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3C43B2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01DD0375" w:rsidR="00817DD6" w:rsidRPr="001549D3" w:rsidRDefault="00EC7C59" w:rsidP="003C43B2">
      <w:pPr>
        <w:pStyle w:val="Title"/>
      </w:pPr>
      <w:r w:rsidRPr="00EC7C59">
        <w:t xml:space="preserve">Effect of swab pooling on the </w:t>
      </w:r>
      <w:proofErr w:type="spellStart"/>
      <w:r w:rsidRPr="00EC7C59">
        <w:t>Accula</w:t>
      </w:r>
      <w:proofErr w:type="spellEnd"/>
      <w:r w:rsidRPr="00EC7C59">
        <w:t xml:space="preserve"> point-of-care RT-PCR for SARS-CoV-2 </w:t>
      </w:r>
      <w:proofErr w:type="gramStart"/>
      <w:r w:rsidRPr="00EC7C59">
        <w:t>detection</w:t>
      </w:r>
      <w:proofErr w:type="gramEnd"/>
    </w:p>
    <w:p w14:paraId="25D2C293" w14:textId="56D78240" w:rsidR="002868E2" w:rsidRPr="00994A3D" w:rsidRDefault="00D457EC" w:rsidP="003C43B2">
      <w:pPr>
        <w:pStyle w:val="AuthorList"/>
      </w:pPr>
      <w:r w:rsidRPr="00281A80">
        <w:t>Moira Lancelot</w:t>
      </w:r>
      <w:r w:rsidRPr="00C5607A">
        <w:rPr>
          <w:vertAlign w:val="superscript"/>
        </w:rPr>
        <w:t>†,1</w:t>
      </w:r>
      <w:r w:rsidRPr="00281A80">
        <w:t>, Kirby Fibben</w:t>
      </w:r>
      <w:r w:rsidRPr="00C5607A">
        <w:rPr>
          <w:vertAlign w:val="superscript"/>
        </w:rPr>
        <w:t>†,2</w:t>
      </w:r>
      <w:r w:rsidRPr="00281A80">
        <w:t>, Julie Sullivan</w:t>
      </w:r>
      <w:r w:rsidRPr="00C5607A">
        <w:rPr>
          <w:vertAlign w:val="superscript"/>
        </w:rPr>
        <w:t>3</w:t>
      </w:r>
      <w:r w:rsidRPr="00281A80">
        <w:t>, William O’Sick</w:t>
      </w:r>
      <w:r w:rsidRPr="00C5607A">
        <w:rPr>
          <w:vertAlign w:val="superscript"/>
        </w:rPr>
        <w:t>1</w:t>
      </w:r>
      <w:r w:rsidRPr="00281A80">
        <w:t>, Kaleb McLendon</w:t>
      </w:r>
      <w:r w:rsidRPr="00C5607A">
        <w:rPr>
          <w:vertAlign w:val="superscript"/>
        </w:rPr>
        <w:t>1</w:t>
      </w:r>
      <w:r w:rsidRPr="00281A80">
        <w:t>, Huixia Wu</w:t>
      </w:r>
      <w:r w:rsidRPr="00C5607A">
        <w:rPr>
          <w:vertAlign w:val="superscript"/>
        </w:rPr>
        <w:t>1</w:t>
      </w:r>
      <w:r w:rsidRPr="00281A80">
        <w:t>, Anuradha Rao</w:t>
      </w:r>
      <w:r w:rsidRPr="00C5607A">
        <w:rPr>
          <w:vertAlign w:val="superscript"/>
        </w:rPr>
        <w:t>3,4</w:t>
      </w:r>
      <w:r w:rsidRPr="00281A80">
        <w:t>, Leda C. Bassit</w:t>
      </w:r>
      <w:r w:rsidRPr="00C5607A">
        <w:rPr>
          <w:vertAlign w:val="superscript"/>
        </w:rPr>
        <w:t>3,4,5</w:t>
      </w:r>
      <w:r w:rsidRPr="00281A80">
        <w:t>, Morgan Greenleaf</w:t>
      </w:r>
      <w:r w:rsidRPr="00C5607A">
        <w:rPr>
          <w:vertAlign w:val="superscript"/>
        </w:rPr>
        <w:t>3</w:t>
      </w:r>
      <w:r w:rsidRPr="00281A80">
        <w:t>, Pamela Miller</w:t>
      </w:r>
      <w:r w:rsidRPr="00C5607A">
        <w:rPr>
          <w:vertAlign w:val="superscript"/>
        </w:rPr>
        <w:t>7</w:t>
      </w:r>
      <w:r w:rsidRPr="00281A80">
        <w:t>, Wolfgang Krull</w:t>
      </w:r>
      <w:r w:rsidRPr="00C5607A">
        <w:rPr>
          <w:vertAlign w:val="superscript"/>
        </w:rPr>
        <w:t>7</w:t>
      </w:r>
      <w:r w:rsidRPr="00281A80">
        <w:t>, Erika Tyburski</w:t>
      </w:r>
      <w:r w:rsidRPr="00C5607A">
        <w:rPr>
          <w:vertAlign w:val="superscript"/>
        </w:rPr>
        <w:t>3</w:t>
      </w:r>
      <w:r w:rsidRPr="00281A80">
        <w:t>, John D. Roback</w:t>
      </w:r>
      <w:r w:rsidRPr="00C5607A">
        <w:rPr>
          <w:vertAlign w:val="superscript"/>
        </w:rPr>
        <w:t>1</w:t>
      </w:r>
      <w:r w:rsidRPr="00281A80">
        <w:t>, Wilbur A. Lam</w:t>
      </w:r>
      <w:r w:rsidRPr="00C5607A">
        <w:rPr>
          <w:vertAlign w:val="superscript"/>
        </w:rPr>
        <w:t>*,2,3,4,8</w:t>
      </w:r>
      <w:r w:rsidRPr="00281A80">
        <w:t>, Gregory L. Damhorst</w:t>
      </w:r>
      <w:r w:rsidRPr="00C5607A">
        <w:rPr>
          <w:vertAlign w:val="superscript"/>
        </w:rPr>
        <w:t>*,3,9</w:t>
      </w:r>
    </w:p>
    <w:p w14:paraId="217F3AE0" w14:textId="1E1F9B5F" w:rsidR="002868E2" w:rsidRDefault="002868E2" w:rsidP="003C43B2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hyperlink r:id="rId12" w:history="1">
        <w:r w:rsidR="00EB63B5" w:rsidRPr="00947585">
          <w:rPr>
            <w:rStyle w:val="Hyperlink"/>
            <w:rFonts w:cs="Times New Roman"/>
          </w:rPr>
          <w:t>gregory.damhorst@emory.edu</w:t>
        </w:r>
      </w:hyperlink>
      <w:r w:rsidR="00EB63B5">
        <w:rPr>
          <w:rFonts w:cs="Times New Roman"/>
        </w:rPr>
        <w:t xml:space="preserve">, </w:t>
      </w:r>
      <w:hyperlink r:id="rId13" w:history="1">
        <w:r w:rsidR="000270A1" w:rsidRPr="00947585">
          <w:rPr>
            <w:rStyle w:val="Hyperlink"/>
            <w:rFonts w:cs="Times New Roman"/>
          </w:rPr>
          <w:t>wilbur.lam@emory.edu</w:t>
        </w:r>
      </w:hyperlink>
    </w:p>
    <w:p w14:paraId="12C65FEC" w14:textId="77777777" w:rsidR="000270A1" w:rsidRPr="00994A3D" w:rsidRDefault="000270A1" w:rsidP="003C43B2">
      <w:pPr>
        <w:spacing w:before="240" w:after="0"/>
        <w:rPr>
          <w:rFonts w:cs="Times New Roman"/>
        </w:rPr>
      </w:pPr>
    </w:p>
    <w:p w14:paraId="5E584EE8" w14:textId="4578BED8" w:rsidR="00994A3D" w:rsidRDefault="00654E8F" w:rsidP="003C43B2">
      <w:pPr>
        <w:pStyle w:val="Heading1"/>
      </w:pPr>
      <w:r w:rsidRPr="00994A3D">
        <w:t>Supplementary Figures and Tables</w:t>
      </w:r>
    </w:p>
    <w:p w14:paraId="443E3C96" w14:textId="77777777" w:rsidR="00E4799E" w:rsidRPr="00E4799E" w:rsidRDefault="00E4799E" w:rsidP="00E4799E"/>
    <w:p w14:paraId="4614302F" w14:textId="501D63FA" w:rsidR="00BE696E" w:rsidRDefault="000D5616" w:rsidP="003C43B2">
      <w:r w:rsidRPr="000D5616">
        <w:rPr>
          <w:b/>
          <w:bCs/>
        </w:rPr>
        <w:t>Supplementary Table 1.</w:t>
      </w:r>
      <w:r>
        <w:t xml:space="preserve"> LOD experiments with antigen tests from our institution using SARS-CoV-2 lineage B.1.2. These results were used to provide context for interpretation of the experiments presented here with the </w:t>
      </w:r>
      <w:proofErr w:type="spellStart"/>
      <w:r>
        <w:t>Accula</w:t>
      </w:r>
      <w:proofErr w:type="spellEnd"/>
      <w:r>
        <w:t xml:space="preserve"> platform. All experiments other than the </w:t>
      </w:r>
      <w:proofErr w:type="spellStart"/>
      <w:r>
        <w:t>Accula</w:t>
      </w:r>
      <w:proofErr w:type="spellEnd"/>
      <w:r>
        <w:t xml:space="preserve"> experiments were performed in matrix simulating specimen derived from a single individual (</w:t>
      </w:r>
      <w:proofErr w:type="gramStart"/>
      <w:r>
        <w:t>i.e.</w:t>
      </w:r>
      <w:proofErr w:type="gramEnd"/>
      <w:r>
        <w:t xml:space="preserve"> INM). INM, individual nasal matrix; PNM, pooled nasal matrix.</w:t>
      </w:r>
      <w:r w:rsidR="0090103F">
        <w:t xml:space="preserve"> </w:t>
      </w:r>
      <w:r>
        <w:t>*Indicates the experiments performed for pooling testing as presented in detail in this manuscript. Experiments for the other assays were performed as part of a separate testing program at our institution.</w:t>
      </w: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4410"/>
        <w:gridCol w:w="2059"/>
      </w:tblGrid>
      <w:tr w:rsidR="00C61F36" w:rsidRPr="00ED0278" w14:paraId="34C33553" w14:textId="77777777" w:rsidTr="003C43B2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A9A811F" w14:textId="77777777" w:rsidR="00C61F36" w:rsidRPr="00ED0278" w:rsidRDefault="00C61F36" w:rsidP="003C43B2">
            <w:pPr>
              <w:spacing w:before="0" w:after="0"/>
              <w:rPr>
                <w:b/>
                <w:bCs/>
                <w:sz w:val="22"/>
              </w:rPr>
            </w:pPr>
            <w:r w:rsidRPr="00ED0278">
              <w:rPr>
                <w:b/>
                <w:bCs/>
                <w:sz w:val="22"/>
              </w:rPr>
              <w:t>Manufacturer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4586CCF" w14:textId="77777777" w:rsidR="00C61F36" w:rsidRPr="00ED0278" w:rsidRDefault="00C61F36" w:rsidP="003C43B2">
            <w:pPr>
              <w:spacing w:before="0" w:after="0"/>
              <w:rPr>
                <w:b/>
                <w:bCs/>
                <w:sz w:val="22"/>
              </w:rPr>
            </w:pPr>
            <w:r w:rsidRPr="00ED0278">
              <w:rPr>
                <w:b/>
                <w:bCs/>
                <w:sz w:val="22"/>
              </w:rPr>
              <w:t>SARS-CoV-2 test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14:paraId="0F532648" w14:textId="77777777" w:rsidR="00C61F36" w:rsidRPr="00ED0278" w:rsidRDefault="00C61F36" w:rsidP="003C43B2">
            <w:pPr>
              <w:spacing w:before="0" w:after="0"/>
              <w:rPr>
                <w:b/>
                <w:bCs/>
                <w:sz w:val="22"/>
              </w:rPr>
            </w:pPr>
            <w:r w:rsidRPr="00ED0278">
              <w:rPr>
                <w:b/>
                <w:bCs/>
                <w:sz w:val="22"/>
              </w:rPr>
              <w:t>Limit of detection</w:t>
            </w:r>
          </w:p>
          <w:p w14:paraId="03F04CE9" w14:textId="77777777" w:rsidR="00C61F36" w:rsidRPr="00ED0278" w:rsidRDefault="00C61F36" w:rsidP="003C43B2">
            <w:pPr>
              <w:spacing w:before="0" w:after="0"/>
              <w:rPr>
                <w:b/>
                <w:bCs/>
                <w:sz w:val="22"/>
              </w:rPr>
            </w:pPr>
            <w:r w:rsidRPr="00ED0278">
              <w:rPr>
                <w:b/>
                <w:bCs/>
                <w:sz w:val="22"/>
              </w:rPr>
              <w:t>(</w:t>
            </w:r>
            <w:proofErr w:type="gramStart"/>
            <w:r w:rsidRPr="00ED0278">
              <w:rPr>
                <w:b/>
                <w:bCs/>
                <w:sz w:val="22"/>
              </w:rPr>
              <w:t>copies</w:t>
            </w:r>
            <w:proofErr w:type="gramEnd"/>
            <w:r w:rsidRPr="00ED0278">
              <w:rPr>
                <w:b/>
                <w:bCs/>
                <w:sz w:val="22"/>
              </w:rPr>
              <w:t xml:space="preserve"> per swab)</w:t>
            </w:r>
          </w:p>
        </w:tc>
      </w:tr>
      <w:tr w:rsidR="00C61F36" w:rsidRPr="00ED0278" w14:paraId="53436364" w14:textId="77777777" w:rsidTr="003C43B2">
        <w:tc>
          <w:tcPr>
            <w:tcW w:w="3780" w:type="dxa"/>
          </w:tcPr>
          <w:p w14:paraId="3FE19136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r w:rsidRPr="00ED0278">
              <w:rPr>
                <w:sz w:val="22"/>
              </w:rPr>
              <w:t>ANP Technologies, Inc.</w:t>
            </w:r>
          </w:p>
        </w:tc>
        <w:tc>
          <w:tcPr>
            <w:tcW w:w="4410" w:type="dxa"/>
          </w:tcPr>
          <w:p w14:paraId="4B8C9936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r w:rsidRPr="00ED0278">
              <w:rPr>
                <w:sz w:val="22"/>
              </w:rPr>
              <w:t>NIDS COVID-19 Antigen Rapid Test Kit</w:t>
            </w:r>
          </w:p>
        </w:tc>
        <w:tc>
          <w:tcPr>
            <w:tcW w:w="2059" w:type="dxa"/>
          </w:tcPr>
          <w:p w14:paraId="6BDE893A" w14:textId="77777777" w:rsidR="00C61F36" w:rsidRPr="00ED0278" w:rsidRDefault="00C61F36" w:rsidP="003C43B2">
            <w:pPr>
              <w:spacing w:before="0" w:after="0"/>
              <w:jc w:val="right"/>
              <w:rPr>
                <w:sz w:val="22"/>
              </w:rPr>
            </w:pPr>
            <w:r w:rsidRPr="00ED0278">
              <w:rPr>
                <w:sz w:val="22"/>
              </w:rPr>
              <w:t>16,214</w:t>
            </w:r>
          </w:p>
        </w:tc>
      </w:tr>
      <w:tr w:rsidR="00C61F36" w:rsidRPr="00ED0278" w14:paraId="37B65710" w14:textId="77777777" w:rsidTr="003C43B2">
        <w:tc>
          <w:tcPr>
            <w:tcW w:w="3780" w:type="dxa"/>
            <w:shd w:val="clear" w:color="auto" w:fill="EEECE1" w:themeFill="background2"/>
          </w:tcPr>
          <w:p w14:paraId="5B48CDC4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proofErr w:type="spellStart"/>
            <w:r w:rsidRPr="00ED0278">
              <w:rPr>
                <w:sz w:val="22"/>
              </w:rPr>
              <w:t>GenBody</w:t>
            </w:r>
            <w:proofErr w:type="spellEnd"/>
            <w:r w:rsidRPr="00ED0278">
              <w:rPr>
                <w:sz w:val="22"/>
              </w:rPr>
              <w:t xml:space="preserve"> Inc.</w:t>
            </w:r>
          </w:p>
        </w:tc>
        <w:tc>
          <w:tcPr>
            <w:tcW w:w="4410" w:type="dxa"/>
            <w:shd w:val="clear" w:color="auto" w:fill="EEECE1" w:themeFill="background2"/>
          </w:tcPr>
          <w:p w14:paraId="130ABB43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proofErr w:type="spellStart"/>
            <w:r w:rsidRPr="00ED0278">
              <w:rPr>
                <w:sz w:val="22"/>
              </w:rPr>
              <w:t>GenBody</w:t>
            </w:r>
            <w:proofErr w:type="spellEnd"/>
            <w:r w:rsidRPr="00ED0278">
              <w:rPr>
                <w:sz w:val="22"/>
              </w:rPr>
              <w:t xml:space="preserve"> COVID-19 Ag</w:t>
            </w:r>
          </w:p>
        </w:tc>
        <w:tc>
          <w:tcPr>
            <w:tcW w:w="2059" w:type="dxa"/>
            <w:shd w:val="clear" w:color="auto" w:fill="EEECE1" w:themeFill="background2"/>
          </w:tcPr>
          <w:p w14:paraId="1DBEB1C3" w14:textId="77777777" w:rsidR="00C61F36" w:rsidRPr="00ED0278" w:rsidRDefault="00C61F36" w:rsidP="003C43B2">
            <w:pPr>
              <w:spacing w:before="0" w:after="0"/>
              <w:jc w:val="right"/>
              <w:rPr>
                <w:sz w:val="22"/>
              </w:rPr>
            </w:pPr>
            <w:r w:rsidRPr="00ED0278">
              <w:rPr>
                <w:sz w:val="22"/>
              </w:rPr>
              <w:t>81,143</w:t>
            </w:r>
          </w:p>
        </w:tc>
      </w:tr>
      <w:tr w:rsidR="00C61F36" w:rsidRPr="00ED0278" w14:paraId="1F36AE65" w14:textId="77777777" w:rsidTr="003C43B2">
        <w:tc>
          <w:tcPr>
            <w:tcW w:w="3780" w:type="dxa"/>
          </w:tcPr>
          <w:p w14:paraId="6936D6C1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proofErr w:type="spellStart"/>
            <w:r w:rsidRPr="00ED0278">
              <w:rPr>
                <w:sz w:val="22"/>
              </w:rPr>
              <w:t>Xtrava</w:t>
            </w:r>
            <w:proofErr w:type="spellEnd"/>
            <w:r w:rsidRPr="00ED0278">
              <w:rPr>
                <w:sz w:val="22"/>
              </w:rPr>
              <w:t xml:space="preserve"> Health</w:t>
            </w:r>
          </w:p>
        </w:tc>
        <w:tc>
          <w:tcPr>
            <w:tcW w:w="4410" w:type="dxa"/>
          </w:tcPr>
          <w:p w14:paraId="77D99110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r w:rsidRPr="00ED0278">
              <w:rPr>
                <w:sz w:val="22"/>
              </w:rPr>
              <w:t>SPERA COVID-19 Ag Test</w:t>
            </w:r>
          </w:p>
        </w:tc>
        <w:tc>
          <w:tcPr>
            <w:tcW w:w="2059" w:type="dxa"/>
          </w:tcPr>
          <w:p w14:paraId="709F02AE" w14:textId="77777777" w:rsidR="00C61F36" w:rsidRPr="00ED0278" w:rsidRDefault="00C61F36" w:rsidP="003C43B2">
            <w:pPr>
              <w:spacing w:before="0" w:after="0"/>
              <w:jc w:val="right"/>
              <w:rPr>
                <w:sz w:val="22"/>
              </w:rPr>
            </w:pPr>
            <w:r w:rsidRPr="00ED0278">
              <w:rPr>
                <w:sz w:val="22"/>
              </w:rPr>
              <w:t>21,071</w:t>
            </w:r>
          </w:p>
        </w:tc>
      </w:tr>
      <w:tr w:rsidR="00C61F36" w:rsidRPr="00ED0278" w14:paraId="4627ADAD" w14:textId="77777777" w:rsidTr="003C43B2">
        <w:tc>
          <w:tcPr>
            <w:tcW w:w="3780" w:type="dxa"/>
            <w:shd w:val="clear" w:color="auto" w:fill="EEECE1" w:themeFill="background2"/>
          </w:tcPr>
          <w:p w14:paraId="0FCD22CC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proofErr w:type="spellStart"/>
            <w:r w:rsidRPr="00ED0278">
              <w:rPr>
                <w:sz w:val="22"/>
              </w:rPr>
              <w:t>Quidel</w:t>
            </w:r>
            <w:proofErr w:type="spellEnd"/>
            <w:r w:rsidRPr="00ED0278">
              <w:rPr>
                <w:sz w:val="22"/>
              </w:rPr>
              <w:t xml:space="preserve"> Corporation</w:t>
            </w:r>
          </w:p>
        </w:tc>
        <w:tc>
          <w:tcPr>
            <w:tcW w:w="4410" w:type="dxa"/>
            <w:shd w:val="clear" w:color="auto" w:fill="EEECE1" w:themeFill="background2"/>
          </w:tcPr>
          <w:p w14:paraId="4BBCB83C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proofErr w:type="spellStart"/>
            <w:r w:rsidRPr="00ED0278">
              <w:rPr>
                <w:sz w:val="22"/>
              </w:rPr>
              <w:t>QuickVue</w:t>
            </w:r>
            <w:proofErr w:type="spellEnd"/>
            <w:r>
              <w:rPr>
                <w:sz w:val="22"/>
              </w:rPr>
              <w:t xml:space="preserve"> </w:t>
            </w:r>
            <w:r w:rsidRPr="005527BB">
              <w:rPr>
                <w:sz w:val="22"/>
              </w:rPr>
              <w:t>SARS Antigen Test</w:t>
            </w:r>
          </w:p>
        </w:tc>
        <w:tc>
          <w:tcPr>
            <w:tcW w:w="2059" w:type="dxa"/>
            <w:shd w:val="clear" w:color="auto" w:fill="EEECE1" w:themeFill="background2"/>
          </w:tcPr>
          <w:p w14:paraId="21F4C49E" w14:textId="77777777" w:rsidR="00C61F36" w:rsidRPr="00ED0278" w:rsidRDefault="00C61F36" w:rsidP="003C43B2">
            <w:pPr>
              <w:spacing w:before="0" w:after="0"/>
              <w:jc w:val="right"/>
              <w:rPr>
                <w:sz w:val="22"/>
              </w:rPr>
            </w:pPr>
            <w:r w:rsidRPr="00ED0278">
              <w:rPr>
                <w:sz w:val="22"/>
              </w:rPr>
              <w:t>116,500</w:t>
            </w:r>
          </w:p>
        </w:tc>
      </w:tr>
      <w:tr w:rsidR="00C61F36" w:rsidRPr="00ED0278" w14:paraId="718170B5" w14:textId="77777777" w:rsidTr="003C43B2">
        <w:tc>
          <w:tcPr>
            <w:tcW w:w="3780" w:type="dxa"/>
          </w:tcPr>
          <w:p w14:paraId="7B3E9C3D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proofErr w:type="spellStart"/>
            <w:r w:rsidRPr="00ED0278">
              <w:rPr>
                <w:sz w:val="22"/>
              </w:rPr>
              <w:t>Quidel</w:t>
            </w:r>
            <w:proofErr w:type="spellEnd"/>
            <w:r w:rsidRPr="00ED0278">
              <w:rPr>
                <w:sz w:val="22"/>
              </w:rPr>
              <w:t xml:space="preserve"> Corporation</w:t>
            </w:r>
          </w:p>
        </w:tc>
        <w:tc>
          <w:tcPr>
            <w:tcW w:w="4410" w:type="dxa"/>
          </w:tcPr>
          <w:p w14:paraId="2BFCBA8F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r w:rsidRPr="00B961D1">
              <w:rPr>
                <w:sz w:val="22"/>
              </w:rPr>
              <w:t>Sofia 2 SARS Antigen FIA</w:t>
            </w:r>
          </w:p>
        </w:tc>
        <w:tc>
          <w:tcPr>
            <w:tcW w:w="2059" w:type="dxa"/>
          </w:tcPr>
          <w:p w14:paraId="198DD718" w14:textId="77777777" w:rsidR="00C61F36" w:rsidRPr="00ED0278" w:rsidRDefault="00C61F36" w:rsidP="003C43B2">
            <w:pPr>
              <w:spacing w:before="0" w:after="0"/>
              <w:jc w:val="right"/>
              <w:rPr>
                <w:sz w:val="22"/>
              </w:rPr>
            </w:pPr>
            <w:r w:rsidRPr="00ED0278">
              <w:rPr>
                <w:sz w:val="22"/>
              </w:rPr>
              <w:t>116,500</w:t>
            </w:r>
          </w:p>
        </w:tc>
      </w:tr>
      <w:tr w:rsidR="00C61F36" w:rsidRPr="00ED0278" w14:paraId="42CFEE45" w14:textId="77777777" w:rsidTr="003C43B2">
        <w:tc>
          <w:tcPr>
            <w:tcW w:w="3780" w:type="dxa"/>
            <w:shd w:val="clear" w:color="auto" w:fill="EEECE1" w:themeFill="background2"/>
          </w:tcPr>
          <w:p w14:paraId="0DCDCA6A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r w:rsidRPr="00ED0278">
              <w:rPr>
                <w:sz w:val="22"/>
              </w:rPr>
              <w:t xml:space="preserve">Becton, </w:t>
            </w:r>
            <w:proofErr w:type="gramStart"/>
            <w:r w:rsidRPr="00ED0278">
              <w:rPr>
                <w:sz w:val="22"/>
              </w:rPr>
              <w:t>Dickinson</w:t>
            </w:r>
            <w:proofErr w:type="gramEnd"/>
            <w:r w:rsidRPr="00ED0278">
              <w:rPr>
                <w:sz w:val="22"/>
              </w:rPr>
              <w:t xml:space="preserve"> and Company (BD)</w:t>
            </w:r>
          </w:p>
        </w:tc>
        <w:tc>
          <w:tcPr>
            <w:tcW w:w="4410" w:type="dxa"/>
            <w:shd w:val="clear" w:color="auto" w:fill="EEECE1" w:themeFill="background2"/>
          </w:tcPr>
          <w:p w14:paraId="2ADB0553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r w:rsidRPr="00ED0278">
              <w:rPr>
                <w:sz w:val="22"/>
              </w:rPr>
              <w:t xml:space="preserve">BD </w:t>
            </w:r>
            <w:proofErr w:type="spellStart"/>
            <w:r w:rsidRPr="00ED0278">
              <w:rPr>
                <w:sz w:val="22"/>
              </w:rPr>
              <w:t>Veritor</w:t>
            </w:r>
            <w:proofErr w:type="spellEnd"/>
            <w:r w:rsidRPr="00ED0278">
              <w:rPr>
                <w:sz w:val="22"/>
              </w:rPr>
              <w:t xml:space="preserve"> At-Home COVID-19 Test</w:t>
            </w:r>
          </w:p>
        </w:tc>
        <w:tc>
          <w:tcPr>
            <w:tcW w:w="2059" w:type="dxa"/>
            <w:shd w:val="clear" w:color="auto" w:fill="EEECE1" w:themeFill="background2"/>
          </w:tcPr>
          <w:p w14:paraId="2F67F933" w14:textId="77777777" w:rsidR="00C61F36" w:rsidRPr="00ED0278" w:rsidRDefault="00C61F36" w:rsidP="003C43B2">
            <w:pPr>
              <w:spacing w:before="0" w:after="0"/>
              <w:jc w:val="right"/>
              <w:rPr>
                <w:sz w:val="22"/>
              </w:rPr>
            </w:pPr>
            <w:r w:rsidRPr="00ED0278">
              <w:rPr>
                <w:sz w:val="22"/>
              </w:rPr>
              <w:t>18,571</w:t>
            </w:r>
          </w:p>
        </w:tc>
      </w:tr>
      <w:tr w:rsidR="00C61F36" w:rsidRPr="00ED0278" w14:paraId="7F0B9B58" w14:textId="77777777" w:rsidTr="003C43B2">
        <w:tc>
          <w:tcPr>
            <w:tcW w:w="3780" w:type="dxa"/>
          </w:tcPr>
          <w:p w14:paraId="3DF4B79D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r w:rsidRPr="00ED0278">
              <w:rPr>
                <w:sz w:val="22"/>
              </w:rPr>
              <w:t xml:space="preserve">Becton, </w:t>
            </w:r>
            <w:proofErr w:type="gramStart"/>
            <w:r w:rsidRPr="00ED0278">
              <w:rPr>
                <w:sz w:val="22"/>
              </w:rPr>
              <w:t>Dickinson</w:t>
            </w:r>
            <w:proofErr w:type="gramEnd"/>
            <w:r w:rsidRPr="00ED0278">
              <w:rPr>
                <w:sz w:val="22"/>
              </w:rPr>
              <w:t xml:space="preserve"> and Company (BD)</w:t>
            </w:r>
          </w:p>
        </w:tc>
        <w:tc>
          <w:tcPr>
            <w:tcW w:w="4410" w:type="dxa"/>
          </w:tcPr>
          <w:p w14:paraId="7034E71C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r w:rsidRPr="00ED0278">
              <w:rPr>
                <w:sz w:val="22"/>
              </w:rPr>
              <w:t xml:space="preserve">BD </w:t>
            </w:r>
            <w:proofErr w:type="spellStart"/>
            <w:r w:rsidRPr="00ED0278">
              <w:rPr>
                <w:sz w:val="22"/>
              </w:rPr>
              <w:t>Veritor</w:t>
            </w:r>
            <w:proofErr w:type="spellEnd"/>
            <w:r w:rsidRPr="00ED0278">
              <w:rPr>
                <w:sz w:val="22"/>
              </w:rPr>
              <w:t xml:space="preserve"> System for Rapid Detection of SARS-CoV-2</w:t>
            </w:r>
          </w:p>
        </w:tc>
        <w:tc>
          <w:tcPr>
            <w:tcW w:w="2059" w:type="dxa"/>
          </w:tcPr>
          <w:p w14:paraId="38931EA6" w14:textId="77777777" w:rsidR="00C61F36" w:rsidRPr="00ED0278" w:rsidRDefault="00C61F36" w:rsidP="003C43B2">
            <w:pPr>
              <w:spacing w:before="0" w:after="0"/>
              <w:jc w:val="right"/>
              <w:rPr>
                <w:sz w:val="22"/>
              </w:rPr>
            </w:pPr>
            <w:r w:rsidRPr="00ED0278">
              <w:rPr>
                <w:sz w:val="22"/>
              </w:rPr>
              <w:t>18,571</w:t>
            </w:r>
          </w:p>
        </w:tc>
      </w:tr>
      <w:tr w:rsidR="00C61F36" w:rsidRPr="00ED0278" w14:paraId="49BACBF1" w14:textId="77777777" w:rsidTr="003C43B2">
        <w:tc>
          <w:tcPr>
            <w:tcW w:w="3780" w:type="dxa"/>
            <w:shd w:val="clear" w:color="auto" w:fill="EEECE1" w:themeFill="background2"/>
          </w:tcPr>
          <w:p w14:paraId="7B538563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r w:rsidRPr="00ED0278">
              <w:rPr>
                <w:sz w:val="22"/>
              </w:rPr>
              <w:t>Qorvo Biotechnologies, LLC.</w:t>
            </w:r>
          </w:p>
        </w:tc>
        <w:tc>
          <w:tcPr>
            <w:tcW w:w="4410" w:type="dxa"/>
            <w:shd w:val="clear" w:color="auto" w:fill="EEECE1" w:themeFill="background2"/>
          </w:tcPr>
          <w:p w14:paraId="4E312212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r w:rsidRPr="00ED0278">
              <w:rPr>
                <w:sz w:val="22"/>
              </w:rPr>
              <w:t>Omnia SARS-CoV-2 Antigen Test</w:t>
            </w:r>
          </w:p>
        </w:tc>
        <w:tc>
          <w:tcPr>
            <w:tcW w:w="2059" w:type="dxa"/>
            <w:shd w:val="clear" w:color="auto" w:fill="EEECE1" w:themeFill="background2"/>
          </w:tcPr>
          <w:p w14:paraId="4DF4F729" w14:textId="77777777" w:rsidR="00C61F36" w:rsidRPr="00ED0278" w:rsidRDefault="00C61F36" w:rsidP="003C43B2">
            <w:pPr>
              <w:spacing w:before="0" w:after="0"/>
              <w:jc w:val="right"/>
              <w:rPr>
                <w:sz w:val="22"/>
              </w:rPr>
            </w:pPr>
            <w:r w:rsidRPr="00ED0278">
              <w:rPr>
                <w:sz w:val="22"/>
              </w:rPr>
              <w:t>6,829</w:t>
            </w:r>
          </w:p>
        </w:tc>
      </w:tr>
      <w:tr w:rsidR="00C61F36" w:rsidRPr="00ED0278" w14:paraId="72AD03D9" w14:textId="77777777" w:rsidTr="003C43B2">
        <w:tc>
          <w:tcPr>
            <w:tcW w:w="3780" w:type="dxa"/>
          </w:tcPr>
          <w:p w14:paraId="1E2EB38B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proofErr w:type="spellStart"/>
            <w:r w:rsidRPr="00ED0278">
              <w:rPr>
                <w:sz w:val="22"/>
              </w:rPr>
              <w:t>Thermo</w:t>
            </w:r>
            <w:proofErr w:type="spellEnd"/>
            <w:r w:rsidRPr="00ED0278">
              <w:rPr>
                <w:sz w:val="22"/>
              </w:rPr>
              <w:t xml:space="preserve"> Fisher Scientific Inc.</w:t>
            </w:r>
          </w:p>
        </w:tc>
        <w:tc>
          <w:tcPr>
            <w:tcW w:w="4410" w:type="dxa"/>
          </w:tcPr>
          <w:p w14:paraId="00AAB0EB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proofErr w:type="spellStart"/>
            <w:r w:rsidRPr="00ED0278">
              <w:rPr>
                <w:sz w:val="22"/>
              </w:rPr>
              <w:t>Accula</w:t>
            </w:r>
            <w:proofErr w:type="spellEnd"/>
            <w:r w:rsidRPr="00ED0278">
              <w:rPr>
                <w:sz w:val="22"/>
              </w:rPr>
              <w:t xml:space="preserve"> SARS-Cov-2 Test, INM*</w:t>
            </w:r>
          </w:p>
        </w:tc>
        <w:tc>
          <w:tcPr>
            <w:tcW w:w="2059" w:type="dxa"/>
          </w:tcPr>
          <w:p w14:paraId="2F51DD8C" w14:textId="77777777" w:rsidR="00C61F36" w:rsidRPr="00ED0278" w:rsidRDefault="00C61F36" w:rsidP="003C43B2">
            <w:pPr>
              <w:spacing w:before="0" w:after="0"/>
              <w:jc w:val="right"/>
              <w:rPr>
                <w:sz w:val="22"/>
              </w:rPr>
            </w:pPr>
            <w:r w:rsidRPr="00ED0278">
              <w:rPr>
                <w:sz w:val="22"/>
              </w:rPr>
              <w:t>2,250*</w:t>
            </w:r>
          </w:p>
        </w:tc>
      </w:tr>
      <w:tr w:rsidR="00C61F36" w:rsidRPr="00ED0278" w14:paraId="2F68EA5D" w14:textId="77777777" w:rsidTr="003C43B2">
        <w:tc>
          <w:tcPr>
            <w:tcW w:w="378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27985D1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proofErr w:type="spellStart"/>
            <w:r w:rsidRPr="00ED0278">
              <w:rPr>
                <w:sz w:val="22"/>
              </w:rPr>
              <w:t>Thermo</w:t>
            </w:r>
            <w:proofErr w:type="spellEnd"/>
            <w:r w:rsidRPr="00ED0278">
              <w:rPr>
                <w:sz w:val="22"/>
              </w:rPr>
              <w:t xml:space="preserve"> Fisher Scientific Inc.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B0F8D66" w14:textId="77777777" w:rsidR="00C61F36" w:rsidRPr="00ED0278" w:rsidRDefault="00C61F36" w:rsidP="003C43B2">
            <w:pPr>
              <w:spacing w:before="0" w:after="0"/>
              <w:rPr>
                <w:sz w:val="22"/>
              </w:rPr>
            </w:pPr>
            <w:proofErr w:type="spellStart"/>
            <w:r w:rsidRPr="00ED0278">
              <w:rPr>
                <w:sz w:val="22"/>
              </w:rPr>
              <w:t>Accula</w:t>
            </w:r>
            <w:proofErr w:type="spellEnd"/>
            <w:r w:rsidRPr="00ED0278">
              <w:rPr>
                <w:sz w:val="22"/>
              </w:rPr>
              <w:t xml:space="preserve"> SARS-Cov-2 Test, PNM*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EB0603D" w14:textId="77777777" w:rsidR="00C61F36" w:rsidRPr="00ED0278" w:rsidRDefault="00C61F36" w:rsidP="003C43B2">
            <w:pPr>
              <w:spacing w:before="0" w:after="0"/>
              <w:jc w:val="right"/>
              <w:rPr>
                <w:sz w:val="22"/>
              </w:rPr>
            </w:pPr>
            <w:r w:rsidRPr="00ED0278">
              <w:rPr>
                <w:sz w:val="22"/>
              </w:rPr>
              <w:t>3,750*</w:t>
            </w:r>
          </w:p>
        </w:tc>
      </w:tr>
    </w:tbl>
    <w:p w14:paraId="32E0BB6B" w14:textId="1719963D" w:rsidR="00C4660D" w:rsidRDefault="00221478" w:rsidP="003C43B2">
      <w:r>
        <w:rPr>
          <w:noProof/>
          <w:sz w:val="22"/>
        </w:rPr>
        <w:lastRenderedPageBreak/>
        <w:drawing>
          <wp:inline distT="0" distB="0" distL="0" distR="0" wp14:anchorId="2B7C8441" wp14:editId="486CF5AC">
            <wp:extent cx="6208395" cy="237456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18"/>
                    <a:stretch/>
                  </pic:blipFill>
                  <pic:spPr bwMode="auto">
                    <a:xfrm>
                      <a:off x="0" y="0"/>
                      <a:ext cx="6208395" cy="237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8D23CD" w14:textId="3488D9EA" w:rsidR="00D01CA1" w:rsidRDefault="00D01CA1" w:rsidP="003C43B2">
      <w:pPr>
        <w:jc w:val="both"/>
        <w:rPr>
          <w:sz w:val="22"/>
        </w:rPr>
      </w:pPr>
      <w:r>
        <w:rPr>
          <w:b/>
          <w:bCs/>
          <w:sz w:val="22"/>
        </w:rPr>
        <w:t xml:space="preserve">Supplementary Figure 1. </w:t>
      </w:r>
      <w:r w:rsidRPr="008E5983">
        <w:rPr>
          <w:sz w:val="22"/>
        </w:rPr>
        <w:t xml:space="preserve">Schematic of sample pooling </w:t>
      </w:r>
      <w:r>
        <w:rPr>
          <w:sz w:val="22"/>
        </w:rPr>
        <w:t xml:space="preserve">(left) </w:t>
      </w:r>
      <w:r w:rsidRPr="008E5983">
        <w:rPr>
          <w:sz w:val="22"/>
        </w:rPr>
        <w:t>versus swab pooling</w:t>
      </w:r>
      <w:r>
        <w:rPr>
          <w:sz w:val="22"/>
        </w:rPr>
        <w:t xml:space="preserve"> (right)</w:t>
      </w:r>
      <w:r w:rsidRPr="008E5983">
        <w:rPr>
          <w:sz w:val="22"/>
        </w:rPr>
        <w:t>.</w:t>
      </w:r>
    </w:p>
    <w:p w14:paraId="45403B7A" w14:textId="77777777" w:rsidR="00164ECA" w:rsidRDefault="00164ECA" w:rsidP="003C43B2"/>
    <w:p w14:paraId="634C307F" w14:textId="6E073E3F" w:rsidR="00164ECA" w:rsidRDefault="00164ECA" w:rsidP="003C43B2"/>
    <w:p w14:paraId="26EBF73E" w14:textId="77777777" w:rsidR="00E4799E" w:rsidRDefault="00E4799E" w:rsidP="003C43B2"/>
    <w:p w14:paraId="3BA1C520" w14:textId="77777777" w:rsidR="00164ECA" w:rsidRDefault="00164ECA" w:rsidP="003C43B2"/>
    <w:p w14:paraId="1C322524" w14:textId="7CED6DFF" w:rsidR="00BE696E" w:rsidRDefault="001A69B5" w:rsidP="003C43B2">
      <w:r>
        <w:rPr>
          <w:noProof/>
        </w:rPr>
        <w:drawing>
          <wp:inline distT="0" distB="0" distL="0" distR="0" wp14:anchorId="1A9201AE" wp14:editId="6E57427B">
            <wp:extent cx="4648200" cy="2701925"/>
            <wp:effectExtent l="0" t="0" r="0" b="317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AC1DC0E8-1AE9-F14E-B61E-2A72BAF8AD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8F1AED1" w14:textId="0E6A6C4F" w:rsidR="00DE23E8" w:rsidRPr="001549D3" w:rsidRDefault="003E1D43" w:rsidP="003C43B2">
      <w:pPr>
        <w:jc w:val="both"/>
      </w:pPr>
      <w:r w:rsidRPr="00A94D05">
        <w:rPr>
          <w:b/>
          <w:bCs/>
          <w:sz w:val="22"/>
        </w:rPr>
        <w:t>Supplementary Figure 2.</w:t>
      </w:r>
      <w:r>
        <w:rPr>
          <w:sz w:val="22"/>
        </w:rPr>
        <w:t xml:space="preserve"> Standard curve used for quantification of viral RNA in LOD comparison experiments presented in Figure 5. Cp = crossing point. </w:t>
      </w:r>
    </w:p>
    <w:sectPr w:rsidR="00DE23E8" w:rsidRPr="001549D3" w:rsidSect="0093429D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70A1"/>
    <w:rsid w:val="00034304"/>
    <w:rsid w:val="00035434"/>
    <w:rsid w:val="00052A14"/>
    <w:rsid w:val="00077D53"/>
    <w:rsid w:val="000D5616"/>
    <w:rsid w:val="00105FD9"/>
    <w:rsid w:val="00117666"/>
    <w:rsid w:val="001549D3"/>
    <w:rsid w:val="00160065"/>
    <w:rsid w:val="00164ECA"/>
    <w:rsid w:val="00177D84"/>
    <w:rsid w:val="001A69B5"/>
    <w:rsid w:val="00221478"/>
    <w:rsid w:val="00240383"/>
    <w:rsid w:val="00267D18"/>
    <w:rsid w:val="002868E2"/>
    <w:rsid w:val="002869C3"/>
    <w:rsid w:val="002936E4"/>
    <w:rsid w:val="002B4A57"/>
    <w:rsid w:val="002C74CA"/>
    <w:rsid w:val="003544FB"/>
    <w:rsid w:val="003C43B2"/>
    <w:rsid w:val="003D2F2D"/>
    <w:rsid w:val="003E1D43"/>
    <w:rsid w:val="00401590"/>
    <w:rsid w:val="00447801"/>
    <w:rsid w:val="00452E9C"/>
    <w:rsid w:val="004735C8"/>
    <w:rsid w:val="004961FF"/>
    <w:rsid w:val="00517A89"/>
    <w:rsid w:val="005250F2"/>
    <w:rsid w:val="00590943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A43B3"/>
    <w:rsid w:val="0090103F"/>
    <w:rsid w:val="00901D88"/>
    <w:rsid w:val="009151AA"/>
    <w:rsid w:val="0093429D"/>
    <w:rsid w:val="00943573"/>
    <w:rsid w:val="00970F7D"/>
    <w:rsid w:val="00991FCE"/>
    <w:rsid w:val="00994A3D"/>
    <w:rsid w:val="009A7B05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E696E"/>
    <w:rsid w:val="00C02076"/>
    <w:rsid w:val="00C4660D"/>
    <w:rsid w:val="00C52A7B"/>
    <w:rsid w:val="00C56BAF"/>
    <w:rsid w:val="00C61F36"/>
    <w:rsid w:val="00C679AA"/>
    <w:rsid w:val="00C75972"/>
    <w:rsid w:val="00CC0A3A"/>
    <w:rsid w:val="00CD066B"/>
    <w:rsid w:val="00CE4FEE"/>
    <w:rsid w:val="00D01CA1"/>
    <w:rsid w:val="00D05CDF"/>
    <w:rsid w:val="00D457EC"/>
    <w:rsid w:val="00DB59C3"/>
    <w:rsid w:val="00DC259A"/>
    <w:rsid w:val="00DE23E8"/>
    <w:rsid w:val="00E4799E"/>
    <w:rsid w:val="00E52377"/>
    <w:rsid w:val="00E64E17"/>
    <w:rsid w:val="00E866C9"/>
    <w:rsid w:val="00EA3D3C"/>
    <w:rsid w:val="00EB63B5"/>
    <w:rsid w:val="00EC7C59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6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ilbur.lam@emory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gregory.damhorst@emory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damh\AppData\Local\Microsoft\Windows\INetCache\Content.Outlook\GP0FCV5H\BEI%20Standard%20Cur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1485542432195975"/>
                  <c:y val="9.4548702245552646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Sheet1!$E$2:$E$9</c:f>
              <c:numCache>
                <c:formatCode>0.0</c:formatCode>
                <c:ptCount val="8"/>
                <c:pt idx="0">
                  <c:v>1.0211892990699381</c:v>
                </c:pt>
                <c:pt idx="1">
                  <c:v>2.0211892990699383</c:v>
                </c:pt>
                <c:pt idx="2">
                  <c:v>3.0211892990699383</c:v>
                </c:pt>
                <c:pt idx="3">
                  <c:v>4.0211892990699383</c:v>
                </c:pt>
                <c:pt idx="4">
                  <c:v>5.0211892990699383</c:v>
                </c:pt>
                <c:pt idx="5">
                  <c:v>6.0211892990699383</c:v>
                </c:pt>
                <c:pt idx="6">
                  <c:v>7.0211892990699383</c:v>
                </c:pt>
                <c:pt idx="7">
                  <c:v>8.0211892990699383</c:v>
                </c:pt>
              </c:numCache>
            </c:numRef>
          </c:xVal>
          <c:yVal>
            <c:numRef>
              <c:f>Sheet1!$H$2:$H$9</c:f>
              <c:numCache>
                <c:formatCode>0.0</c:formatCode>
                <c:ptCount val="8"/>
                <c:pt idx="0">
                  <c:v>37.625</c:v>
                </c:pt>
                <c:pt idx="1">
                  <c:v>33.15</c:v>
                </c:pt>
                <c:pt idx="2">
                  <c:v>31.074999999999999</c:v>
                </c:pt>
                <c:pt idx="3">
                  <c:v>28.314999999999998</c:v>
                </c:pt>
                <c:pt idx="4">
                  <c:v>25.509999999999998</c:v>
                </c:pt>
                <c:pt idx="5">
                  <c:v>23.045000000000002</c:v>
                </c:pt>
                <c:pt idx="6">
                  <c:v>19.66</c:v>
                </c:pt>
                <c:pt idx="7">
                  <c:v>16.78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0F2-4B9E-9171-5CBDB77BEE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6360272"/>
        <c:axId val="1635868464"/>
      </c:scatterChart>
      <c:valAx>
        <c:axId val="1636360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Log10 RNA copies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5868464"/>
        <c:crosses val="autoZero"/>
        <c:crossBetween val="midCat"/>
      </c:valAx>
      <c:valAx>
        <c:axId val="16358684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Cp value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63602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DAMHORST, GREGORY</cp:lastModifiedBy>
  <cp:revision>27</cp:revision>
  <cp:lastPrinted>2013-10-03T12:51:00Z</cp:lastPrinted>
  <dcterms:created xsi:type="dcterms:W3CDTF">2023-05-08T14:39:00Z</dcterms:created>
  <dcterms:modified xsi:type="dcterms:W3CDTF">2023-05-08T14:45:00Z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