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5E437" w14:textId="2560DFAB" w:rsidR="00F77D7A" w:rsidRDefault="00F77D7A" w:rsidP="00F77D7A">
      <w:pPr>
        <w:spacing w:line="480" w:lineRule="auto"/>
        <w:rPr>
          <w:rFonts w:ascii="Arial" w:hAnsi="Arial" w:cs="Arial"/>
          <w:b/>
        </w:rPr>
      </w:pPr>
      <w:r>
        <w:rPr>
          <w:rFonts w:ascii="Arial" w:hAnsi="Arial" w:cs="Arial"/>
          <w:b/>
        </w:rPr>
        <w:t xml:space="preserve">Sucrose-induced hyperglycemia dysregulates intestinal zinc metabolism and integrity: </w:t>
      </w:r>
      <w:r w:rsidRPr="00586DBC">
        <w:rPr>
          <w:rFonts w:ascii="Arial" w:hAnsi="Arial" w:cs="Arial"/>
          <w:b/>
        </w:rPr>
        <w:t xml:space="preserve">risk factors for </w:t>
      </w:r>
      <w:r>
        <w:rPr>
          <w:rFonts w:ascii="Arial" w:hAnsi="Arial" w:cs="Arial"/>
          <w:b/>
        </w:rPr>
        <w:t>Inflammatory chronic</w:t>
      </w:r>
      <w:r w:rsidRPr="00A654D7">
        <w:rPr>
          <w:rFonts w:ascii="Arial" w:hAnsi="Arial" w:cs="Arial"/>
          <w:b/>
        </w:rPr>
        <w:t xml:space="preserve"> disease</w:t>
      </w:r>
      <w:r>
        <w:rPr>
          <w:rFonts w:ascii="Arial" w:hAnsi="Arial" w:cs="Arial"/>
          <w:b/>
        </w:rPr>
        <w:t>s</w:t>
      </w:r>
    </w:p>
    <w:p w14:paraId="49A536DF" w14:textId="77777777" w:rsidR="00F77D7A" w:rsidRDefault="00F77D7A" w:rsidP="00F77D7A">
      <w:pPr>
        <w:spacing w:line="480" w:lineRule="auto"/>
        <w:rPr>
          <w:rFonts w:ascii="Arial" w:hAnsi="Arial" w:cs="Arial"/>
          <w:vertAlign w:val="superscript"/>
        </w:rPr>
      </w:pPr>
      <w:r w:rsidRPr="00B71514">
        <w:rPr>
          <w:rFonts w:ascii="Arial" w:hAnsi="Arial" w:cs="Arial"/>
        </w:rPr>
        <w:t>Samuel Blake Mitchel</w:t>
      </w:r>
      <w:r>
        <w:rPr>
          <w:rFonts w:ascii="Arial" w:hAnsi="Arial" w:cs="Arial"/>
        </w:rPr>
        <w:t>l</w:t>
      </w:r>
      <w:r>
        <w:rPr>
          <w:rFonts w:ascii="Arial" w:hAnsi="Arial" w:cs="Arial"/>
          <w:vertAlign w:val="superscript"/>
        </w:rPr>
        <w:t>1#</w:t>
      </w:r>
      <w:r w:rsidRPr="00B71514">
        <w:rPr>
          <w:rFonts w:ascii="Arial" w:hAnsi="Arial" w:cs="Arial"/>
        </w:rPr>
        <w:t xml:space="preserve">, </w:t>
      </w:r>
      <w:r w:rsidRPr="00594F34">
        <w:rPr>
          <w:rFonts w:ascii="Arial" w:hAnsi="Arial" w:cs="Arial"/>
        </w:rPr>
        <w:t>Yu</w:t>
      </w:r>
      <w:r>
        <w:rPr>
          <w:rFonts w:ascii="Arial" w:hAnsi="Arial" w:cs="Arial"/>
        </w:rPr>
        <w:t>-Han Hung</w:t>
      </w:r>
      <w:r>
        <w:rPr>
          <w:rFonts w:ascii="Arial" w:hAnsi="Arial" w:cs="Arial"/>
          <w:vertAlign w:val="superscript"/>
        </w:rPr>
        <w:t>1#</w:t>
      </w:r>
      <w:r>
        <w:rPr>
          <w:rFonts w:ascii="Arial" w:hAnsi="Arial" w:cs="Arial"/>
        </w:rPr>
        <w:t>,</w:t>
      </w:r>
      <w:r>
        <w:rPr>
          <w:rFonts w:ascii="Arial" w:hAnsi="Arial" w:cs="Arial"/>
          <w:vertAlign w:val="superscript"/>
        </w:rPr>
        <w:t xml:space="preserve"> </w:t>
      </w:r>
      <w:r w:rsidRPr="00B71514">
        <w:rPr>
          <w:rFonts w:ascii="Arial" w:hAnsi="Arial" w:cs="Arial"/>
        </w:rPr>
        <w:t>Trista L</w:t>
      </w:r>
      <w:r>
        <w:rPr>
          <w:rFonts w:ascii="Arial" w:hAnsi="Arial" w:cs="Arial"/>
        </w:rPr>
        <w:t>ee</w:t>
      </w:r>
      <w:r w:rsidRPr="00B71514">
        <w:rPr>
          <w:rFonts w:ascii="Arial" w:hAnsi="Arial" w:cs="Arial"/>
        </w:rPr>
        <w:t xml:space="preserve"> Thorn</w:t>
      </w:r>
      <w:r>
        <w:rPr>
          <w:rFonts w:ascii="Arial" w:hAnsi="Arial" w:cs="Arial"/>
          <w:vertAlign w:val="superscript"/>
        </w:rPr>
        <w:t>1#</w:t>
      </w:r>
      <w:r w:rsidRPr="00B71514">
        <w:rPr>
          <w:rFonts w:ascii="Arial" w:hAnsi="Arial" w:cs="Arial"/>
        </w:rPr>
        <w:t xml:space="preserve">, </w:t>
      </w:r>
      <w:proofErr w:type="spellStart"/>
      <w:r>
        <w:rPr>
          <w:rFonts w:ascii="Arial" w:hAnsi="Arial" w:cs="Arial"/>
        </w:rPr>
        <w:t>Jiaqi</w:t>
      </w:r>
      <w:proofErr w:type="spellEnd"/>
      <w:r>
        <w:rPr>
          <w:rFonts w:ascii="Arial" w:hAnsi="Arial" w:cs="Arial"/>
        </w:rPr>
        <w:t xml:space="preserve"> Zou</w:t>
      </w:r>
      <w:r>
        <w:rPr>
          <w:rFonts w:ascii="Arial" w:hAnsi="Arial" w:cs="Arial"/>
          <w:vertAlign w:val="superscript"/>
        </w:rPr>
        <w:t>1</w:t>
      </w:r>
      <w:r>
        <w:rPr>
          <w:rFonts w:ascii="Arial" w:hAnsi="Arial" w:cs="Arial"/>
        </w:rPr>
        <w:t xml:space="preserve">, </w:t>
      </w:r>
      <w:proofErr w:type="spellStart"/>
      <w:r>
        <w:rPr>
          <w:rFonts w:ascii="Arial" w:hAnsi="Arial" w:cs="Arial"/>
        </w:rPr>
        <w:t>Filiz</w:t>
      </w:r>
      <w:proofErr w:type="spellEnd"/>
      <w:r>
        <w:rPr>
          <w:rFonts w:ascii="Arial" w:hAnsi="Arial" w:cs="Arial"/>
        </w:rPr>
        <w:t xml:space="preserve"> Baser</w:t>
      </w:r>
      <w:r>
        <w:rPr>
          <w:rFonts w:ascii="Arial" w:hAnsi="Arial" w:cs="Arial"/>
          <w:vertAlign w:val="superscript"/>
        </w:rPr>
        <w:t>2</w:t>
      </w:r>
      <w:r>
        <w:rPr>
          <w:rFonts w:ascii="Arial" w:hAnsi="Arial" w:cs="Arial"/>
        </w:rPr>
        <w:t xml:space="preserve">, </w:t>
      </w:r>
      <w:proofErr w:type="spellStart"/>
      <w:r>
        <w:rPr>
          <w:rFonts w:ascii="Arial" w:hAnsi="Arial" w:cs="Arial"/>
        </w:rPr>
        <w:t>Sukru</w:t>
      </w:r>
      <w:proofErr w:type="spellEnd"/>
      <w:r>
        <w:rPr>
          <w:rFonts w:ascii="Arial" w:hAnsi="Arial" w:cs="Arial"/>
        </w:rPr>
        <w:t xml:space="preserve"> Gulec</w:t>
      </w:r>
      <w:r>
        <w:rPr>
          <w:rFonts w:ascii="Arial" w:hAnsi="Arial" w:cs="Arial"/>
          <w:vertAlign w:val="superscript"/>
        </w:rPr>
        <w:t>2</w:t>
      </w:r>
      <w:r>
        <w:rPr>
          <w:rFonts w:ascii="Arial" w:hAnsi="Arial" w:cs="Arial"/>
        </w:rPr>
        <w:t>, Celeste Cheung</w:t>
      </w:r>
      <w:r>
        <w:rPr>
          <w:rFonts w:ascii="Arial" w:hAnsi="Arial" w:cs="Arial"/>
          <w:vertAlign w:val="superscript"/>
        </w:rPr>
        <w:t>1</w:t>
      </w:r>
      <w:r>
        <w:rPr>
          <w:rFonts w:ascii="Arial" w:hAnsi="Arial" w:cs="Arial"/>
        </w:rPr>
        <w:t xml:space="preserve">, </w:t>
      </w:r>
      <w:r w:rsidRPr="00B71514">
        <w:rPr>
          <w:rFonts w:ascii="Arial" w:hAnsi="Arial" w:cs="Arial"/>
        </w:rPr>
        <w:t xml:space="preserve">Tolunay Beker Aydemir </w:t>
      </w:r>
      <w:r>
        <w:rPr>
          <w:rFonts w:ascii="Arial" w:hAnsi="Arial" w:cs="Arial"/>
          <w:vertAlign w:val="superscript"/>
        </w:rPr>
        <w:t>1*</w:t>
      </w:r>
    </w:p>
    <w:p w14:paraId="6236E493" w14:textId="77777777" w:rsidR="00F77D7A" w:rsidRDefault="00F77D7A" w:rsidP="00F77D7A">
      <w:pPr>
        <w:spacing w:line="480" w:lineRule="auto"/>
        <w:rPr>
          <w:rStyle w:val="None"/>
          <w:rFonts w:ascii="Arial" w:hAnsi="Arial" w:cs="Arial"/>
        </w:rPr>
      </w:pPr>
      <w:r w:rsidRPr="00381501">
        <w:rPr>
          <w:rStyle w:val="None"/>
          <w:rFonts w:ascii="Arial" w:hAnsi="Arial" w:cs="Arial"/>
          <w:vertAlign w:val="superscript"/>
        </w:rPr>
        <w:t>1</w:t>
      </w:r>
      <w:r w:rsidRPr="00381501">
        <w:rPr>
          <w:rStyle w:val="None"/>
          <w:rFonts w:ascii="Arial" w:hAnsi="Arial" w:cs="Arial"/>
        </w:rPr>
        <w:t>Division of Nutritional Sciences, Cornell University, Ithaca, NY, U</w:t>
      </w:r>
      <w:r>
        <w:rPr>
          <w:rStyle w:val="None"/>
          <w:rFonts w:ascii="Arial" w:hAnsi="Arial" w:cs="Arial"/>
        </w:rPr>
        <w:t>S</w:t>
      </w:r>
      <w:r w:rsidRPr="00381501">
        <w:rPr>
          <w:rStyle w:val="None"/>
          <w:rFonts w:ascii="Arial" w:hAnsi="Arial" w:cs="Arial"/>
        </w:rPr>
        <w:t>A.</w:t>
      </w:r>
    </w:p>
    <w:p w14:paraId="6EEBB3E4" w14:textId="77777777" w:rsidR="00F77D7A" w:rsidRDefault="00F77D7A" w:rsidP="00F77D7A">
      <w:pPr>
        <w:spacing w:line="480" w:lineRule="auto"/>
        <w:rPr>
          <w:rStyle w:val="None"/>
          <w:rFonts w:ascii="Arial" w:hAnsi="Arial" w:cs="Arial"/>
        </w:rPr>
      </w:pPr>
      <w:r w:rsidRPr="003B3703">
        <w:rPr>
          <w:rStyle w:val="None"/>
          <w:rFonts w:ascii="Arial" w:hAnsi="Arial" w:cs="Arial"/>
          <w:vertAlign w:val="superscript"/>
        </w:rPr>
        <w:t>2</w:t>
      </w:r>
      <w:r>
        <w:rPr>
          <w:rStyle w:val="None"/>
          <w:rFonts w:ascii="Arial" w:hAnsi="Arial" w:cs="Arial"/>
          <w:vertAlign w:val="superscript"/>
        </w:rPr>
        <w:t xml:space="preserve"> </w:t>
      </w:r>
      <w:r w:rsidRPr="00E2693E">
        <w:rPr>
          <w:rStyle w:val="None"/>
          <w:rFonts w:ascii="Arial" w:hAnsi="Arial" w:cs="Arial"/>
        </w:rPr>
        <w:t xml:space="preserve">Molecular Nutrition and Human Physiology Laboratory, Department of Food Engineering, İzmir Institute of Technology, </w:t>
      </w:r>
      <w:proofErr w:type="spellStart"/>
      <w:r w:rsidRPr="00E2693E">
        <w:rPr>
          <w:rStyle w:val="None"/>
          <w:rFonts w:ascii="Arial" w:hAnsi="Arial" w:cs="Arial"/>
        </w:rPr>
        <w:t>Urla</w:t>
      </w:r>
      <w:proofErr w:type="spellEnd"/>
      <w:r w:rsidRPr="00E2693E">
        <w:rPr>
          <w:rStyle w:val="None"/>
          <w:rFonts w:ascii="Arial" w:hAnsi="Arial" w:cs="Arial"/>
        </w:rPr>
        <w:t>, İzmir, Turkey</w:t>
      </w:r>
    </w:p>
    <w:p w14:paraId="63611F85" w14:textId="77777777" w:rsidR="00F77D7A" w:rsidRDefault="00F77D7A" w:rsidP="00F77D7A">
      <w:pPr>
        <w:spacing w:line="480" w:lineRule="auto"/>
        <w:rPr>
          <w:rFonts w:ascii="Arial" w:hAnsi="Arial" w:cs="Arial"/>
          <w:vertAlign w:val="superscript"/>
        </w:rPr>
      </w:pPr>
    </w:p>
    <w:p w14:paraId="20032E86" w14:textId="77777777" w:rsidR="00F77D7A" w:rsidRDefault="00F77D7A" w:rsidP="00F77D7A">
      <w:pPr>
        <w:spacing w:line="480" w:lineRule="auto"/>
        <w:rPr>
          <w:rFonts w:ascii="Arial" w:hAnsi="Arial" w:cs="Arial"/>
        </w:rPr>
      </w:pPr>
      <w:r>
        <w:rPr>
          <w:rFonts w:ascii="Arial" w:hAnsi="Arial" w:cs="Arial"/>
          <w:vertAlign w:val="superscript"/>
        </w:rPr>
        <w:t>#</w:t>
      </w:r>
      <w:r>
        <w:rPr>
          <w:rFonts w:ascii="Arial" w:hAnsi="Arial" w:cs="Arial"/>
        </w:rPr>
        <w:t>Equally contributed</w:t>
      </w:r>
    </w:p>
    <w:p w14:paraId="351C922A" w14:textId="77777777" w:rsidR="00F77D7A" w:rsidRDefault="00F77D7A" w:rsidP="00F77D7A">
      <w:pPr>
        <w:spacing w:line="480" w:lineRule="auto"/>
        <w:rPr>
          <w:rFonts w:ascii="Arial" w:hAnsi="Arial" w:cs="Arial"/>
        </w:rPr>
      </w:pPr>
      <w:r>
        <w:rPr>
          <w:rFonts w:ascii="Arial" w:hAnsi="Arial" w:cs="Arial"/>
          <w:vertAlign w:val="superscript"/>
        </w:rPr>
        <w:t>*</w:t>
      </w:r>
      <w:r>
        <w:rPr>
          <w:rFonts w:ascii="Arial" w:hAnsi="Arial" w:cs="Arial"/>
        </w:rPr>
        <w:t>Corresponding author</w:t>
      </w:r>
    </w:p>
    <w:p w14:paraId="242013AD" w14:textId="77777777" w:rsidR="00F77D7A" w:rsidRPr="00381501" w:rsidRDefault="00F77D7A" w:rsidP="00F77D7A">
      <w:pPr>
        <w:spacing w:line="480" w:lineRule="auto"/>
        <w:rPr>
          <w:rStyle w:val="None"/>
          <w:rFonts w:ascii="Arial" w:hAnsi="Arial" w:cs="Arial"/>
        </w:rPr>
      </w:pPr>
      <w:r w:rsidRPr="00381501">
        <w:rPr>
          <w:rStyle w:val="None"/>
          <w:rFonts w:ascii="Arial" w:hAnsi="Arial" w:cs="Arial"/>
          <w:b/>
          <w:bCs/>
        </w:rPr>
        <w:t>Correspondence:</w:t>
      </w:r>
      <w:r w:rsidRPr="00381501">
        <w:rPr>
          <w:rStyle w:val="None"/>
          <w:rFonts w:ascii="Arial" w:hAnsi="Arial" w:cs="Arial"/>
        </w:rPr>
        <w:t xml:space="preserve"> </w:t>
      </w:r>
      <w:r w:rsidRPr="00381501">
        <w:rPr>
          <w:rFonts w:ascii="Arial" w:hAnsi="Arial" w:cs="Arial"/>
          <w:bCs/>
        </w:rPr>
        <w:t>Tolunay B. Aydemir</w:t>
      </w:r>
      <w:r w:rsidRPr="00381501">
        <w:rPr>
          <w:rStyle w:val="None"/>
          <w:rFonts w:ascii="Arial" w:hAnsi="Arial" w:cs="Arial"/>
        </w:rPr>
        <w:t>, Address: 225 Savage Hall, Ithaca, NY, U</w:t>
      </w:r>
      <w:r>
        <w:rPr>
          <w:rStyle w:val="None"/>
          <w:rFonts w:ascii="Arial" w:hAnsi="Arial" w:cs="Arial"/>
        </w:rPr>
        <w:t>S</w:t>
      </w:r>
      <w:r w:rsidRPr="00381501">
        <w:rPr>
          <w:rStyle w:val="None"/>
          <w:rFonts w:ascii="Arial" w:hAnsi="Arial" w:cs="Arial"/>
        </w:rPr>
        <w:t>A.</w:t>
      </w:r>
    </w:p>
    <w:p w14:paraId="7D9F9315" w14:textId="77777777" w:rsidR="00F77D7A" w:rsidRDefault="00F77D7A" w:rsidP="00F77D7A">
      <w:pPr>
        <w:spacing w:line="480" w:lineRule="auto"/>
        <w:rPr>
          <w:rStyle w:val="None"/>
          <w:rFonts w:ascii="Arial" w:hAnsi="Arial" w:cs="Arial"/>
        </w:rPr>
      </w:pPr>
      <w:r w:rsidRPr="00381501">
        <w:rPr>
          <w:rStyle w:val="None"/>
          <w:rFonts w:ascii="Arial" w:hAnsi="Arial" w:cs="Arial"/>
        </w:rPr>
        <w:t xml:space="preserve">E-mail: </w:t>
      </w:r>
      <w:hyperlink r:id="rId5" w:history="1">
        <w:r w:rsidRPr="00381501">
          <w:rPr>
            <w:rStyle w:val="Hyperlink"/>
            <w:rFonts w:ascii="Arial" w:hAnsi="Arial" w:cs="Arial"/>
            <w:bCs/>
          </w:rPr>
          <w:t>tb536@cornell.edu</w:t>
        </w:r>
      </w:hyperlink>
      <w:r w:rsidRPr="00381501">
        <w:rPr>
          <w:rStyle w:val="None"/>
          <w:rFonts w:ascii="Arial" w:hAnsi="Arial" w:cs="Arial"/>
        </w:rPr>
        <w:t xml:space="preserve">, Phone: </w:t>
      </w:r>
      <w:r>
        <w:rPr>
          <w:rStyle w:val="None"/>
          <w:rFonts w:ascii="Arial" w:hAnsi="Arial" w:cs="Arial"/>
        </w:rPr>
        <w:t>+404 644 6919</w:t>
      </w:r>
    </w:p>
    <w:p w14:paraId="107173EF" w14:textId="77777777" w:rsidR="00F77D7A" w:rsidRDefault="00F77D7A" w:rsidP="00F77D7A">
      <w:pPr>
        <w:spacing w:line="480" w:lineRule="auto"/>
        <w:rPr>
          <w:rFonts w:ascii="Arial" w:hAnsi="Arial" w:cs="Arial"/>
          <w:b/>
        </w:rPr>
      </w:pPr>
    </w:p>
    <w:p w14:paraId="7E5AE6E9" w14:textId="77777777" w:rsidR="00F77D7A" w:rsidRDefault="00F77D7A">
      <w:pPr>
        <w:rPr>
          <w:rFonts w:ascii="Arial" w:hAnsi="Arial" w:cs="Arial"/>
          <w:b/>
          <w:bCs/>
        </w:rPr>
      </w:pPr>
    </w:p>
    <w:p w14:paraId="6E769A40" w14:textId="7467190F" w:rsidR="00491AA3" w:rsidRPr="00F77D7A" w:rsidRDefault="005831F0" w:rsidP="00F77D7A">
      <w:pPr>
        <w:pStyle w:val="ListParagraph"/>
        <w:numPr>
          <w:ilvl w:val="0"/>
          <w:numId w:val="1"/>
        </w:numPr>
        <w:rPr>
          <w:rFonts w:ascii="Arial" w:hAnsi="Arial" w:cs="Arial"/>
          <w:b/>
          <w:bCs/>
        </w:rPr>
      </w:pPr>
      <w:r w:rsidRPr="005831F0">
        <w:rPr>
          <w:noProof/>
        </w:rPr>
        <w:lastRenderedPageBreak/>
        <w:drawing>
          <wp:anchor distT="0" distB="0" distL="114300" distR="114300" simplePos="0" relativeHeight="251658240" behindDoc="1" locked="0" layoutInCell="1" allowOverlap="1" wp14:anchorId="039A8D37" wp14:editId="523331EE">
            <wp:simplePos x="0" y="0"/>
            <wp:positionH relativeFrom="column">
              <wp:posOffset>28575</wp:posOffset>
            </wp:positionH>
            <wp:positionV relativeFrom="paragraph">
              <wp:posOffset>314325</wp:posOffset>
            </wp:positionV>
            <wp:extent cx="5462270" cy="4886132"/>
            <wp:effectExtent l="0" t="0" r="5080" b="0"/>
            <wp:wrapTight wrapText="bothSides">
              <wp:wrapPolygon edited="0">
                <wp:start x="0" y="0"/>
                <wp:lineTo x="0" y="21392"/>
                <wp:lineTo x="11526" y="21476"/>
                <wp:lineTo x="21545" y="21476"/>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2270" cy="4886132"/>
                    </a:xfrm>
                    <a:prstGeom prst="rect">
                      <a:avLst/>
                    </a:prstGeom>
                    <a:noFill/>
                  </pic:spPr>
                </pic:pic>
              </a:graphicData>
            </a:graphic>
            <wp14:sizeRelH relativeFrom="page">
              <wp14:pctWidth>0</wp14:pctWidth>
            </wp14:sizeRelH>
            <wp14:sizeRelV relativeFrom="page">
              <wp14:pctHeight>0</wp14:pctHeight>
            </wp14:sizeRelV>
          </wp:anchor>
        </w:drawing>
      </w:r>
      <w:r w:rsidRPr="00F77D7A">
        <w:rPr>
          <w:rFonts w:ascii="Arial" w:hAnsi="Arial" w:cs="Arial"/>
          <w:b/>
          <w:bCs/>
        </w:rPr>
        <w:t>Supplemental Figures:</w:t>
      </w:r>
    </w:p>
    <w:p w14:paraId="14B45CE1" w14:textId="665BDF61" w:rsidR="005831F0" w:rsidRDefault="005831F0">
      <w:pPr>
        <w:rPr>
          <w:rFonts w:ascii="Arial" w:hAnsi="Arial" w:cs="Arial"/>
          <w:b/>
          <w:bCs/>
        </w:rPr>
      </w:pPr>
    </w:p>
    <w:p w14:paraId="6D957C8E" w14:textId="1AD83824" w:rsidR="005831F0" w:rsidRDefault="005831F0">
      <w:pPr>
        <w:rPr>
          <w:rFonts w:ascii="Arial" w:hAnsi="Arial" w:cs="Arial"/>
          <w:b/>
          <w:bCs/>
        </w:rPr>
      </w:pPr>
    </w:p>
    <w:p w14:paraId="73EE8DEC" w14:textId="21C79690" w:rsidR="005831F0" w:rsidRDefault="005831F0">
      <w:pPr>
        <w:rPr>
          <w:rFonts w:ascii="Arial" w:hAnsi="Arial" w:cs="Arial"/>
          <w:b/>
          <w:bCs/>
        </w:rPr>
      </w:pPr>
    </w:p>
    <w:p w14:paraId="00E7E7A9" w14:textId="5BAEED99" w:rsidR="005831F0" w:rsidRDefault="005831F0">
      <w:pPr>
        <w:rPr>
          <w:rFonts w:ascii="Arial" w:hAnsi="Arial" w:cs="Arial"/>
          <w:b/>
          <w:bCs/>
        </w:rPr>
      </w:pPr>
    </w:p>
    <w:p w14:paraId="60DDF10E" w14:textId="3D758FA9" w:rsidR="005831F0" w:rsidRDefault="005831F0">
      <w:pPr>
        <w:rPr>
          <w:rFonts w:ascii="Arial" w:hAnsi="Arial" w:cs="Arial"/>
          <w:b/>
          <w:bCs/>
        </w:rPr>
      </w:pPr>
    </w:p>
    <w:p w14:paraId="62151D9C" w14:textId="5F1DD3FE" w:rsidR="005831F0" w:rsidRDefault="005831F0">
      <w:pPr>
        <w:rPr>
          <w:rFonts w:ascii="Arial" w:hAnsi="Arial" w:cs="Arial"/>
          <w:b/>
          <w:bCs/>
        </w:rPr>
      </w:pPr>
    </w:p>
    <w:p w14:paraId="165AADD0" w14:textId="2FCAC5AD" w:rsidR="005831F0" w:rsidRDefault="005831F0">
      <w:pPr>
        <w:rPr>
          <w:rFonts w:ascii="Arial" w:hAnsi="Arial" w:cs="Arial"/>
          <w:b/>
          <w:bCs/>
        </w:rPr>
      </w:pPr>
    </w:p>
    <w:p w14:paraId="110E51C5" w14:textId="6D63B6D3" w:rsidR="005831F0" w:rsidRDefault="005831F0">
      <w:pPr>
        <w:rPr>
          <w:rFonts w:ascii="Arial" w:hAnsi="Arial" w:cs="Arial"/>
          <w:b/>
          <w:bCs/>
        </w:rPr>
      </w:pPr>
    </w:p>
    <w:p w14:paraId="2569A8B3" w14:textId="6179B22B" w:rsidR="005831F0" w:rsidRDefault="005831F0">
      <w:pPr>
        <w:rPr>
          <w:rFonts w:ascii="Arial" w:hAnsi="Arial" w:cs="Arial"/>
          <w:b/>
          <w:bCs/>
        </w:rPr>
      </w:pPr>
    </w:p>
    <w:p w14:paraId="14B4FEFB" w14:textId="7EA6911C" w:rsidR="005831F0" w:rsidRDefault="005831F0">
      <w:pPr>
        <w:rPr>
          <w:rFonts w:ascii="Arial" w:hAnsi="Arial" w:cs="Arial"/>
          <w:b/>
          <w:bCs/>
        </w:rPr>
      </w:pPr>
    </w:p>
    <w:p w14:paraId="5719ECA3" w14:textId="189800A9" w:rsidR="005831F0" w:rsidRDefault="005831F0">
      <w:pPr>
        <w:rPr>
          <w:rFonts w:ascii="Arial" w:hAnsi="Arial" w:cs="Arial"/>
          <w:b/>
          <w:bCs/>
        </w:rPr>
      </w:pPr>
    </w:p>
    <w:p w14:paraId="1A5E05E6" w14:textId="24150C5E" w:rsidR="005831F0" w:rsidRDefault="005831F0">
      <w:pPr>
        <w:rPr>
          <w:rFonts w:ascii="Arial" w:hAnsi="Arial" w:cs="Arial"/>
          <w:b/>
          <w:bCs/>
        </w:rPr>
      </w:pPr>
    </w:p>
    <w:p w14:paraId="56883462" w14:textId="424E8352" w:rsidR="005831F0" w:rsidRDefault="005831F0">
      <w:pPr>
        <w:rPr>
          <w:rFonts w:ascii="Arial" w:hAnsi="Arial" w:cs="Arial"/>
          <w:b/>
          <w:bCs/>
        </w:rPr>
      </w:pPr>
    </w:p>
    <w:p w14:paraId="5910B3F5" w14:textId="70D4AFAB" w:rsidR="005831F0" w:rsidRDefault="005831F0">
      <w:pPr>
        <w:rPr>
          <w:rFonts w:ascii="Arial" w:hAnsi="Arial" w:cs="Arial"/>
          <w:b/>
          <w:bCs/>
        </w:rPr>
      </w:pPr>
    </w:p>
    <w:p w14:paraId="2A642204" w14:textId="5E79C6B2" w:rsidR="005831F0" w:rsidRDefault="005831F0">
      <w:pPr>
        <w:rPr>
          <w:rFonts w:ascii="Arial" w:hAnsi="Arial" w:cs="Arial"/>
          <w:b/>
          <w:bCs/>
        </w:rPr>
      </w:pPr>
    </w:p>
    <w:p w14:paraId="00C8934E" w14:textId="29C7B562" w:rsidR="005831F0" w:rsidRDefault="005831F0">
      <w:pPr>
        <w:rPr>
          <w:rFonts w:ascii="Arial" w:hAnsi="Arial" w:cs="Arial"/>
          <w:b/>
          <w:bCs/>
        </w:rPr>
      </w:pPr>
    </w:p>
    <w:p w14:paraId="6D864438" w14:textId="52F418F5" w:rsidR="005831F0" w:rsidRDefault="005831F0">
      <w:pPr>
        <w:rPr>
          <w:rFonts w:ascii="Arial" w:hAnsi="Arial" w:cs="Arial"/>
          <w:b/>
          <w:bCs/>
        </w:rPr>
      </w:pPr>
    </w:p>
    <w:p w14:paraId="796E53EE" w14:textId="1896C501" w:rsidR="005831F0" w:rsidRDefault="005831F0">
      <w:pPr>
        <w:rPr>
          <w:rFonts w:ascii="Arial" w:hAnsi="Arial" w:cs="Arial"/>
          <w:b/>
          <w:bCs/>
        </w:rPr>
      </w:pPr>
    </w:p>
    <w:p w14:paraId="50880FBC" w14:textId="784159FB" w:rsidR="005831F0" w:rsidRDefault="005831F0" w:rsidP="005831F0">
      <w:pPr>
        <w:pStyle w:val="NormalWeb"/>
        <w:spacing w:before="0" w:beforeAutospacing="0" w:after="0" w:afterAutospacing="0" w:line="360" w:lineRule="auto"/>
        <w:jc w:val="both"/>
        <w:rPr>
          <w:rFonts w:ascii="Arial" w:eastAsia="Calibri" w:hAnsi="Arial"/>
          <w:color w:val="000000" w:themeColor="text1"/>
          <w:kern w:val="24"/>
          <w:sz w:val="22"/>
          <w:szCs w:val="22"/>
        </w:rPr>
      </w:pPr>
      <w:r w:rsidRPr="005831F0">
        <w:rPr>
          <w:rFonts w:ascii="Arial" w:eastAsiaTheme="minorEastAsia" w:hAnsi="Arial" w:cs="Arial"/>
          <w:b/>
          <w:bCs/>
          <w:color w:val="000000" w:themeColor="text1"/>
          <w:kern w:val="24"/>
          <w:sz w:val="22"/>
          <w:szCs w:val="22"/>
        </w:rPr>
        <w:t xml:space="preserve">Supplemental Figure 1. </w:t>
      </w:r>
      <w:r w:rsidRPr="005831F0">
        <w:rPr>
          <w:rFonts w:ascii="Arial" w:eastAsia="Calibri" w:hAnsi="Arial"/>
          <w:color w:val="000000" w:themeColor="text1"/>
          <w:kern w:val="24"/>
          <w:sz w:val="22"/>
          <w:szCs w:val="22"/>
        </w:rPr>
        <w:t xml:space="preserve">Metabolic parameters of the mice were measured by the Comprehensive Laboratory Animal Monitoring System (CLAMS) using Promethean (Sable Systems). Following 48 </w:t>
      </w:r>
      <w:proofErr w:type="spellStart"/>
      <w:r w:rsidRPr="005831F0">
        <w:rPr>
          <w:rFonts w:ascii="Arial" w:eastAsia="Calibri" w:hAnsi="Arial"/>
          <w:color w:val="000000" w:themeColor="text1"/>
          <w:kern w:val="24"/>
          <w:sz w:val="22"/>
          <w:szCs w:val="22"/>
        </w:rPr>
        <w:t>hrs</w:t>
      </w:r>
      <w:proofErr w:type="spellEnd"/>
      <w:r w:rsidRPr="005831F0">
        <w:rPr>
          <w:rFonts w:ascii="Arial" w:eastAsia="Calibri" w:hAnsi="Arial"/>
          <w:color w:val="000000" w:themeColor="text1"/>
          <w:kern w:val="24"/>
          <w:sz w:val="22"/>
          <w:szCs w:val="22"/>
        </w:rPr>
        <w:t xml:space="preserve"> of acclimation, data were collected for 48 hrs. The data were analyzed using </w:t>
      </w:r>
      <w:proofErr w:type="spellStart"/>
      <w:r w:rsidRPr="005831F0">
        <w:rPr>
          <w:rFonts w:ascii="Arial" w:eastAsia="Calibri" w:hAnsi="Arial"/>
          <w:color w:val="000000" w:themeColor="text1"/>
          <w:kern w:val="24"/>
          <w:sz w:val="22"/>
          <w:szCs w:val="22"/>
        </w:rPr>
        <w:t>Expedata</w:t>
      </w:r>
      <w:proofErr w:type="spellEnd"/>
      <w:r w:rsidRPr="005831F0">
        <w:rPr>
          <w:rFonts w:ascii="Arial" w:eastAsia="Calibri" w:hAnsi="Arial"/>
          <w:color w:val="000000" w:themeColor="text1"/>
          <w:kern w:val="24"/>
          <w:sz w:val="22"/>
          <w:szCs w:val="22"/>
        </w:rPr>
        <w:t xml:space="preserve"> software system (v1.9.27), Macro interpreter (v2.40), and then </w:t>
      </w:r>
      <w:proofErr w:type="spellStart"/>
      <w:r w:rsidRPr="005831F0">
        <w:rPr>
          <w:rFonts w:ascii="Arial" w:eastAsia="Calibri" w:hAnsi="Arial"/>
          <w:color w:val="000000" w:themeColor="text1"/>
          <w:kern w:val="24"/>
          <w:sz w:val="22"/>
          <w:szCs w:val="22"/>
        </w:rPr>
        <w:t>CalR</w:t>
      </w:r>
      <w:proofErr w:type="spellEnd"/>
      <w:r w:rsidRPr="005831F0">
        <w:rPr>
          <w:rFonts w:ascii="Arial" w:eastAsia="Calibri" w:hAnsi="Arial"/>
          <w:color w:val="000000" w:themeColor="text1"/>
          <w:kern w:val="24"/>
          <w:sz w:val="22"/>
          <w:szCs w:val="22"/>
        </w:rPr>
        <w:t xml:space="preserve"> software (v.1.2).</w:t>
      </w:r>
      <w:r w:rsidRPr="005831F0">
        <w:rPr>
          <w:rFonts w:ascii="Calibri" w:eastAsia="Calibri" w:hAnsi="Calibri"/>
          <w:color w:val="000000" w:themeColor="text1"/>
          <w:kern w:val="24"/>
          <w:sz w:val="22"/>
          <w:szCs w:val="22"/>
        </w:rPr>
        <w:t xml:space="preserve"> </w:t>
      </w:r>
      <w:r w:rsidRPr="005831F0">
        <w:rPr>
          <w:rFonts w:ascii="Arial" w:eastAsia="Calibri" w:hAnsi="Arial"/>
          <w:color w:val="000000" w:themeColor="text1"/>
          <w:kern w:val="24"/>
          <w:sz w:val="22"/>
          <w:szCs w:val="22"/>
        </w:rPr>
        <w:t>Values are means ± SEM.</w:t>
      </w:r>
    </w:p>
    <w:p w14:paraId="7E25E618" w14:textId="0EF926ED" w:rsidR="005831F0" w:rsidRDefault="005831F0" w:rsidP="005831F0">
      <w:pPr>
        <w:pStyle w:val="NormalWeb"/>
        <w:spacing w:before="0" w:beforeAutospacing="0" w:after="0" w:afterAutospacing="0" w:line="360" w:lineRule="auto"/>
        <w:jc w:val="both"/>
        <w:rPr>
          <w:rFonts w:ascii="Arial" w:eastAsia="Calibri" w:hAnsi="Arial"/>
          <w:color w:val="000000" w:themeColor="text1"/>
          <w:kern w:val="24"/>
          <w:sz w:val="22"/>
          <w:szCs w:val="22"/>
        </w:rPr>
      </w:pPr>
    </w:p>
    <w:p w14:paraId="0756FD7C" w14:textId="2F47380B" w:rsidR="005831F0" w:rsidRDefault="005831F0" w:rsidP="005831F0">
      <w:pPr>
        <w:pStyle w:val="NormalWeb"/>
        <w:spacing w:before="0" w:beforeAutospacing="0" w:after="0" w:afterAutospacing="0" w:line="360" w:lineRule="auto"/>
        <w:jc w:val="both"/>
        <w:rPr>
          <w:rFonts w:ascii="Arial" w:eastAsia="Calibri" w:hAnsi="Arial"/>
          <w:color w:val="000000" w:themeColor="text1"/>
          <w:kern w:val="24"/>
          <w:sz w:val="22"/>
          <w:szCs w:val="22"/>
        </w:rPr>
      </w:pPr>
    </w:p>
    <w:p w14:paraId="5A3DC819" w14:textId="0F325993" w:rsidR="005831F0" w:rsidRDefault="005831F0" w:rsidP="005831F0">
      <w:pPr>
        <w:pStyle w:val="NormalWeb"/>
        <w:spacing w:before="0" w:beforeAutospacing="0" w:after="0" w:afterAutospacing="0" w:line="360" w:lineRule="auto"/>
        <w:jc w:val="both"/>
        <w:rPr>
          <w:rFonts w:ascii="Arial" w:eastAsia="Calibri" w:hAnsi="Arial"/>
          <w:color w:val="000000" w:themeColor="text1"/>
          <w:kern w:val="24"/>
          <w:sz w:val="22"/>
          <w:szCs w:val="22"/>
        </w:rPr>
      </w:pPr>
    </w:p>
    <w:p w14:paraId="19A324DC" w14:textId="22C9D833" w:rsidR="005831F0" w:rsidRDefault="005831F0" w:rsidP="005831F0">
      <w:pPr>
        <w:pStyle w:val="NormalWeb"/>
        <w:spacing w:before="0" w:beforeAutospacing="0" w:after="0" w:afterAutospacing="0" w:line="360" w:lineRule="auto"/>
        <w:jc w:val="both"/>
        <w:rPr>
          <w:rFonts w:ascii="Arial" w:eastAsia="Calibri" w:hAnsi="Arial"/>
          <w:color w:val="000000" w:themeColor="text1"/>
          <w:kern w:val="24"/>
          <w:sz w:val="22"/>
          <w:szCs w:val="22"/>
        </w:rPr>
      </w:pPr>
    </w:p>
    <w:p w14:paraId="3477F2EC" w14:textId="78AF0BC4" w:rsidR="005831F0" w:rsidRDefault="005831F0" w:rsidP="005831F0">
      <w:pPr>
        <w:pStyle w:val="NormalWeb"/>
        <w:spacing w:before="0" w:beforeAutospacing="0" w:after="0" w:afterAutospacing="0" w:line="360" w:lineRule="auto"/>
        <w:jc w:val="both"/>
        <w:rPr>
          <w:rFonts w:ascii="Arial" w:eastAsia="Calibri" w:hAnsi="Arial"/>
          <w:color w:val="000000" w:themeColor="text1"/>
          <w:kern w:val="24"/>
          <w:sz w:val="22"/>
          <w:szCs w:val="22"/>
        </w:rPr>
      </w:pPr>
    </w:p>
    <w:p w14:paraId="6E635BB5" w14:textId="74C2122E" w:rsidR="005831F0" w:rsidRDefault="005831F0" w:rsidP="005831F0">
      <w:pPr>
        <w:pStyle w:val="NormalWeb"/>
        <w:spacing w:before="0" w:beforeAutospacing="0" w:after="0" w:afterAutospacing="0" w:line="360" w:lineRule="auto"/>
        <w:jc w:val="both"/>
        <w:rPr>
          <w:rFonts w:ascii="Arial" w:eastAsia="Calibri" w:hAnsi="Arial"/>
          <w:color w:val="000000" w:themeColor="text1"/>
          <w:kern w:val="24"/>
          <w:sz w:val="22"/>
          <w:szCs w:val="22"/>
        </w:rPr>
      </w:pPr>
    </w:p>
    <w:p w14:paraId="54407069" w14:textId="4725562B" w:rsidR="005831F0" w:rsidRDefault="005831F0" w:rsidP="005831F0">
      <w:pPr>
        <w:pStyle w:val="NormalWeb"/>
        <w:spacing w:before="0" w:beforeAutospacing="0" w:after="0" w:afterAutospacing="0" w:line="360" w:lineRule="auto"/>
        <w:jc w:val="both"/>
        <w:rPr>
          <w:rFonts w:ascii="Arial" w:eastAsia="Calibri" w:hAnsi="Arial"/>
          <w:color w:val="000000" w:themeColor="text1"/>
          <w:kern w:val="24"/>
          <w:sz w:val="22"/>
          <w:szCs w:val="22"/>
        </w:rPr>
      </w:pPr>
    </w:p>
    <w:p w14:paraId="7E678A48" w14:textId="4412CC89" w:rsidR="005831F0" w:rsidRPr="005831F0" w:rsidRDefault="005831F0" w:rsidP="005831F0">
      <w:pPr>
        <w:pStyle w:val="NormalWeb"/>
        <w:spacing w:before="0" w:beforeAutospacing="0" w:after="0" w:afterAutospacing="0" w:line="360" w:lineRule="auto"/>
        <w:jc w:val="both"/>
        <w:rPr>
          <w:sz w:val="22"/>
          <w:szCs w:val="22"/>
        </w:rPr>
      </w:pPr>
      <w:r>
        <w:rPr>
          <w:noProof/>
          <w:sz w:val="22"/>
          <w:szCs w:val="22"/>
        </w:rPr>
        <w:lastRenderedPageBreak/>
        <w:drawing>
          <wp:inline distT="0" distB="0" distL="0" distR="0" wp14:anchorId="3F83B74E" wp14:editId="1B587B1B">
            <wp:extent cx="3971925" cy="2428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83285" cy="2435361"/>
                    </a:xfrm>
                    <a:prstGeom prst="rect">
                      <a:avLst/>
                    </a:prstGeom>
                    <a:noFill/>
                  </pic:spPr>
                </pic:pic>
              </a:graphicData>
            </a:graphic>
          </wp:inline>
        </w:drawing>
      </w:r>
    </w:p>
    <w:p w14:paraId="4A7A001D" w14:textId="77777777" w:rsidR="005831F0" w:rsidRPr="005831F0" w:rsidRDefault="005831F0" w:rsidP="005831F0">
      <w:pPr>
        <w:pStyle w:val="NormalWeb"/>
        <w:spacing w:before="0" w:beforeAutospacing="0" w:after="0" w:afterAutospacing="0" w:line="360" w:lineRule="auto"/>
        <w:jc w:val="both"/>
        <w:rPr>
          <w:sz w:val="22"/>
          <w:szCs w:val="22"/>
        </w:rPr>
      </w:pPr>
      <w:r w:rsidRPr="005831F0">
        <w:rPr>
          <w:rFonts w:ascii="Arial" w:eastAsia="Calibri" w:hAnsi="Arial" w:cstheme="minorBidi"/>
          <w:b/>
          <w:bCs/>
          <w:color w:val="000000" w:themeColor="text1"/>
          <w:kern w:val="24"/>
          <w:sz w:val="22"/>
          <w:szCs w:val="22"/>
        </w:rPr>
        <w:t>Supplemental Figure 2. Fe and Mn levels in the isolated enterocytes</w:t>
      </w:r>
      <w:r w:rsidRPr="005831F0">
        <w:rPr>
          <w:rFonts w:ascii="Arial" w:eastAsia="Calibri" w:hAnsi="Arial" w:cstheme="minorBidi"/>
          <w:color w:val="000000" w:themeColor="text1"/>
          <w:kern w:val="24"/>
          <w:sz w:val="22"/>
          <w:szCs w:val="22"/>
        </w:rPr>
        <w:t>. Iron (Fe) and manganese (Mn)</w:t>
      </w:r>
      <w:r w:rsidRPr="005831F0">
        <w:rPr>
          <w:rFonts w:ascii="Arial" w:eastAsia="Calibri" w:hAnsi="Arial"/>
          <w:color w:val="000000" w:themeColor="text1"/>
          <w:kern w:val="24"/>
          <w:sz w:val="22"/>
          <w:szCs w:val="22"/>
        </w:rPr>
        <w:t xml:space="preserve"> concentrations in intestinal epithelial cells (IEC) using MP-AES. IECs were separated and digested in nitric acid. Total protein concentrations were used for normalization. Values are means ± SEM; N= 4-7. Unpaired t-test between control and sucrose-treated groups.</w:t>
      </w:r>
    </w:p>
    <w:p w14:paraId="6B106E6F" w14:textId="703A7E9D" w:rsidR="005831F0" w:rsidRDefault="005831F0" w:rsidP="005831F0">
      <w:pPr>
        <w:spacing w:line="360" w:lineRule="auto"/>
        <w:jc w:val="both"/>
        <w:rPr>
          <w:rFonts w:ascii="Arial" w:hAnsi="Arial" w:cs="Arial"/>
          <w:b/>
          <w:bCs/>
        </w:rPr>
      </w:pPr>
    </w:p>
    <w:p w14:paraId="0F183291" w14:textId="4A6043FF" w:rsidR="005831F0" w:rsidRDefault="005831F0" w:rsidP="005831F0">
      <w:pPr>
        <w:spacing w:line="360" w:lineRule="auto"/>
        <w:jc w:val="both"/>
        <w:rPr>
          <w:rFonts w:ascii="Arial" w:hAnsi="Arial" w:cs="Arial"/>
          <w:b/>
          <w:bCs/>
        </w:rPr>
      </w:pPr>
    </w:p>
    <w:p w14:paraId="195CCD18" w14:textId="4939D2FE" w:rsidR="005831F0" w:rsidRPr="005831F0" w:rsidRDefault="008A3A2F" w:rsidP="005831F0">
      <w:pPr>
        <w:pStyle w:val="NormalWeb"/>
        <w:spacing w:before="0" w:beforeAutospacing="0" w:after="160" w:afterAutospacing="0" w:line="360" w:lineRule="auto"/>
        <w:jc w:val="both"/>
        <w:rPr>
          <w:sz w:val="22"/>
          <w:szCs w:val="22"/>
        </w:rPr>
      </w:pPr>
      <w:r>
        <w:rPr>
          <w:rFonts w:ascii="Arial" w:eastAsia="Calibri" w:hAnsi="Arial"/>
          <w:b/>
          <w:bCs/>
          <w:noProof/>
          <w:color w:val="000000" w:themeColor="text1"/>
          <w:kern w:val="24"/>
          <w:sz w:val="22"/>
          <w:szCs w:val="22"/>
        </w:rPr>
        <w:lastRenderedPageBreak/>
        <w:drawing>
          <wp:inline distT="0" distB="0" distL="0" distR="0" wp14:anchorId="44BCAACF" wp14:editId="05BFAEAC">
            <wp:extent cx="6289258" cy="5137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6550" cy="5143106"/>
                    </a:xfrm>
                    <a:prstGeom prst="rect">
                      <a:avLst/>
                    </a:prstGeom>
                    <a:noFill/>
                  </pic:spPr>
                </pic:pic>
              </a:graphicData>
            </a:graphic>
          </wp:inline>
        </w:drawing>
      </w:r>
      <w:r w:rsidR="005831F0" w:rsidRPr="005831F0">
        <w:rPr>
          <w:rFonts w:ascii="Arial" w:eastAsia="Calibri" w:hAnsi="Arial"/>
          <w:b/>
          <w:bCs/>
          <w:color w:val="000000" w:themeColor="text1"/>
          <w:kern w:val="24"/>
          <w:sz w:val="22"/>
          <w:szCs w:val="22"/>
        </w:rPr>
        <w:t xml:space="preserve">Supplemental Figure 3. </w:t>
      </w:r>
      <w:r w:rsidR="005831F0" w:rsidRPr="005831F0">
        <w:rPr>
          <w:rFonts w:ascii="Arial" w:eastAsia="Calibri" w:hAnsi="Arial"/>
          <w:color w:val="000000" w:themeColor="text1"/>
          <w:kern w:val="24"/>
          <w:sz w:val="22"/>
          <w:szCs w:val="22"/>
        </w:rPr>
        <w:t>A)</w:t>
      </w:r>
      <w:r w:rsidR="005831F0" w:rsidRPr="005831F0">
        <w:rPr>
          <w:rFonts w:ascii="Arial" w:eastAsia="Calibri" w:hAnsi="Arial"/>
          <w:b/>
          <w:bCs/>
          <w:color w:val="000000" w:themeColor="text1"/>
          <w:kern w:val="24"/>
          <w:sz w:val="22"/>
          <w:szCs w:val="22"/>
        </w:rPr>
        <w:t xml:space="preserve"> </w:t>
      </w:r>
      <w:r w:rsidR="005831F0" w:rsidRPr="005831F0">
        <w:rPr>
          <w:rFonts w:ascii="Arial" w:eastAsia="Calibri" w:hAnsi="Arial"/>
          <w:color w:val="000000" w:themeColor="text1"/>
          <w:kern w:val="24"/>
          <w:sz w:val="22"/>
          <w:szCs w:val="22"/>
        </w:rPr>
        <w:t xml:space="preserve">Bud numbers of enteroids at 24, 48, 72 hrs. post glucose alone (G), fructose alone (F), or cotreatment of G and F (GF) were quantified using the bright field images taken by OLYMPUS IX71 inverted microscope. Values are means ± </w:t>
      </w:r>
      <w:proofErr w:type="gramStart"/>
      <w:r w:rsidR="005831F0" w:rsidRPr="005831F0">
        <w:rPr>
          <w:rFonts w:ascii="Arial" w:eastAsia="Calibri" w:hAnsi="Arial"/>
          <w:color w:val="000000" w:themeColor="text1"/>
          <w:kern w:val="24"/>
          <w:sz w:val="22"/>
          <w:szCs w:val="22"/>
        </w:rPr>
        <w:t>SEM. .</w:t>
      </w:r>
      <w:proofErr w:type="gramEnd"/>
      <w:r w:rsidR="005831F0" w:rsidRPr="005831F0">
        <w:rPr>
          <w:rFonts w:ascii="Arial" w:eastAsia="Calibri" w:hAnsi="Arial"/>
          <w:color w:val="000000" w:themeColor="text1"/>
          <w:kern w:val="24"/>
          <w:sz w:val="22"/>
          <w:szCs w:val="22"/>
        </w:rPr>
        <w:t xml:space="preserve"> B) Following 72 </w:t>
      </w:r>
      <w:proofErr w:type="spellStart"/>
      <w:r w:rsidR="005831F0" w:rsidRPr="005831F0">
        <w:rPr>
          <w:rFonts w:ascii="Arial" w:eastAsia="Calibri" w:hAnsi="Arial"/>
          <w:color w:val="000000" w:themeColor="text1"/>
          <w:kern w:val="24"/>
          <w:sz w:val="22"/>
          <w:szCs w:val="22"/>
        </w:rPr>
        <w:t>hrs</w:t>
      </w:r>
      <w:proofErr w:type="spellEnd"/>
      <w:r w:rsidR="005831F0" w:rsidRPr="005831F0">
        <w:rPr>
          <w:rFonts w:ascii="Arial" w:eastAsia="Calibri" w:hAnsi="Arial"/>
          <w:color w:val="000000" w:themeColor="text1"/>
          <w:kern w:val="24"/>
          <w:sz w:val="22"/>
          <w:szCs w:val="22"/>
        </w:rPr>
        <w:t xml:space="preserve"> of Glucose (G), Fructose (F), and GF treatments, FITC-Dextran (green) fluorescence intensity within the enteroid was quantified by software ImageJ. Values are means ± SEM; # of enteroid counted: Mock, n = 102; GF, n = 92; G, n = 103; F, n = 102.</w:t>
      </w:r>
    </w:p>
    <w:p w14:paraId="0851DFDB" w14:textId="7B793CE5" w:rsidR="005831F0" w:rsidRDefault="005831F0" w:rsidP="005831F0">
      <w:pPr>
        <w:spacing w:line="360" w:lineRule="auto"/>
        <w:jc w:val="both"/>
        <w:rPr>
          <w:rFonts w:ascii="Arial" w:hAnsi="Arial" w:cs="Arial"/>
          <w:b/>
          <w:bCs/>
        </w:rPr>
      </w:pPr>
    </w:p>
    <w:p w14:paraId="3CAA3371" w14:textId="16B366BE" w:rsidR="005831F0" w:rsidRPr="005831F0" w:rsidRDefault="008A3A2F" w:rsidP="005831F0">
      <w:pPr>
        <w:pStyle w:val="NormalWeb"/>
        <w:spacing w:before="0" w:beforeAutospacing="0" w:after="160" w:afterAutospacing="0" w:line="360" w:lineRule="auto"/>
        <w:jc w:val="both"/>
        <w:rPr>
          <w:sz w:val="22"/>
          <w:szCs w:val="22"/>
        </w:rPr>
      </w:pPr>
      <w:r>
        <w:rPr>
          <w:rFonts w:ascii="Arial" w:eastAsia="Calibri" w:hAnsi="Arial"/>
          <w:b/>
          <w:bCs/>
          <w:noProof/>
          <w:color w:val="000000" w:themeColor="text1"/>
          <w:kern w:val="24"/>
          <w:sz w:val="22"/>
          <w:szCs w:val="22"/>
        </w:rPr>
        <w:lastRenderedPageBreak/>
        <w:drawing>
          <wp:inline distT="0" distB="0" distL="0" distR="0" wp14:anchorId="09B2240A" wp14:editId="7A4A2242">
            <wp:extent cx="4610567" cy="57721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610567" cy="5772172"/>
                    </a:xfrm>
                    <a:prstGeom prst="rect">
                      <a:avLst/>
                    </a:prstGeom>
                    <a:noFill/>
                  </pic:spPr>
                </pic:pic>
              </a:graphicData>
            </a:graphic>
          </wp:inline>
        </w:drawing>
      </w:r>
      <w:r w:rsidR="005831F0" w:rsidRPr="005831F0">
        <w:rPr>
          <w:rFonts w:ascii="Arial" w:eastAsia="Calibri" w:hAnsi="Arial"/>
          <w:b/>
          <w:bCs/>
          <w:color w:val="000000" w:themeColor="text1"/>
          <w:kern w:val="24"/>
          <w:sz w:val="22"/>
          <w:szCs w:val="22"/>
        </w:rPr>
        <w:t xml:space="preserve">Supplemental </w:t>
      </w:r>
      <w:bookmarkStart w:id="0" w:name="_GoBack"/>
      <w:bookmarkEnd w:id="0"/>
      <w:r w:rsidR="005831F0" w:rsidRPr="005831F0">
        <w:rPr>
          <w:rFonts w:ascii="Arial" w:eastAsia="Calibri" w:hAnsi="Arial"/>
          <w:b/>
          <w:bCs/>
          <w:color w:val="000000" w:themeColor="text1"/>
          <w:kern w:val="24"/>
          <w:sz w:val="22"/>
          <w:szCs w:val="22"/>
        </w:rPr>
        <w:t xml:space="preserve">Figure 4. High-glucose treatment increases permeability in Caco2 cells. A) </w:t>
      </w:r>
      <w:r w:rsidR="005831F0" w:rsidRPr="005831F0">
        <w:rPr>
          <w:rFonts w:ascii="Arial" w:eastAsia="Calibri" w:hAnsi="Arial"/>
          <w:color w:val="000000" w:themeColor="text1"/>
          <w:kern w:val="24"/>
          <w:sz w:val="22"/>
          <w:szCs w:val="22"/>
        </w:rPr>
        <w:t xml:space="preserve">Caco2 cells were grown in a collagen-coated </w:t>
      </w:r>
      <w:proofErr w:type="spellStart"/>
      <w:r w:rsidR="005831F0" w:rsidRPr="005831F0">
        <w:rPr>
          <w:rFonts w:ascii="Arial" w:eastAsia="Calibri" w:hAnsi="Arial"/>
          <w:color w:val="000000" w:themeColor="text1"/>
          <w:kern w:val="24"/>
          <w:sz w:val="22"/>
          <w:szCs w:val="22"/>
        </w:rPr>
        <w:t>transwell</w:t>
      </w:r>
      <w:proofErr w:type="spellEnd"/>
      <w:r w:rsidR="005831F0" w:rsidRPr="005831F0">
        <w:rPr>
          <w:rFonts w:ascii="Arial" w:eastAsia="Calibri" w:hAnsi="Arial"/>
          <w:color w:val="000000" w:themeColor="text1"/>
          <w:kern w:val="24"/>
          <w:sz w:val="22"/>
          <w:szCs w:val="22"/>
        </w:rPr>
        <w:t xml:space="preserve"> system until full confluency. After 21 days at confluency, cells were treated with high glucose either basolaterally (G-BL), apically (G-Ap) or both (G-Both) for up to 48 hrs. Membrane resistance was measured, and changes in TEER values were plotted with time. B) At 24 and 48 hrs. post-glucose treatment, cells were harvested, RT-qPCR measured</w:t>
      </w:r>
      <w:r w:rsidR="005831F0" w:rsidRPr="005831F0">
        <w:rPr>
          <w:rFonts w:ascii="Arial" w:eastAsia="Calibri" w:hAnsi="Arial"/>
          <w:i/>
          <w:iCs/>
          <w:color w:val="000000" w:themeColor="text1"/>
          <w:kern w:val="24"/>
          <w:sz w:val="22"/>
          <w:szCs w:val="22"/>
        </w:rPr>
        <w:t xml:space="preserve"> zip14 </w:t>
      </w:r>
      <w:r w:rsidR="005831F0" w:rsidRPr="005831F0">
        <w:rPr>
          <w:rFonts w:ascii="Arial" w:eastAsia="Calibri" w:hAnsi="Arial"/>
          <w:color w:val="000000" w:themeColor="text1"/>
          <w:kern w:val="24"/>
          <w:sz w:val="22"/>
          <w:szCs w:val="22"/>
        </w:rPr>
        <w:t xml:space="preserve">mRNA levels, and relative fold changes of gene expression levels were analyzed. C, D) At 24 hrs. post glucose treatment, cells were harvested. Zn (C) and Fe and Mn (D) concentrations were determined by MP-AES. Values are expressed as the mean ± SEM. Unpaired t-test between control and sucrose-treated groups.  </w:t>
      </w:r>
    </w:p>
    <w:p w14:paraId="38135669" w14:textId="21ECBCA3" w:rsidR="005831F0" w:rsidRDefault="005831F0" w:rsidP="005831F0">
      <w:pPr>
        <w:spacing w:line="360" w:lineRule="auto"/>
        <w:jc w:val="both"/>
        <w:rPr>
          <w:rFonts w:ascii="Arial" w:hAnsi="Arial" w:cs="Arial"/>
          <w:b/>
          <w:bCs/>
        </w:rPr>
      </w:pPr>
      <w:r>
        <w:rPr>
          <w:rFonts w:ascii="Arial" w:hAnsi="Arial" w:cs="Arial"/>
          <w:b/>
          <w:bCs/>
          <w:noProof/>
        </w:rPr>
        <w:lastRenderedPageBreak/>
        <w:drawing>
          <wp:inline distT="0" distB="0" distL="0" distR="0" wp14:anchorId="5E33643E" wp14:editId="7D3629C1">
            <wp:extent cx="5360035" cy="22350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8457" cy="2238517"/>
                    </a:xfrm>
                    <a:prstGeom prst="rect">
                      <a:avLst/>
                    </a:prstGeom>
                    <a:noFill/>
                  </pic:spPr>
                </pic:pic>
              </a:graphicData>
            </a:graphic>
          </wp:inline>
        </w:drawing>
      </w:r>
    </w:p>
    <w:p w14:paraId="66A3A993" w14:textId="77777777" w:rsidR="005831F0" w:rsidRPr="005831F0" w:rsidRDefault="005831F0" w:rsidP="005831F0">
      <w:pPr>
        <w:pStyle w:val="NormalWeb"/>
        <w:spacing w:before="0" w:beforeAutospacing="0" w:after="160" w:afterAutospacing="0" w:line="360" w:lineRule="auto"/>
        <w:jc w:val="both"/>
        <w:rPr>
          <w:sz w:val="22"/>
          <w:szCs w:val="22"/>
        </w:rPr>
      </w:pPr>
      <w:r w:rsidRPr="005831F0">
        <w:rPr>
          <w:rFonts w:ascii="Arial" w:eastAsia="Calibri" w:hAnsi="Arial"/>
          <w:b/>
          <w:bCs/>
          <w:color w:val="000000" w:themeColor="text1"/>
          <w:kern w:val="24"/>
          <w:sz w:val="22"/>
          <w:szCs w:val="22"/>
        </w:rPr>
        <w:t xml:space="preserve">Supplemental Figure 5. Indomethacin injections increase intestinal permeability. </w:t>
      </w:r>
      <w:r w:rsidRPr="005831F0">
        <w:rPr>
          <w:rFonts w:ascii="Arial" w:eastAsia="Calibri" w:hAnsi="Arial"/>
          <w:color w:val="000000" w:themeColor="text1"/>
          <w:kern w:val="24"/>
          <w:sz w:val="22"/>
          <w:szCs w:val="22"/>
        </w:rPr>
        <w:t xml:space="preserve">Mice were </w:t>
      </w:r>
      <w:proofErr w:type="gramStart"/>
      <w:r w:rsidRPr="005831F0">
        <w:rPr>
          <w:rFonts w:ascii="Arial" w:eastAsia="Calibri" w:hAnsi="Arial"/>
          <w:color w:val="000000" w:themeColor="text1"/>
          <w:kern w:val="24"/>
          <w:sz w:val="22"/>
          <w:szCs w:val="22"/>
        </w:rPr>
        <w:t>injected  (</w:t>
      </w:r>
      <w:proofErr w:type="gramEnd"/>
      <w:r w:rsidRPr="005831F0">
        <w:rPr>
          <w:rFonts w:ascii="Arial" w:eastAsia="Calibri" w:hAnsi="Arial"/>
          <w:color w:val="000000" w:themeColor="text1"/>
          <w:kern w:val="24"/>
          <w:sz w:val="22"/>
          <w:szCs w:val="22"/>
        </w:rPr>
        <w:t xml:space="preserve">5 mg/ kg body weight) with indomethacin for two consecutive days. A) Percent body weight changes were calculated based on baseline weight. B) Length of small intestines was measured at the time of tissue collection. C) Following 2 days of indomethacin injection, mice were given FITC-Dextran after morning fasting. Blood was collected after two hours. FITC-Dextran concentrations in plasma were measured fluorometrically. Values are expressed as the mean ± SEM. Unpaired t-test between control and sucrose-treated groups. </w:t>
      </w:r>
    </w:p>
    <w:p w14:paraId="120D85DF" w14:textId="77777777" w:rsidR="005831F0" w:rsidRPr="005831F0" w:rsidRDefault="005831F0" w:rsidP="005831F0">
      <w:pPr>
        <w:spacing w:line="360" w:lineRule="auto"/>
        <w:jc w:val="both"/>
        <w:rPr>
          <w:rFonts w:ascii="Arial" w:hAnsi="Arial" w:cs="Arial"/>
          <w:b/>
          <w:bCs/>
        </w:rPr>
      </w:pPr>
    </w:p>
    <w:sectPr w:rsidR="005831F0" w:rsidRPr="00583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85D7B"/>
    <w:multiLevelType w:val="hybridMultilevel"/>
    <w:tmpl w:val="DAFE0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2sDA1s7A0tzQytTRR0lEKTi0uzszPAykwrgUA3cpMhSwAAAA="/>
  </w:docVars>
  <w:rsids>
    <w:rsidRoot w:val="005831F0"/>
    <w:rsid w:val="000B3C7C"/>
    <w:rsid w:val="003472D7"/>
    <w:rsid w:val="00366F0E"/>
    <w:rsid w:val="003F3756"/>
    <w:rsid w:val="00491AA3"/>
    <w:rsid w:val="005831F0"/>
    <w:rsid w:val="008A3A2F"/>
    <w:rsid w:val="00F7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7F9C"/>
  <w15:chartTrackingRefBased/>
  <w15:docId w15:val="{93C0532E-F0DF-46AB-B1B6-23B24FEF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1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7D7A"/>
    <w:rPr>
      <w:color w:val="0563C1" w:themeColor="hyperlink"/>
      <w:u w:val="single"/>
    </w:rPr>
  </w:style>
  <w:style w:type="character" w:customStyle="1" w:styleId="None">
    <w:name w:val="None"/>
    <w:rsid w:val="00F77D7A"/>
  </w:style>
  <w:style w:type="paragraph" w:styleId="ListParagraph">
    <w:name w:val="List Paragraph"/>
    <w:basedOn w:val="Normal"/>
    <w:uiPriority w:val="34"/>
    <w:qFormat/>
    <w:rsid w:val="00F77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0883">
      <w:bodyDiv w:val="1"/>
      <w:marLeft w:val="0"/>
      <w:marRight w:val="0"/>
      <w:marTop w:val="0"/>
      <w:marBottom w:val="0"/>
      <w:divBdr>
        <w:top w:val="none" w:sz="0" w:space="0" w:color="auto"/>
        <w:left w:val="none" w:sz="0" w:space="0" w:color="auto"/>
        <w:bottom w:val="none" w:sz="0" w:space="0" w:color="auto"/>
        <w:right w:val="none" w:sz="0" w:space="0" w:color="auto"/>
      </w:divBdr>
    </w:div>
    <w:div w:id="884678894">
      <w:bodyDiv w:val="1"/>
      <w:marLeft w:val="0"/>
      <w:marRight w:val="0"/>
      <w:marTop w:val="0"/>
      <w:marBottom w:val="0"/>
      <w:divBdr>
        <w:top w:val="none" w:sz="0" w:space="0" w:color="auto"/>
        <w:left w:val="none" w:sz="0" w:space="0" w:color="auto"/>
        <w:bottom w:val="none" w:sz="0" w:space="0" w:color="auto"/>
        <w:right w:val="none" w:sz="0" w:space="0" w:color="auto"/>
      </w:divBdr>
    </w:div>
    <w:div w:id="919487208">
      <w:bodyDiv w:val="1"/>
      <w:marLeft w:val="0"/>
      <w:marRight w:val="0"/>
      <w:marTop w:val="0"/>
      <w:marBottom w:val="0"/>
      <w:divBdr>
        <w:top w:val="none" w:sz="0" w:space="0" w:color="auto"/>
        <w:left w:val="none" w:sz="0" w:space="0" w:color="auto"/>
        <w:bottom w:val="none" w:sz="0" w:space="0" w:color="auto"/>
        <w:right w:val="none" w:sz="0" w:space="0" w:color="auto"/>
      </w:divBdr>
    </w:div>
    <w:div w:id="1081222612">
      <w:bodyDiv w:val="1"/>
      <w:marLeft w:val="0"/>
      <w:marRight w:val="0"/>
      <w:marTop w:val="0"/>
      <w:marBottom w:val="0"/>
      <w:divBdr>
        <w:top w:val="none" w:sz="0" w:space="0" w:color="auto"/>
        <w:left w:val="none" w:sz="0" w:space="0" w:color="auto"/>
        <w:bottom w:val="none" w:sz="0" w:space="0" w:color="auto"/>
        <w:right w:val="none" w:sz="0" w:space="0" w:color="auto"/>
      </w:divBdr>
    </w:div>
    <w:div w:id="16676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tb536@cornell.edu"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515</Words>
  <Characters>2942</Characters>
  <Application>Microsoft Office Word</Application>
  <DocSecurity>0</DocSecurity>
  <Lines>24</Lines>
  <Paragraphs>6</Paragraphs>
  <ScaleCrop>false</ScaleCrop>
  <Company>Cornell University</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Tolunay Beker Aydemir</dc:creator>
  <cp:keywords/>
  <dc:description/>
  <cp:lastModifiedBy>Samuel Blake Mitchell</cp:lastModifiedBy>
  <cp:revision>4</cp:revision>
  <dcterms:created xsi:type="dcterms:W3CDTF">2023-05-01T04:22:00Z</dcterms:created>
  <dcterms:modified xsi:type="dcterms:W3CDTF">2023-08-02T20:11:00Z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d5cdad37-430b-4591-93df-584861451efd</vt:lpwstr>
  </property>
</Properties>
</file>