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6F28392B" w:rsidR="00C16AD6" w:rsidRPr="00F631B4" w:rsidRDefault="00C16AD6" w:rsidP="1E06349C">
      <w:pPr>
        <w:spacing w:after="0" w:line="480" w:lineRule="auto"/>
        <w:jc w:val="both"/>
        <w:rPr>
          <w:rFonts w:ascii="Times New Roman" w:hAnsi="Times New Roman" w:cs="Times New Roman"/>
          <w:b/>
          <w:bCs/>
          <w:sz w:val="24"/>
          <w:szCs w:val="24"/>
        </w:rPr>
      </w:pPr>
      <w:bookmarkStart w:id="0" w:name="_GoBack"/>
      <w:bookmarkEnd w:id="0"/>
      <w:r w:rsidRPr="1E06349C">
        <w:rPr>
          <w:rFonts w:ascii="Times New Roman" w:hAnsi="Times New Roman" w:cs="Times New Roman"/>
          <w:b/>
          <w:bCs/>
          <w:sz w:val="24"/>
          <w:szCs w:val="24"/>
        </w:rPr>
        <w:t>SUPPLEMENTARY MATERIAL</w:t>
      </w:r>
    </w:p>
    <w:p w14:paraId="24924C10" w14:textId="77777777" w:rsidR="00C16AD6" w:rsidRPr="00F631B4" w:rsidRDefault="00C16AD6" w:rsidP="636AF7CC">
      <w:pPr>
        <w:spacing w:after="0" w:line="480" w:lineRule="auto"/>
        <w:jc w:val="both"/>
        <w:rPr>
          <w:rFonts w:ascii="Times New Roman" w:hAnsi="Times New Roman" w:cs="Times New Roman"/>
          <w:b/>
          <w:bCs/>
          <w:sz w:val="24"/>
          <w:szCs w:val="24"/>
        </w:rPr>
      </w:pPr>
      <w:r w:rsidRPr="636AF7CC">
        <w:rPr>
          <w:rFonts w:ascii="Times New Roman" w:hAnsi="Times New Roman" w:cs="Times New Roman"/>
          <w:b/>
          <w:bCs/>
          <w:sz w:val="24"/>
          <w:szCs w:val="24"/>
        </w:rPr>
        <w:t>METHODS</w:t>
      </w:r>
    </w:p>
    <w:p w14:paraId="33705F8C" w14:textId="7DF7E8C8" w:rsidR="00F94057" w:rsidRDefault="001431F3" w:rsidP="1E06349C">
      <w:pPr>
        <w:spacing w:after="0" w:line="480" w:lineRule="auto"/>
        <w:jc w:val="both"/>
        <w:rPr>
          <w:rStyle w:val="Hyperlink"/>
          <w:rFonts w:ascii="Times New Roman" w:hAnsi="Times New Roman" w:cs="Times New Roman"/>
          <w:color w:val="auto"/>
          <w:sz w:val="24"/>
          <w:szCs w:val="24"/>
          <w:u w:val="none"/>
        </w:rPr>
      </w:pPr>
      <w:r w:rsidRPr="1E06349C">
        <w:rPr>
          <w:rFonts w:ascii="Times New Roman" w:hAnsi="Times New Roman" w:cs="Times New Roman"/>
          <w:b/>
          <w:bCs/>
          <w:sz w:val="24"/>
          <w:szCs w:val="24"/>
        </w:rPr>
        <w:t xml:space="preserve">1. </w:t>
      </w:r>
      <w:r w:rsidR="00C16AD6" w:rsidRPr="1E06349C">
        <w:rPr>
          <w:rFonts w:ascii="Times New Roman" w:hAnsi="Times New Roman" w:cs="Times New Roman"/>
          <w:b/>
          <w:bCs/>
          <w:sz w:val="24"/>
          <w:szCs w:val="24"/>
        </w:rPr>
        <w:t>Serum isolation and serological studies</w:t>
      </w:r>
    </w:p>
    <w:p w14:paraId="4ADE4E77" w14:textId="63D9BE8F" w:rsidR="00F94057" w:rsidRDefault="00C16AD6" w:rsidP="1E06349C">
      <w:pPr>
        <w:spacing w:after="0" w:line="240" w:lineRule="auto"/>
        <w:jc w:val="both"/>
        <w:rPr>
          <w:rStyle w:val="Hyperlink"/>
          <w:rFonts w:ascii="Times New Roman" w:hAnsi="Times New Roman" w:cs="Times New Roman"/>
          <w:color w:val="auto"/>
          <w:sz w:val="24"/>
          <w:szCs w:val="24"/>
          <w:u w:val="none"/>
        </w:rPr>
      </w:pPr>
      <w:r w:rsidRPr="1E06349C">
        <w:rPr>
          <w:rStyle w:val="Hyperlink"/>
          <w:rFonts w:ascii="Times New Roman" w:hAnsi="Times New Roman" w:cs="Times New Roman"/>
          <w:color w:val="auto"/>
          <w:sz w:val="24"/>
          <w:szCs w:val="24"/>
          <w:u w:val="none"/>
        </w:rPr>
        <w:t>For serum isolation, whole blood samples in BD Vacutainer® SST™ tubes (BD, Italy) were clotted at room temperature for at least 1 hour and then centrifuged for 10 min at 800 g. Serum samples were stored at +4 °C until use, then aliquoted and stored at -80°C for SARS-COV-2 antibody detection and future use.</w:t>
      </w:r>
    </w:p>
    <w:p w14:paraId="23A30F79" w14:textId="5B434CBF" w:rsidR="00F94057" w:rsidRPr="00F631B4" w:rsidRDefault="00C16AD6" w:rsidP="1E06349C">
      <w:pPr>
        <w:spacing w:after="0" w:line="240" w:lineRule="auto"/>
        <w:jc w:val="both"/>
        <w:rPr>
          <w:rStyle w:val="Hyperlink"/>
          <w:rFonts w:ascii="Times New Roman" w:hAnsi="Times New Roman" w:cs="Times New Roman"/>
          <w:color w:val="auto"/>
          <w:sz w:val="24"/>
          <w:szCs w:val="24"/>
          <w:u w:val="none"/>
        </w:rPr>
      </w:pPr>
      <w:r w:rsidRPr="1E06349C">
        <w:rPr>
          <w:rStyle w:val="Hyperlink"/>
          <w:rFonts w:ascii="Times New Roman" w:hAnsi="Times New Roman" w:cs="Times New Roman"/>
          <w:color w:val="auto"/>
          <w:sz w:val="24"/>
          <w:szCs w:val="24"/>
          <w:u w:val="none"/>
        </w:rPr>
        <w:t>Levels of IgG antibodies against S1/S2 antigens of SARS-CoV-2 were measured with the LIAISON</w:t>
      </w:r>
      <w:r w:rsidRPr="1E06349C">
        <w:rPr>
          <w:rStyle w:val="Hyperlink"/>
          <w:rFonts w:ascii="Times New Roman" w:hAnsi="Times New Roman" w:cs="Times New Roman"/>
          <w:color w:val="auto"/>
          <w:sz w:val="24"/>
          <w:szCs w:val="24"/>
          <w:u w:val="none"/>
          <w:vertAlign w:val="superscript"/>
        </w:rPr>
        <w:t>®</w:t>
      </w:r>
      <w:r w:rsidRPr="1E06349C">
        <w:rPr>
          <w:rStyle w:val="Hyperlink"/>
          <w:rFonts w:ascii="Times New Roman" w:hAnsi="Times New Roman" w:cs="Times New Roman"/>
          <w:color w:val="auto"/>
          <w:sz w:val="24"/>
          <w:szCs w:val="24"/>
          <w:u w:val="none"/>
        </w:rPr>
        <w:t xml:space="preserve"> SARS-CoV-2 S1/S2 IgG commercial test (Diasorin, Italy). The LIAISON</w:t>
      </w:r>
      <w:r w:rsidRPr="1E06349C">
        <w:rPr>
          <w:rStyle w:val="Hyperlink"/>
          <w:rFonts w:ascii="Times New Roman" w:hAnsi="Times New Roman" w:cs="Times New Roman"/>
          <w:color w:val="auto"/>
          <w:sz w:val="24"/>
          <w:szCs w:val="24"/>
          <w:u w:val="none"/>
          <w:vertAlign w:val="superscript"/>
        </w:rPr>
        <w:t>®</w:t>
      </w:r>
      <w:r w:rsidRPr="1E06349C">
        <w:rPr>
          <w:rStyle w:val="Hyperlink"/>
          <w:rFonts w:ascii="Times New Roman" w:hAnsi="Times New Roman" w:cs="Times New Roman"/>
          <w:color w:val="auto"/>
          <w:sz w:val="24"/>
          <w:szCs w:val="24"/>
          <w:u w:val="none"/>
        </w:rPr>
        <w:t xml:space="preserve"> SARS-CoV-2 S1/S2 IgG test is a quantitative chemiluminescent immunoassay (CLIA), fully automated on the LIAISON</w:t>
      </w:r>
      <w:r w:rsidRPr="1E06349C">
        <w:rPr>
          <w:rStyle w:val="Hyperlink"/>
          <w:rFonts w:ascii="Times New Roman" w:hAnsi="Times New Roman" w:cs="Times New Roman"/>
          <w:color w:val="auto"/>
          <w:sz w:val="24"/>
          <w:szCs w:val="24"/>
          <w:u w:val="none"/>
          <w:vertAlign w:val="superscript"/>
        </w:rPr>
        <w:t>®</w:t>
      </w:r>
      <w:r w:rsidRPr="1E06349C">
        <w:rPr>
          <w:rStyle w:val="Hyperlink"/>
          <w:rFonts w:ascii="Times New Roman" w:hAnsi="Times New Roman" w:cs="Times New Roman"/>
          <w:color w:val="auto"/>
          <w:sz w:val="24"/>
          <w:szCs w:val="24"/>
          <w:u w:val="none"/>
        </w:rPr>
        <w:t xml:space="preserve"> XL platform, for the detection of IgG antibodies against the subunits S1 and S2 of the SARS-CoV-2 spike protein. According to the manufacturers’ technical manual, the result of a LIAISON</w:t>
      </w:r>
      <w:r w:rsidRPr="1E06349C">
        <w:rPr>
          <w:rStyle w:val="Hyperlink"/>
          <w:rFonts w:ascii="Times New Roman" w:hAnsi="Times New Roman" w:cs="Times New Roman"/>
          <w:color w:val="auto"/>
          <w:sz w:val="24"/>
          <w:szCs w:val="24"/>
          <w:u w:val="none"/>
          <w:vertAlign w:val="superscript"/>
        </w:rPr>
        <w:t>®</w:t>
      </w:r>
      <w:r w:rsidRPr="1E06349C">
        <w:rPr>
          <w:rStyle w:val="Hyperlink"/>
          <w:rFonts w:ascii="Times New Roman" w:hAnsi="Times New Roman" w:cs="Times New Roman"/>
          <w:color w:val="auto"/>
          <w:sz w:val="24"/>
          <w:szCs w:val="24"/>
          <w:u w:val="none"/>
        </w:rPr>
        <w:t xml:space="preserve"> SARS-CoV-2 S1/S2 IgG test has been reported as positive with a signal of 15 AU/mL or higher, equivocal between 12 and 15 AU/mL and negative &lt;12 AU/mL. The cut-off to discriminate positive samples was based on a concordance level of 94.4% between the LIAISON</w:t>
      </w:r>
      <w:r w:rsidRPr="1E06349C">
        <w:rPr>
          <w:rStyle w:val="Hyperlink"/>
          <w:rFonts w:ascii="Times New Roman" w:hAnsi="Times New Roman" w:cs="Times New Roman"/>
          <w:color w:val="auto"/>
          <w:sz w:val="24"/>
          <w:szCs w:val="24"/>
          <w:u w:val="none"/>
          <w:vertAlign w:val="superscript"/>
        </w:rPr>
        <w:t>®</w:t>
      </w:r>
      <w:r w:rsidRPr="1E06349C">
        <w:rPr>
          <w:rStyle w:val="Hyperlink"/>
          <w:rFonts w:ascii="Times New Roman" w:hAnsi="Times New Roman" w:cs="Times New Roman"/>
          <w:color w:val="auto"/>
          <w:sz w:val="24"/>
          <w:szCs w:val="24"/>
          <w:u w:val="none"/>
        </w:rPr>
        <w:t xml:space="preserve"> IgG titer of 15 AU/mL and the Plaque Reduction Neutralization Test 90% (PRNT90) at 1:40 ratio. At a LIAISON</w:t>
      </w:r>
      <w:r w:rsidRPr="1E06349C">
        <w:rPr>
          <w:rStyle w:val="Hyperlink"/>
          <w:rFonts w:ascii="Times New Roman" w:hAnsi="Times New Roman" w:cs="Times New Roman"/>
          <w:color w:val="auto"/>
          <w:sz w:val="24"/>
          <w:szCs w:val="24"/>
          <w:u w:val="none"/>
          <w:vertAlign w:val="superscript"/>
        </w:rPr>
        <w:t>®</w:t>
      </w:r>
      <w:r w:rsidRPr="1E06349C">
        <w:rPr>
          <w:rStyle w:val="Hyperlink"/>
          <w:rFonts w:ascii="Times New Roman" w:hAnsi="Times New Roman" w:cs="Times New Roman"/>
          <w:color w:val="auto"/>
          <w:sz w:val="24"/>
          <w:szCs w:val="24"/>
          <w:u w:val="none"/>
        </w:rPr>
        <w:t xml:space="preserve"> value of 80 AU/mL, a concordance of 100% with a 1:160 PRNT90 titer was observed. To date, PRNT90 is a gold standard for evaluating the relative concentrations of virus-specific neutralizing antibodies. The robustness of the concordance evidence between this CLIA and the PRNT90 allowed for LIAISON</w:t>
      </w:r>
      <w:r w:rsidRPr="1E06349C">
        <w:rPr>
          <w:rStyle w:val="Hyperlink"/>
          <w:rFonts w:ascii="Times New Roman" w:hAnsi="Times New Roman" w:cs="Times New Roman"/>
          <w:color w:val="auto"/>
          <w:sz w:val="24"/>
          <w:szCs w:val="24"/>
          <w:u w:val="none"/>
          <w:vertAlign w:val="superscript"/>
        </w:rPr>
        <w:t>®</w:t>
      </w:r>
      <w:r w:rsidRPr="1E06349C">
        <w:rPr>
          <w:rStyle w:val="Hyperlink"/>
          <w:rFonts w:ascii="Times New Roman" w:hAnsi="Times New Roman" w:cs="Times New Roman"/>
          <w:color w:val="auto"/>
          <w:sz w:val="24"/>
          <w:szCs w:val="24"/>
          <w:u w:val="none"/>
        </w:rPr>
        <w:t xml:space="preserve"> SARS-CoV-2 S1/S2 IgG by DiaSorin</w:t>
      </w:r>
      <w:r w:rsidRPr="1E06349C">
        <w:rPr>
          <w:rStyle w:val="Hyperlink"/>
          <w:rFonts w:ascii="Times New Roman" w:hAnsi="Times New Roman" w:cs="Times New Roman"/>
          <w:color w:val="auto"/>
          <w:sz w:val="24"/>
          <w:szCs w:val="24"/>
          <w:u w:val="none"/>
          <w:vertAlign w:val="superscript"/>
        </w:rPr>
        <w:t>®</w:t>
      </w:r>
      <w:r w:rsidRPr="1E06349C">
        <w:rPr>
          <w:rStyle w:val="Hyperlink"/>
          <w:rFonts w:ascii="Times New Roman" w:hAnsi="Times New Roman" w:cs="Times New Roman"/>
          <w:color w:val="auto"/>
          <w:sz w:val="24"/>
          <w:szCs w:val="24"/>
          <w:u w:val="none"/>
        </w:rPr>
        <w:t xml:space="preserve"> to be approved by the FDA </w:t>
      </w:r>
      <w:r w:rsidR="003D3E48">
        <w:rPr>
          <w:rStyle w:val="Hyperlink"/>
          <w:rFonts w:ascii="Times New Roman" w:hAnsi="Times New Roman" w:cs="Times New Roman"/>
          <w:color w:val="auto"/>
          <w:sz w:val="24"/>
          <w:szCs w:val="24"/>
          <w:u w:val="none"/>
        </w:rPr>
        <w:t>i</w:t>
      </w:r>
      <w:r w:rsidRPr="1E06349C">
        <w:rPr>
          <w:rStyle w:val="Hyperlink"/>
          <w:rFonts w:ascii="Times New Roman" w:hAnsi="Times New Roman" w:cs="Times New Roman"/>
          <w:color w:val="auto"/>
          <w:sz w:val="24"/>
          <w:szCs w:val="24"/>
          <w:u w:val="none"/>
        </w:rPr>
        <w:t>n April 2020 (</w:t>
      </w:r>
      <w:r w:rsidR="00E61AD7" w:rsidRPr="1E06349C">
        <w:rPr>
          <w:rStyle w:val="Hyperlink"/>
          <w:rFonts w:ascii="Times New Roman" w:hAnsi="Times New Roman" w:cs="Times New Roman"/>
          <w:color w:val="auto"/>
          <w:sz w:val="24"/>
          <w:szCs w:val="24"/>
          <w:u w:val="none"/>
        </w:rPr>
        <w:t>1</w:t>
      </w:r>
      <w:r w:rsidRPr="1E06349C">
        <w:rPr>
          <w:rStyle w:val="Hyperlink"/>
          <w:rFonts w:ascii="Times New Roman" w:hAnsi="Times New Roman" w:cs="Times New Roman"/>
          <w:color w:val="auto"/>
          <w:sz w:val="24"/>
          <w:szCs w:val="24"/>
          <w:u w:val="none"/>
        </w:rPr>
        <w:t xml:space="preserve">). </w:t>
      </w:r>
    </w:p>
    <w:p w14:paraId="1775589D" w14:textId="6D9A8D58" w:rsidR="00F94057" w:rsidRPr="00F631B4" w:rsidRDefault="00C16AD6" w:rsidP="1E06349C">
      <w:pPr>
        <w:spacing w:line="240" w:lineRule="auto"/>
        <w:jc w:val="both"/>
        <w:rPr>
          <w:rStyle w:val="Hyperlink"/>
          <w:rFonts w:ascii="Times New Roman" w:hAnsi="Times New Roman" w:cs="Times New Roman"/>
          <w:color w:val="auto"/>
          <w:sz w:val="24"/>
          <w:szCs w:val="24"/>
          <w:u w:val="none"/>
        </w:rPr>
      </w:pPr>
      <w:r w:rsidRPr="1E06349C">
        <w:rPr>
          <w:rStyle w:val="Hyperlink"/>
          <w:rFonts w:ascii="Times New Roman" w:hAnsi="Times New Roman" w:cs="Times New Roman"/>
          <w:color w:val="auto"/>
          <w:sz w:val="24"/>
          <w:szCs w:val="24"/>
          <w:u w:val="none"/>
        </w:rPr>
        <w:t>In order to facilitate the serological method standardizations and allow data-set comparisons and harmonization across laboratories, the first WHO International Standard and the first WHO Reference Panel of anti-SARS-CoV-2 immunoglobulin have been established (</w:t>
      </w:r>
      <w:r w:rsidR="00E61AD7" w:rsidRPr="1E06349C">
        <w:rPr>
          <w:rStyle w:val="Hyperlink"/>
          <w:rFonts w:ascii="Times New Roman" w:hAnsi="Times New Roman" w:cs="Times New Roman"/>
          <w:color w:val="auto"/>
          <w:sz w:val="24"/>
          <w:szCs w:val="24"/>
          <w:u w:val="none"/>
        </w:rPr>
        <w:t>2</w:t>
      </w:r>
      <w:r w:rsidRPr="1E06349C">
        <w:rPr>
          <w:rStyle w:val="Hyperlink"/>
          <w:rFonts w:ascii="Times New Roman" w:hAnsi="Times New Roman" w:cs="Times New Roman"/>
          <w:color w:val="auto"/>
          <w:sz w:val="24"/>
          <w:szCs w:val="24"/>
          <w:u w:val="none"/>
        </w:rPr>
        <w:t>). As a consequence, from September 2021, serological studies were performed by using the LIAISON® SARS-CoV-2 TrimericS IgG assay (Emergency Use Authorization, EUA). This indirect CLIA technology detects IgG antibodies to SARS-CoV-2 in human serum and plasma samples. The principal components of the test are paramagnetic particles (solid phase) coated with recombinant trimeric SARS-CoV-2 spike protein and a conjugate reagent containing an anti-human IgG mouse monoclonal antibody linked to isoluminol derivatives. The assay is intended to assess the presence of antibodies to SARS-CoV-2, including neutralizing antibodies, in human serum or plasma. The positive percent agreement of the LIAISON</w:t>
      </w:r>
      <w:r w:rsidRPr="1E06349C">
        <w:rPr>
          <w:rStyle w:val="Hyperlink"/>
          <w:rFonts w:ascii="Times New Roman" w:hAnsi="Times New Roman" w:cs="Times New Roman"/>
          <w:color w:val="auto"/>
          <w:sz w:val="24"/>
          <w:szCs w:val="24"/>
          <w:u w:val="none"/>
          <w:vertAlign w:val="superscript"/>
        </w:rPr>
        <w:t>®</w:t>
      </w:r>
      <w:r w:rsidRPr="1E06349C">
        <w:rPr>
          <w:rStyle w:val="Hyperlink"/>
          <w:rFonts w:ascii="Times New Roman" w:hAnsi="Times New Roman" w:cs="Times New Roman"/>
          <w:color w:val="auto"/>
          <w:sz w:val="24"/>
          <w:szCs w:val="24"/>
          <w:u w:val="none"/>
        </w:rPr>
        <w:t xml:space="preserve"> SARS-CoV-2 TrimericS IgG test compared with polymerase chain reaction (PCR) for samples ≥15 days after diagnosis was determined to be 98.7% (95% CI: 94.5–99.6%) according to the manufacturer’s instruction for use; conversely, the negative percent agreement was 99.5% (95% CI: 99.0–99.7%) in 1899 blood donor samples collected prior to COVID-19 outbreak. The antibodies in the tested samples were quantified in arbitrary units per milliliter (AU/mL) and converted to BAU/mL according to the manufacturers’ information regarding the WHO standard. The conversion to BAU was AU/mL×2.6 (</w:t>
      </w:r>
      <w:r w:rsidR="00E61AD7" w:rsidRPr="1E06349C">
        <w:rPr>
          <w:rStyle w:val="Hyperlink"/>
          <w:rFonts w:ascii="Times New Roman" w:hAnsi="Times New Roman" w:cs="Times New Roman"/>
          <w:color w:val="auto"/>
          <w:sz w:val="24"/>
          <w:szCs w:val="24"/>
          <w:u w:val="none"/>
        </w:rPr>
        <w:t>3</w:t>
      </w:r>
      <w:r w:rsidRPr="1E06349C">
        <w:rPr>
          <w:rStyle w:val="Hyperlink"/>
          <w:rFonts w:ascii="Times New Roman" w:hAnsi="Times New Roman" w:cs="Times New Roman"/>
          <w:color w:val="auto"/>
          <w:sz w:val="24"/>
          <w:szCs w:val="24"/>
          <w:u w:val="none"/>
        </w:rPr>
        <w:t>).</w:t>
      </w:r>
    </w:p>
    <w:p w14:paraId="0A37501D" w14:textId="77777777" w:rsidR="00C16AD6" w:rsidRPr="00F631B4" w:rsidRDefault="00C16AD6" w:rsidP="1E06349C">
      <w:pPr>
        <w:jc w:val="both"/>
        <w:rPr>
          <w:rStyle w:val="Hyperlink"/>
          <w:rFonts w:ascii="Times New Roman" w:hAnsi="Times New Roman" w:cs="Times New Roman"/>
          <w:color w:val="auto"/>
          <w:sz w:val="24"/>
          <w:szCs w:val="24"/>
          <w:u w:val="none"/>
        </w:rPr>
      </w:pPr>
    </w:p>
    <w:p w14:paraId="4F1FBE85" w14:textId="421B8FE8" w:rsidR="00C16AD6" w:rsidRPr="00F94057" w:rsidRDefault="001431F3" w:rsidP="1E06349C">
      <w:pPr>
        <w:spacing w:after="0"/>
        <w:jc w:val="both"/>
        <w:rPr>
          <w:rFonts w:ascii="Times New Roman" w:hAnsi="Times New Roman" w:cs="Times New Roman"/>
          <w:b/>
          <w:bCs/>
          <w:sz w:val="24"/>
          <w:szCs w:val="24"/>
        </w:rPr>
      </w:pPr>
      <w:r w:rsidRPr="1E06349C">
        <w:rPr>
          <w:rFonts w:ascii="Times New Roman" w:hAnsi="Times New Roman" w:cs="Times New Roman"/>
          <w:b/>
          <w:bCs/>
          <w:sz w:val="24"/>
          <w:szCs w:val="24"/>
        </w:rPr>
        <w:t xml:space="preserve">2. </w:t>
      </w:r>
      <w:r w:rsidR="00B13EBD" w:rsidRPr="1E06349C">
        <w:rPr>
          <w:rFonts w:ascii="Times New Roman" w:hAnsi="Times New Roman" w:cs="Times New Roman"/>
          <w:b/>
          <w:bCs/>
          <w:sz w:val="24"/>
          <w:szCs w:val="24"/>
        </w:rPr>
        <w:t xml:space="preserve">Binding Neutralization Assay </w:t>
      </w:r>
      <w:r w:rsidR="00C16AD6" w:rsidRPr="1E06349C">
        <w:rPr>
          <w:rFonts w:ascii="Times New Roman" w:hAnsi="Times New Roman" w:cs="Times New Roman"/>
          <w:b/>
          <w:bCs/>
          <w:i/>
          <w:iCs/>
          <w:sz w:val="24"/>
          <w:szCs w:val="24"/>
        </w:rPr>
        <w:t>Alpha</w:t>
      </w:r>
      <w:r w:rsidR="00C16AD6" w:rsidRPr="1E06349C">
        <w:rPr>
          <w:rFonts w:ascii="Times New Roman" w:hAnsi="Times New Roman" w:cs="Times New Roman"/>
          <w:b/>
          <w:bCs/>
          <w:sz w:val="24"/>
          <w:szCs w:val="24"/>
        </w:rPr>
        <w:t xml:space="preserve"> variant</w:t>
      </w:r>
    </w:p>
    <w:p w14:paraId="73738B2F" w14:textId="6299C948" w:rsidR="00F94057" w:rsidRPr="00F631B4" w:rsidRDefault="00C16AD6" w:rsidP="1E06349C">
      <w:pPr>
        <w:spacing w:after="0"/>
        <w:jc w:val="both"/>
        <w:rPr>
          <w:rStyle w:val="Hyperlink"/>
          <w:rFonts w:ascii="Times New Roman" w:hAnsi="Times New Roman" w:cs="Times New Roman"/>
          <w:color w:val="auto"/>
          <w:sz w:val="24"/>
          <w:szCs w:val="24"/>
          <w:u w:val="none"/>
        </w:rPr>
      </w:pPr>
      <w:r w:rsidRPr="1E06349C">
        <w:rPr>
          <w:rFonts w:ascii="Times New Roman" w:hAnsi="Times New Roman" w:cs="Times New Roman"/>
          <w:sz w:val="24"/>
          <w:szCs w:val="24"/>
        </w:rPr>
        <w:t xml:space="preserve">Neutralizing anti-receptor-binding domain (RBD) antibodies were measured by </w:t>
      </w:r>
      <w:r w:rsidR="003D3E48">
        <w:rPr>
          <w:rFonts w:ascii="Times New Roman" w:hAnsi="Times New Roman" w:cs="Times New Roman"/>
          <w:sz w:val="24"/>
          <w:szCs w:val="24"/>
        </w:rPr>
        <w:t xml:space="preserve">a </w:t>
      </w:r>
      <w:r w:rsidRPr="1E06349C">
        <w:rPr>
          <w:rFonts w:ascii="Times New Roman" w:hAnsi="Times New Roman" w:cs="Times New Roman"/>
          <w:sz w:val="24"/>
          <w:szCs w:val="24"/>
        </w:rPr>
        <w:t xml:space="preserve">COVID-19 Spike-ACE2 Binding Assay Kit (Raybiotech Life, Inc., GA, </w:t>
      </w:r>
      <w:proofErr w:type="gramStart"/>
      <w:r w:rsidRPr="1E06349C">
        <w:rPr>
          <w:rFonts w:ascii="Times New Roman" w:hAnsi="Times New Roman" w:cs="Times New Roman"/>
          <w:sz w:val="24"/>
          <w:szCs w:val="24"/>
        </w:rPr>
        <w:t>USA</w:t>
      </w:r>
      <w:proofErr w:type="gramEnd"/>
      <w:r w:rsidRPr="1E06349C">
        <w:rPr>
          <w:rFonts w:ascii="Times New Roman" w:hAnsi="Times New Roman" w:cs="Times New Roman"/>
          <w:sz w:val="24"/>
          <w:szCs w:val="24"/>
        </w:rPr>
        <w:t xml:space="preserve">). This test detects semi-quantitative antibodies against the SARS-CoV-2 spike protein in human serum. Specifically, serially diluted </w:t>
      </w:r>
      <w:r w:rsidR="006457A7" w:rsidRPr="1E06349C">
        <w:rPr>
          <w:rFonts w:ascii="Times New Roman" w:hAnsi="Times New Roman" w:cs="Times New Roman"/>
          <w:sz w:val="24"/>
          <w:szCs w:val="24"/>
        </w:rPr>
        <w:t>serum samples</w:t>
      </w:r>
      <w:r w:rsidRPr="1E06349C">
        <w:rPr>
          <w:rFonts w:ascii="Times New Roman" w:hAnsi="Times New Roman" w:cs="Times New Roman"/>
          <w:sz w:val="24"/>
          <w:szCs w:val="24"/>
        </w:rPr>
        <w:t xml:space="preserve"> and provided controls were incubated with recombinant SARS-CoV-2 spike RBD protein, pre-coated on the 96-well plates. Subsequently, the wells were washed and incubated with substrate and stop solution as suggested by the manufacturer. Finally, the absorbance of the sample, after the coloring reaction, was measured at 450 nm using a UV/Vis microplate spectrophotometer. The </w:t>
      </w:r>
      <w:r w:rsidRPr="1E06349C">
        <w:rPr>
          <w:rFonts w:ascii="Times New Roman" w:hAnsi="Times New Roman" w:cs="Times New Roman"/>
          <w:sz w:val="24"/>
          <w:szCs w:val="24"/>
        </w:rPr>
        <w:lastRenderedPageBreak/>
        <w:t>presence of neutralizing antibodies in the serum was assessed as a percentage of binding inhibition, which was calculated using the following formula: % Binding inhibition = [(OD of “0 mM” positive control – OD of Test Reagent)/OD of “0 mM” positive control)] × 100.</w:t>
      </w:r>
    </w:p>
    <w:p w14:paraId="5DAB6C7B" w14:textId="77777777" w:rsidR="00C16AD6" w:rsidRPr="00F631B4" w:rsidRDefault="00C16AD6" w:rsidP="1E06349C">
      <w:pPr>
        <w:spacing w:after="0"/>
        <w:jc w:val="both"/>
        <w:rPr>
          <w:rStyle w:val="Hyperlink"/>
          <w:rFonts w:ascii="Times New Roman" w:hAnsi="Times New Roman" w:cs="Times New Roman"/>
          <w:color w:val="auto"/>
          <w:sz w:val="24"/>
          <w:szCs w:val="24"/>
          <w:u w:val="none"/>
        </w:rPr>
      </w:pPr>
    </w:p>
    <w:p w14:paraId="46BF3355" w14:textId="77777777" w:rsidR="00C16AD6" w:rsidRPr="00F94057" w:rsidRDefault="00C16AD6" w:rsidP="1E06349C">
      <w:pPr>
        <w:spacing w:after="0"/>
        <w:jc w:val="both"/>
        <w:rPr>
          <w:rFonts w:ascii="Times New Roman" w:hAnsi="Times New Roman" w:cs="Times New Roman"/>
          <w:b/>
          <w:bCs/>
          <w:sz w:val="24"/>
          <w:szCs w:val="24"/>
        </w:rPr>
      </w:pPr>
      <w:r w:rsidRPr="1E06349C">
        <w:rPr>
          <w:rFonts w:ascii="Times New Roman" w:hAnsi="Times New Roman" w:cs="Times New Roman"/>
          <w:b/>
          <w:bCs/>
          <w:i/>
          <w:iCs/>
          <w:sz w:val="24"/>
          <w:szCs w:val="24"/>
        </w:rPr>
        <w:t>Delta</w:t>
      </w:r>
      <w:r w:rsidRPr="1E06349C">
        <w:rPr>
          <w:rFonts w:ascii="Times New Roman" w:hAnsi="Times New Roman" w:cs="Times New Roman"/>
          <w:b/>
          <w:bCs/>
          <w:sz w:val="24"/>
          <w:szCs w:val="24"/>
        </w:rPr>
        <w:t xml:space="preserve"> and </w:t>
      </w:r>
      <w:r w:rsidRPr="1E06349C">
        <w:rPr>
          <w:rFonts w:ascii="Times New Roman" w:hAnsi="Times New Roman" w:cs="Times New Roman"/>
          <w:b/>
          <w:bCs/>
          <w:i/>
          <w:iCs/>
          <w:sz w:val="24"/>
          <w:szCs w:val="24"/>
        </w:rPr>
        <w:t>Omicron</w:t>
      </w:r>
      <w:r w:rsidRPr="1E06349C">
        <w:rPr>
          <w:rFonts w:ascii="Times New Roman" w:hAnsi="Times New Roman" w:cs="Times New Roman"/>
          <w:b/>
          <w:bCs/>
          <w:sz w:val="24"/>
          <w:szCs w:val="24"/>
        </w:rPr>
        <w:t xml:space="preserve"> variant</w:t>
      </w:r>
    </w:p>
    <w:p w14:paraId="2EA99BDC" w14:textId="2C1AAE73" w:rsidR="00C16AD6" w:rsidRDefault="00C16AD6" w:rsidP="1E06349C">
      <w:pPr>
        <w:spacing w:after="0" w:line="240" w:lineRule="auto"/>
        <w:jc w:val="both"/>
        <w:rPr>
          <w:rFonts w:ascii="Times New Roman" w:hAnsi="Times New Roman" w:cs="Times New Roman"/>
          <w:sz w:val="24"/>
          <w:szCs w:val="24"/>
        </w:rPr>
      </w:pPr>
      <w:r w:rsidRPr="1E06349C">
        <w:rPr>
          <w:rFonts w:ascii="Times New Roman" w:hAnsi="Times New Roman" w:cs="Times New Roman"/>
          <w:sz w:val="24"/>
          <w:szCs w:val="24"/>
        </w:rPr>
        <w:t xml:space="preserve">To test functional neutralizing antibodies against the </w:t>
      </w:r>
      <w:r w:rsidRPr="1E06349C">
        <w:rPr>
          <w:rFonts w:ascii="Times New Roman" w:hAnsi="Times New Roman" w:cs="Times New Roman"/>
          <w:i/>
          <w:iCs/>
          <w:sz w:val="24"/>
          <w:szCs w:val="24"/>
        </w:rPr>
        <w:t>Delta</w:t>
      </w:r>
      <w:r w:rsidRPr="1E06349C">
        <w:rPr>
          <w:rFonts w:ascii="Times New Roman" w:hAnsi="Times New Roman" w:cs="Times New Roman"/>
          <w:sz w:val="24"/>
          <w:szCs w:val="24"/>
        </w:rPr>
        <w:t xml:space="preserve"> (B.1.617.2) and </w:t>
      </w:r>
      <w:r w:rsidRPr="1E06349C">
        <w:rPr>
          <w:rFonts w:ascii="Times New Roman" w:hAnsi="Times New Roman" w:cs="Times New Roman"/>
          <w:i/>
          <w:iCs/>
          <w:sz w:val="24"/>
          <w:szCs w:val="24"/>
        </w:rPr>
        <w:t>Omicron</w:t>
      </w:r>
      <w:r w:rsidRPr="1E06349C">
        <w:rPr>
          <w:rFonts w:ascii="Times New Roman" w:hAnsi="Times New Roman" w:cs="Times New Roman"/>
          <w:sz w:val="24"/>
          <w:szCs w:val="24"/>
        </w:rPr>
        <w:t xml:space="preserve"> variants of SARS-CoV-2, two commercially available ELISA kits were used: SARS-CoV-2 Neutralizing Antibodies Detection Kit (B.1.617.2 </w:t>
      </w:r>
      <w:r w:rsidRPr="1E06349C">
        <w:rPr>
          <w:rFonts w:ascii="Times New Roman" w:hAnsi="Times New Roman" w:cs="Times New Roman"/>
          <w:i/>
          <w:iCs/>
          <w:sz w:val="24"/>
          <w:szCs w:val="24"/>
        </w:rPr>
        <w:t>Delta</w:t>
      </w:r>
      <w:r w:rsidRPr="1E06349C">
        <w:rPr>
          <w:rFonts w:ascii="Times New Roman" w:hAnsi="Times New Roman" w:cs="Times New Roman"/>
          <w:sz w:val="24"/>
          <w:szCs w:val="24"/>
        </w:rPr>
        <w:t xml:space="preserve"> variant), Cat. No. AG-48B-0007-KI01, Adipogen and SARS-CoV-2 Neutralizing Antibody Titer Serologic Assay Kit (B.1.1.529 </w:t>
      </w:r>
      <w:r w:rsidRPr="1E06349C">
        <w:rPr>
          <w:rFonts w:ascii="Times New Roman" w:hAnsi="Times New Roman" w:cs="Times New Roman"/>
          <w:i/>
          <w:iCs/>
          <w:sz w:val="24"/>
          <w:szCs w:val="24"/>
        </w:rPr>
        <w:t>Omicron</w:t>
      </w:r>
      <w:r w:rsidRPr="1E06349C">
        <w:rPr>
          <w:rFonts w:ascii="Times New Roman" w:hAnsi="Times New Roman" w:cs="Times New Roman"/>
          <w:sz w:val="24"/>
          <w:szCs w:val="24"/>
        </w:rPr>
        <w:t xml:space="preserve"> variant), ACROBiosystems. Both assays identify the presence or absence of specific neutralizing antibodies by testing the interaction of the RBD of the SARS-CoV-2 spike protein and the recombinant human ACE2 receptor (hACE2). Specifically, the Adipogen kit for </w:t>
      </w:r>
      <w:r w:rsidRPr="1E06349C">
        <w:rPr>
          <w:rFonts w:ascii="Times New Roman" w:hAnsi="Times New Roman" w:cs="Times New Roman"/>
          <w:i/>
          <w:iCs/>
          <w:sz w:val="24"/>
          <w:szCs w:val="24"/>
        </w:rPr>
        <w:t>Delta</w:t>
      </w:r>
      <w:r w:rsidRPr="1E06349C">
        <w:rPr>
          <w:rFonts w:ascii="Times New Roman" w:hAnsi="Times New Roman" w:cs="Times New Roman"/>
          <w:sz w:val="24"/>
          <w:szCs w:val="24"/>
        </w:rPr>
        <w:t xml:space="preserve"> variant measurement contains 96-well microplates. Wells are coated with recombinant SARS-CoV-2 spike RBD protein, and human ACE2 protein coupled to horseradish peroxidase (HRP) is added to detect the lack of binding and the presence of competitive antibodies. In contrast, the ACROBiosystems kit provides pre-coated plates of hACE2 and uses HRP-conjugated SARS-CoV-2 spike RBD protein for antibody recognition. Both assays were performed according to the manufacturing instructions. After the coloring reaction, the absorbance of the samples (inversely proportional to the presence of SARS-CoV-2 neutralizing antibodies) was measured at 450nm using a UV/Vis microplate spectrophotometer. The percentage of neutralization was calculated as follows: (1-(OD of the sample)/OD of negative control) × 100. The Adipogen kit defines a cut-off value of 20%, while for the ACROBiosystems kit, the cut-off value corresponds to 32%. The inhibition percentage of ≥20% or ≥32% indicates the presence of neutralizing antibodies against the SARS-CoV-2 </w:t>
      </w:r>
      <w:r w:rsidRPr="1E06349C">
        <w:rPr>
          <w:rFonts w:ascii="Times New Roman" w:hAnsi="Times New Roman" w:cs="Times New Roman"/>
          <w:i/>
          <w:iCs/>
          <w:sz w:val="24"/>
          <w:szCs w:val="24"/>
        </w:rPr>
        <w:t>Delta</w:t>
      </w:r>
      <w:r w:rsidRPr="1E06349C">
        <w:rPr>
          <w:rFonts w:ascii="Times New Roman" w:hAnsi="Times New Roman" w:cs="Times New Roman"/>
          <w:sz w:val="24"/>
          <w:szCs w:val="24"/>
        </w:rPr>
        <w:t xml:space="preserve"> or </w:t>
      </w:r>
      <w:r w:rsidRPr="1E06349C">
        <w:rPr>
          <w:rFonts w:ascii="Times New Roman" w:hAnsi="Times New Roman" w:cs="Times New Roman"/>
          <w:i/>
          <w:iCs/>
          <w:sz w:val="24"/>
          <w:szCs w:val="24"/>
        </w:rPr>
        <w:t>Omicron</w:t>
      </w:r>
      <w:r w:rsidRPr="1E06349C">
        <w:rPr>
          <w:rFonts w:ascii="Times New Roman" w:hAnsi="Times New Roman" w:cs="Times New Roman"/>
          <w:sz w:val="24"/>
          <w:szCs w:val="24"/>
        </w:rPr>
        <w:t xml:space="preserve"> variant, respectively.</w:t>
      </w:r>
    </w:p>
    <w:p w14:paraId="56588DC3" w14:textId="77777777" w:rsidR="00F94057" w:rsidRDefault="00F94057" w:rsidP="003D3E48">
      <w:pPr>
        <w:spacing w:after="0" w:line="240" w:lineRule="auto"/>
        <w:jc w:val="both"/>
        <w:rPr>
          <w:rFonts w:ascii="Times New Roman" w:hAnsi="Times New Roman" w:cs="Times New Roman"/>
          <w:sz w:val="24"/>
          <w:szCs w:val="24"/>
        </w:rPr>
      </w:pPr>
    </w:p>
    <w:p w14:paraId="31691EDC" w14:textId="2DDAEF38" w:rsidR="00A00641" w:rsidRPr="003D3E48" w:rsidRDefault="002D35AF" w:rsidP="003D3E48">
      <w:pPr>
        <w:spacing w:after="0"/>
        <w:jc w:val="both"/>
        <w:rPr>
          <w:rFonts w:ascii="Times New Roman" w:hAnsi="Times New Roman" w:cs="Times New Roman"/>
          <w:sz w:val="24"/>
          <w:szCs w:val="24"/>
        </w:rPr>
      </w:pPr>
      <w:r w:rsidRPr="003D3E48">
        <w:rPr>
          <w:rFonts w:ascii="Times New Roman" w:hAnsi="Times New Roman" w:cs="Times New Roman"/>
          <w:b/>
          <w:bCs/>
          <w:i/>
          <w:iCs/>
          <w:sz w:val="24"/>
          <w:szCs w:val="24"/>
        </w:rPr>
        <w:t xml:space="preserve">Omicron </w:t>
      </w:r>
      <w:r w:rsidRPr="003D3E48">
        <w:rPr>
          <w:rFonts w:ascii="Times New Roman" w:hAnsi="Times New Roman" w:cs="Times New Roman"/>
          <w:b/>
          <w:bCs/>
          <w:sz w:val="24"/>
          <w:szCs w:val="24"/>
        </w:rPr>
        <w:t>variants</w:t>
      </w:r>
      <w:r w:rsidRPr="003D3E48">
        <w:rPr>
          <w:rFonts w:ascii="Times New Roman" w:hAnsi="Times New Roman" w:cs="Times New Roman"/>
          <w:b/>
          <w:bCs/>
          <w:i/>
          <w:iCs/>
          <w:sz w:val="24"/>
          <w:szCs w:val="24"/>
        </w:rPr>
        <w:t xml:space="preserve"> (BA.4 / BA.5 / BF.7 / BQ.1 / XBB.1.5</w:t>
      </w:r>
      <w:proofErr w:type="gramStart"/>
      <w:r w:rsidRPr="003D3E48">
        <w:rPr>
          <w:rFonts w:ascii="Times New Roman" w:hAnsi="Times New Roman" w:cs="Times New Roman"/>
          <w:b/>
          <w:bCs/>
          <w:i/>
          <w:iCs/>
          <w:sz w:val="24"/>
          <w:szCs w:val="24"/>
        </w:rPr>
        <w:t>)</w:t>
      </w:r>
      <w:r w:rsidRPr="003D3E48">
        <w:rPr>
          <w:rFonts w:ascii="Times New Roman" w:hAnsi="Times New Roman" w:cs="Times New Roman"/>
          <w:sz w:val="24"/>
          <w:szCs w:val="24"/>
        </w:rPr>
        <w:t>The</w:t>
      </w:r>
      <w:proofErr w:type="gramEnd"/>
      <w:r w:rsidRPr="003D3E48">
        <w:rPr>
          <w:rFonts w:ascii="Times New Roman" w:hAnsi="Times New Roman" w:cs="Times New Roman"/>
          <w:sz w:val="24"/>
          <w:szCs w:val="24"/>
        </w:rPr>
        <w:t xml:space="preserve"> Gene Tex S</w:t>
      </w:r>
      <w:r w:rsidR="00A00641" w:rsidRPr="003D3E48">
        <w:rPr>
          <w:rFonts w:ascii="Times New Roman" w:hAnsi="Times New Roman" w:cs="Times New Roman"/>
          <w:sz w:val="24"/>
          <w:szCs w:val="24"/>
        </w:rPr>
        <w:t>ARS-CoV-2 Neutralizing Antibody ELISA Kit (Omicron BA.4/BA.5/BF. 7/ BQ.1 /XBB.1.5)</w:t>
      </w:r>
      <w:r w:rsidRPr="003D3E48">
        <w:rPr>
          <w:rFonts w:ascii="Times New Roman" w:hAnsi="Times New Roman" w:cs="Times New Roman"/>
          <w:sz w:val="24"/>
          <w:szCs w:val="24"/>
        </w:rPr>
        <w:t xml:space="preserve"> </w:t>
      </w:r>
      <w:r w:rsidR="00A00641" w:rsidRPr="003D3E48">
        <w:rPr>
          <w:rFonts w:ascii="Times New Roman" w:hAnsi="Times New Roman" w:cs="Times New Roman"/>
          <w:sz w:val="24"/>
          <w:szCs w:val="24"/>
        </w:rPr>
        <w:t xml:space="preserve">Cat. No. GTX538288, is an in vitro assay for </w:t>
      </w:r>
      <w:r w:rsidRPr="003D3E48">
        <w:rPr>
          <w:rFonts w:ascii="Times New Roman" w:hAnsi="Times New Roman" w:cs="Times New Roman"/>
          <w:sz w:val="24"/>
          <w:szCs w:val="24"/>
        </w:rPr>
        <w:t>qualitative SA</w:t>
      </w:r>
      <w:r w:rsidR="00A00641" w:rsidRPr="003D3E48">
        <w:rPr>
          <w:rFonts w:ascii="Times New Roman" w:hAnsi="Times New Roman" w:cs="Times New Roman"/>
          <w:sz w:val="24"/>
          <w:szCs w:val="24"/>
        </w:rPr>
        <w:t>RS-CoV-2 neutralizing antibody (Nab)</w:t>
      </w:r>
      <w:r w:rsidRPr="003D3E48">
        <w:rPr>
          <w:rFonts w:ascii="Times New Roman" w:hAnsi="Times New Roman" w:cs="Times New Roman"/>
          <w:sz w:val="24"/>
          <w:szCs w:val="24"/>
        </w:rPr>
        <w:t xml:space="preserve"> screening. According to the continuous</w:t>
      </w:r>
      <w:r w:rsidR="00A00641" w:rsidRPr="003D3E48">
        <w:rPr>
          <w:rFonts w:ascii="Times New Roman" w:hAnsi="Times New Roman" w:cs="Times New Roman"/>
          <w:sz w:val="24"/>
          <w:szCs w:val="24"/>
        </w:rPr>
        <w:t xml:space="preserve"> </w:t>
      </w:r>
      <w:r w:rsidRPr="003D3E48">
        <w:rPr>
          <w:rFonts w:ascii="Times New Roman" w:hAnsi="Times New Roman" w:cs="Times New Roman"/>
          <w:sz w:val="24"/>
          <w:szCs w:val="24"/>
        </w:rPr>
        <w:t>evolution of SARS-CoV-2, the kit includes recombinant His-tagged SARS-CoV-2 Spike RBD proteins</w:t>
      </w:r>
      <w:r w:rsidR="00A00641" w:rsidRPr="003D3E48">
        <w:rPr>
          <w:rFonts w:ascii="Times New Roman" w:hAnsi="Times New Roman" w:cs="Times New Roman"/>
          <w:sz w:val="24"/>
          <w:szCs w:val="24"/>
        </w:rPr>
        <w:t xml:space="preserve"> </w:t>
      </w:r>
      <w:r w:rsidRPr="003D3E48">
        <w:rPr>
          <w:rFonts w:ascii="Times New Roman" w:hAnsi="Times New Roman" w:cs="Times New Roman"/>
          <w:sz w:val="24"/>
          <w:szCs w:val="24"/>
        </w:rPr>
        <w:t>for the Omicron variant BA.4 I BA.5, Omicron variant BF. 7, Om</w:t>
      </w:r>
      <w:r w:rsidR="00A00641" w:rsidRPr="003D3E48">
        <w:rPr>
          <w:rFonts w:ascii="Times New Roman" w:hAnsi="Times New Roman" w:cs="Times New Roman"/>
          <w:sz w:val="24"/>
          <w:szCs w:val="24"/>
        </w:rPr>
        <w:t xml:space="preserve">icron variant BQ.1, and Omicron </w:t>
      </w:r>
      <w:r w:rsidRPr="003D3E48">
        <w:rPr>
          <w:rFonts w:ascii="Times New Roman" w:hAnsi="Times New Roman" w:cs="Times New Roman"/>
          <w:sz w:val="24"/>
          <w:szCs w:val="24"/>
        </w:rPr>
        <w:t>variant XBB.1.5, for Omicron variant-specific neutralization analysis.</w:t>
      </w:r>
      <w:r w:rsidR="00A00641" w:rsidRPr="003D3E48">
        <w:rPr>
          <w:rFonts w:ascii="Times New Roman" w:hAnsi="Times New Roman" w:cs="Times New Roman"/>
          <w:sz w:val="24"/>
          <w:szCs w:val="24"/>
        </w:rPr>
        <w:t xml:space="preserve"> The assay employs a recombinant ACE2 protein immobilized in the wells of the included 96-well plate (12 x 8-well strips). Control antibody (either NAb or Non-NAb) mixtures or samples are pipetted into the appropriate wells, followed by addition of the recombinant His-tagged spike RBD protein(s). Neutralizing agents in the samples (or in the NAb Control Antibody solution) react with RBD proteins to prevent them from binding to ACE2. After washing away unbound proteins and antibodies, an HRP-conjugated anti-His tag antibody is added to bind to the immobilized recombinant RBD proteins. The wells are washed again to remove free conjugated antibody, and TMB</w:t>
      </w:r>
      <w:r w:rsidR="019064AF" w:rsidRPr="003D3E48">
        <w:rPr>
          <w:rFonts w:ascii="Times New Roman" w:hAnsi="Times New Roman" w:cs="Times New Roman"/>
          <w:sz w:val="24"/>
          <w:szCs w:val="24"/>
        </w:rPr>
        <w:t xml:space="preserve"> (3</w:t>
      </w:r>
      <w:proofErr w:type="gramStart"/>
      <w:r w:rsidR="019064AF" w:rsidRPr="003D3E48">
        <w:rPr>
          <w:rFonts w:ascii="Times New Roman" w:hAnsi="Times New Roman" w:cs="Times New Roman"/>
          <w:sz w:val="24"/>
          <w:szCs w:val="24"/>
        </w:rPr>
        <w:t>,3'</w:t>
      </w:r>
      <w:proofErr w:type="gramEnd"/>
      <w:r w:rsidR="019064AF" w:rsidRPr="003D3E48">
        <w:rPr>
          <w:rFonts w:ascii="Times New Roman" w:hAnsi="Times New Roman" w:cs="Times New Roman"/>
          <w:sz w:val="24"/>
          <w:szCs w:val="24"/>
        </w:rPr>
        <w:t xml:space="preserve"> ,5,5'-tetramethylbenzidine)</w:t>
      </w:r>
      <w:r w:rsidR="00A00641" w:rsidRPr="003D3E48">
        <w:rPr>
          <w:rFonts w:ascii="Times New Roman" w:hAnsi="Times New Roman" w:cs="Times New Roman"/>
          <w:sz w:val="24"/>
          <w:szCs w:val="24"/>
        </w:rPr>
        <w:t xml:space="preserve"> substrate is added for color development. The Stop Solution changes the color from blue to yellow, and the intensity of the color (measured at 450 nm) inversely correlates with the titer of the anti-RBD protein neutralizing antibodies (Inhibition Rate (IR) = [1 - (average absorbance value of tested sample/ average absorbance value of NC)] x 100%. The inhibition percentage of ≥30% indicates the presence of neutralizing antibodies against the SARS-CoV-2 </w:t>
      </w:r>
      <w:r w:rsidR="00A00641" w:rsidRPr="003D3E48">
        <w:rPr>
          <w:rFonts w:ascii="Times New Roman" w:hAnsi="Times New Roman" w:cs="Times New Roman"/>
          <w:i/>
          <w:iCs/>
          <w:sz w:val="24"/>
          <w:szCs w:val="24"/>
        </w:rPr>
        <w:t>Omicron</w:t>
      </w:r>
      <w:r w:rsidR="00A00641" w:rsidRPr="003D3E48">
        <w:rPr>
          <w:rFonts w:ascii="Times New Roman" w:hAnsi="Times New Roman" w:cs="Times New Roman"/>
          <w:sz w:val="24"/>
          <w:szCs w:val="24"/>
        </w:rPr>
        <w:t xml:space="preserve"> variants.</w:t>
      </w:r>
    </w:p>
    <w:p w14:paraId="1DA71520" w14:textId="282FF80C" w:rsidR="00A00641" w:rsidRPr="00A00641" w:rsidRDefault="00A00641" w:rsidP="002D35AF">
      <w:pPr>
        <w:spacing w:after="0" w:line="480" w:lineRule="auto"/>
        <w:jc w:val="both"/>
        <w:rPr>
          <w:rFonts w:ascii="Times New Roman" w:hAnsi="Times New Roman" w:cs="Times New Roman"/>
          <w:sz w:val="24"/>
          <w:szCs w:val="24"/>
        </w:rPr>
      </w:pPr>
    </w:p>
    <w:p w14:paraId="398ADBB2" w14:textId="7EFC9261" w:rsidR="001431F3" w:rsidRPr="00F631B4" w:rsidRDefault="001431F3" w:rsidP="636AF7CC">
      <w:pPr>
        <w:spacing w:after="0" w:line="480" w:lineRule="auto"/>
        <w:jc w:val="both"/>
        <w:rPr>
          <w:rFonts w:ascii="Times New Roman" w:hAnsi="Times New Roman" w:cs="Times New Roman"/>
          <w:b/>
          <w:bCs/>
          <w:sz w:val="24"/>
          <w:szCs w:val="24"/>
        </w:rPr>
      </w:pPr>
      <w:r w:rsidRPr="636AF7CC">
        <w:rPr>
          <w:rFonts w:ascii="Times New Roman" w:hAnsi="Times New Roman" w:cs="Times New Roman"/>
          <w:b/>
          <w:bCs/>
          <w:sz w:val="24"/>
          <w:szCs w:val="24"/>
        </w:rPr>
        <w:t>3. Assessment of activated T effector cells</w:t>
      </w:r>
    </w:p>
    <w:p w14:paraId="016E1933" w14:textId="77777777" w:rsidR="00C16AD6" w:rsidRPr="00685A2C" w:rsidRDefault="00C16AD6" w:rsidP="1E06349C">
      <w:pPr>
        <w:spacing w:after="0"/>
        <w:jc w:val="both"/>
        <w:rPr>
          <w:rFonts w:ascii="Times New Roman" w:hAnsi="Times New Roman" w:cs="Times New Roman"/>
          <w:b/>
          <w:bCs/>
          <w:sz w:val="24"/>
          <w:szCs w:val="24"/>
        </w:rPr>
      </w:pPr>
      <w:r w:rsidRPr="1E06349C">
        <w:rPr>
          <w:rFonts w:ascii="Times New Roman" w:hAnsi="Times New Roman" w:cs="Times New Roman"/>
          <w:b/>
          <w:bCs/>
          <w:sz w:val="24"/>
          <w:szCs w:val="24"/>
        </w:rPr>
        <w:t>Isolation of PBMCs</w:t>
      </w:r>
    </w:p>
    <w:p w14:paraId="256B6820" w14:textId="36D3D622" w:rsidR="00685A2C" w:rsidRPr="00F631B4" w:rsidRDefault="00C16AD6" w:rsidP="1E06349C">
      <w:pPr>
        <w:spacing w:after="0"/>
        <w:jc w:val="both"/>
        <w:rPr>
          <w:rFonts w:ascii="Times New Roman" w:hAnsi="Times New Roman" w:cs="Times New Roman"/>
          <w:sz w:val="24"/>
          <w:szCs w:val="24"/>
        </w:rPr>
      </w:pPr>
      <w:r w:rsidRPr="1E06349C">
        <w:rPr>
          <w:rFonts w:ascii="Times New Roman" w:hAnsi="Times New Roman" w:cs="Times New Roman"/>
          <w:sz w:val="24"/>
          <w:szCs w:val="24"/>
        </w:rPr>
        <w:t>PBMCs were isolated from “buffy coats” (whole blood concentrates without serum) via density gradient centrifugation using Lympholyte</w:t>
      </w:r>
      <w:r w:rsidRPr="1E06349C">
        <w:rPr>
          <w:rFonts w:ascii="Times New Roman" w:hAnsi="Times New Roman" w:cs="Times New Roman"/>
          <w:sz w:val="24"/>
          <w:szCs w:val="24"/>
          <w:vertAlign w:val="superscript"/>
        </w:rPr>
        <w:t>®</w:t>
      </w:r>
      <w:r w:rsidRPr="1E06349C">
        <w:rPr>
          <w:rFonts w:ascii="Times New Roman" w:hAnsi="Times New Roman" w:cs="Times New Roman"/>
          <w:sz w:val="24"/>
          <w:szCs w:val="24"/>
        </w:rPr>
        <w:t>-H Cell Separation Media (CEDARLANE</w:t>
      </w:r>
      <w:r w:rsidRPr="1E06349C">
        <w:rPr>
          <w:rFonts w:ascii="Times New Roman" w:hAnsi="Times New Roman" w:cs="Times New Roman"/>
          <w:sz w:val="24"/>
          <w:szCs w:val="24"/>
          <w:vertAlign w:val="superscript"/>
        </w:rPr>
        <w:t>®</w:t>
      </w:r>
      <w:r w:rsidRPr="1E06349C">
        <w:rPr>
          <w:rFonts w:ascii="Times New Roman" w:hAnsi="Times New Roman" w:cs="Times New Roman"/>
          <w:sz w:val="24"/>
          <w:szCs w:val="24"/>
        </w:rPr>
        <w:t xml:space="preserve">). Briefly, </w:t>
      </w:r>
      <w:r w:rsidRPr="1E06349C">
        <w:rPr>
          <w:rFonts w:ascii="Times New Roman" w:hAnsi="Times New Roman" w:cs="Times New Roman"/>
          <w:sz w:val="24"/>
          <w:szCs w:val="24"/>
        </w:rPr>
        <w:lastRenderedPageBreak/>
        <w:t>heparinized blood was diluted with p</w:t>
      </w:r>
      <w:bookmarkStart w:id="1" w:name="_Hlk129176875"/>
      <w:r w:rsidRPr="1E06349C">
        <w:rPr>
          <w:rFonts w:ascii="Times New Roman" w:hAnsi="Times New Roman" w:cs="Times New Roman"/>
          <w:sz w:val="24"/>
          <w:szCs w:val="24"/>
        </w:rPr>
        <w:t xml:space="preserve">hosphate-buffered saline </w:t>
      </w:r>
      <w:bookmarkEnd w:id="1"/>
      <w:r w:rsidRPr="1E06349C">
        <w:rPr>
          <w:rFonts w:ascii="Times New Roman" w:hAnsi="Times New Roman" w:cs="Times New Roman"/>
          <w:sz w:val="24"/>
          <w:szCs w:val="24"/>
        </w:rPr>
        <w:t xml:space="preserve">(PBS) and layered on top of Lympholyte in SepMate tubes (Stemcell). After completing the centrifugation (1800 rpm, 40 minutes, no brake), the mononuclear cells from the plasma/Lympholyte interface were collected using a plastic Pasteur pipette and then washed twice with PBS (1400 rpm, 10 minutes). Cells were counted using a hemacytometer with trypan blue solution (Lonza) to determine cell viability. Isolated PBMCs were cryopreserved in fetal bovine serum (EuroClone) containing 10% </w:t>
      </w:r>
      <w:bookmarkStart w:id="2" w:name="_Hlk129176882"/>
      <w:r w:rsidRPr="1E06349C">
        <w:rPr>
          <w:rFonts w:ascii="Times New Roman" w:hAnsi="Times New Roman" w:cs="Times New Roman"/>
          <w:sz w:val="24"/>
          <w:szCs w:val="24"/>
        </w:rPr>
        <w:t xml:space="preserve">dimethyl sulfoxide </w:t>
      </w:r>
      <w:bookmarkEnd w:id="2"/>
      <w:r w:rsidRPr="1E06349C">
        <w:rPr>
          <w:rFonts w:ascii="Times New Roman" w:hAnsi="Times New Roman" w:cs="Times New Roman"/>
          <w:sz w:val="24"/>
          <w:szCs w:val="24"/>
        </w:rPr>
        <w:t>(DMSO; Sigma-Aldrich) and stored in liquid nitrogen.</w:t>
      </w:r>
    </w:p>
    <w:p w14:paraId="1E63667A" w14:textId="148E6C19" w:rsidR="636AF7CC" w:rsidRDefault="636AF7CC" w:rsidP="1E06349C">
      <w:pPr>
        <w:spacing w:after="0"/>
        <w:jc w:val="both"/>
        <w:rPr>
          <w:rFonts w:ascii="Times New Roman" w:hAnsi="Times New Roman" w:cs="Times New Roman"/>
          <w:sz w:val="24"/>
          <w:szCs w:val="24"/>
        </w:rPr>
      </w:pPr>
    </w:p>
    <w:p w14:paraId="20C5A738" w14:textId="4D6C3C07" w:rsidR="00C16AD6" w:rsidRPr="00F631B4" w:rsidRDefault="00C16AD6" w:rsidP="1E06349C">
      <w:pPr>
        <w:spacing w:after="0" w:line="240" w:lineRule="auto"/>
        <w:jc w:val="both"/>
        <w:rPr>
          <w:rFonts w:ascii="Times New Roman" w:hAnsi="Times New Roman" w:cs="Times New Roman"/>
          <w:sz w:val="24"/>
          <w:szCs w:val="24"/>
        </w:rPr>
      </w:pPr>
      <w:r w:rsidRPr="6ECA5006">
        <w:rPr>
          <w:rFonts w:ascii="Times New Roman" w:hAnsi="Times New Roman" w:cs="Times New Roman"/>
          <w:b/>
          <w:bCs/>
          <w:sz w:val="24"/>
          <w:szCs w:val="24"/>
        </w:rPr>
        <w:t>Activation of effector T-cells</w:t>
      </w:r>
      <w:r w:rsidRPr="6ECA5006">
        <w:rPr>
          <w:rFonts w:ascii="Times New Roman" w:hAnsi="Times New Roman" w:cs="Times New Roman"/>
          <w:sz w:val="24"/>
          <w:szCs w:val="24"/>
        </w:rPr>
        <w:t>The T-SPOT COVID-19 test was used. An enzyme-linked immunospot (ELISPOT) assay identifies T cells in PBMCs that release IFN-</w:t>
      </w:r>
      <w:bookmarkStart w:id="3" w:name="_Hlk129176897"/>
      <w:r w:rsidRPr="6ECA5006">
        <w:rPr>
          <w:rFonts w:ascii="Times New Roman" w:hAnsi="Times New Roman" w:cs="Times New Roman"/>
          <w:sz w:val="24"/>
          <w:szCs w:val="24"/>
        </w:rPr>
        <w:t>γ</w:t>
      </w:r>
      <w:bookmarkEnd w:id="3"/>
      <w:r w:rsidRPr="6ECA5006">
        <w:rPr>
          <w:rFonts w:ascii="Times New Roman" w:hAnsi="Times New Roman" w:cs="Times New Roman"/>
          <w:sz w:val="24"/>
          <w:szCs w:val="24"/>
        </w:rPr>
        <w:t xml:space="preserve"> in response to stimulation with SARS-CoV-2 spike S1 and/or nucleocapsid peptides. It is a commercialized, standardized ELISPOT platform that allows reproducible measurements of T cells reactive to SARS-CoV-2 antigens. The T-SPOT COVID-19 test builds on the T-SPOT platform (Oxford Immunotec, a PerkinElmer Company). To quantify the activation of effector T cells, we used the T-SPOT COVID-19 test. As part of the T-cell response, SARS-CoV-2 antigens on the vaccine could activate both CD4+ and CD8+ effector T cells, which, if further stimulated by these antigens, produce IFN-γ cytokine. The T-SPOT COVID-19 test includes over 253 SARS-CoV-2 peptides (15-mer peptides overlapping by 11 amino acids) in two antigen peptide pools; one pool contains peptides from the spike S1 protein, including the RBD, and the other contains peptides from the nucleocapsid protein. PBMCs previously cryopreserved were thawed in warm complete RPMI medium, washed, and counted on Guava</w:t>
      </w:r>
      <w:r w:rsidRPr="6ECA5006">
        <w:rPr>
          <w:rFonts w:ascii="Times New Roman" w:hAnsi="Times New Roman" w:cs="Times New Roman"/>
          <w:sz w:val="24"/>
          <w:szCs w:val="24"/>
          <w:vertAlign w:val="superscript"/>
        </w:rPr>
        <w:t>®</w:t>
      </w:r>
      <w:r w:rsidRPr="6ECA5006">
        <w:rPr>
          <w:rFonts w:ascii="Times New Roman" w:hAnsi="Times New Roman" w:cs="Times New Roman"/>
          <w:sz w:val="24"/>
          <w:szCs w:val="24"/>
        </w:rPr>
        <w:t xml:space="preserve"> easyCyte Flow Cytometer (Oxford Immunotec, a PerkinElmer Company). Then, 1.000.000 cells/well were plated into four wells of a 96-well plate. The antigen peptide pools were added to the wells coated with anti-IFN-γ antibodies. The T-cell mitogen phytohemagglutinin was added to the positive control wells, and cell culture media alone to the negative control wells. Once plated, the microtiters were incubated in a humidified CO</w:t>
      </w:r>
      <w:r w:rsidRPr="6ECA5006">
        <w:rPr>
          <w:rFonts w:ascii="Times New Roman" w:hAnsi="Times New Roman" w:cs="Times New Roman"/>
          <w:sz w:val="24"/>
          <w:szCs w:val="24"/>
          <w:vertAlign w:val="subscript"/>
        </w:rPr>
        <w:t>2</w:t>
      </w:r>
      <w:r w:rsidRPr="6ECA5006">
        <w:rPr>
          <w:rFonts w:ascii="Times New Roman" w:hAnsi="Times New Roman" w:cs="Times New Roman"/>
          <w:sz w:val="24"/>
          <w:szCs w:val="24"/>
        </w:rPr>
        <w:t xml:space="preserve"> incubator set at 37°C, 5% CO</w:t>
      </w:r>
      <w:r w:rsidRPr="6ECA5006">
        <w:rPr>
          <w:rFonts w:ascii="Times New Roman" w:hAnsi="Times New Roman" w:cs="Times New Roman"/>
          <w:sz w:val="24"/>
          <w:szCs w:val="24"/>
          <w:vertAlign w:val="subscript"/>
        </w:rPr>
        <w:t>2</w:t>
      </w:r>
      <w:r w:rsidRPr="6ECA5006">
        <w:rPr>
          <w:rFonts w:ascii="Times New Roman" w:hAnsi="Times New Roman" w:cs="Times New Roman"/>
          <w:sz w:val="24"/>
          <w:szCs w:val="24"/>
        </w:rPr>
        <w:t>. After 16–20 hours, the wells were washed with PBS and stained using a conjugated secondary antibody (1 hour at 2–8° C) bound to any IFN-γ captured on the membrane. After washing to remove unbound IFN-γ, the substrate was added for 7 minutes at room temperature to produce dark spots of insoluble precipitates indicating areas of IFN-γ secretion from T cells. The spot-forming units (SFUs) were counted using an automated ELISPOT plate reader (CTL, Shaker Heights, OH, USA). Results were ‘invalid’ if the negative control had more than 10 SFUs or the positive control had fewer than 20 SFUs when the antigen wells were non-reactive. Results were ‘reactive’ when the SFUs in the higher of the two antigen wells minus the negative control were ≥6, ‘non-reactive’ when the SFUs in both antigen wells minus the negative control were ≤6, and ‘borderline’ when the SFUs in the higher of the antigen wells minus the negative control were 5, 6 or 7.</w:t>
      </w:r>
    </w:p>
    <w:p w14:paraId="296466B9" w14:textId="375C91DF" w:rsidR="6ECA5006" w:rsidRDefault="6ECA5006" w:rsidP="6ECA5006">
      <w:pPr>
        <w:spacing w:after="0" w:line="240" w:lineRule="auto"/>
        <w:jc w:val="both"/>
        <w:rPr>
          <w:rFonts w:ascii="Times New Roman" w:hAnsi="Times New Roman" w:cs="Times New Roman"/>
          <w:sz w:val="24"/>
          <w:szCs w:val="24"/>
        </w:rPr>
      </w:pPr>
    </w:p>
    <w:p w14:paraId="05BA81F5" w14:textId="77777777" w:rsidR="00C16AD6" w:rsidRPr="00F631B4" w:rsidRDefault="001431F3" w:rsidP="1E06349C">
      <w:pPr>
        <w:spacing w:after="0" w:line="240" w:lineRule="auto"/>
        <w:jc w:val="both"/>
        <w:rPr>
          <w:rFonts w:ascii="Times New Roman" w:hAnsi="Times New Roman" w:cs="Times New Roman"/>
          <w:b/>
          <w:bCs/>
          <w:sz w:val="24"/>
          <w:szCs w:val="24"/>
        </w:rPr>
      </w:pPr>
      <w:r w:rsidRPr="1E06349C">
        <w:rPr>
          <w:rFonts w:ascii="Times New Roman" w:hAnsi="Times New Roman" w:cs="Times New Roman"/>
          <w:b/>
          <w:bCs/>
          <w:sz w:val="24"/>
          <w:szCs w:val="24"/>
        </w:rPr>
        <w:t xml:space="preserve">4. </w:t>
      </w:r>
      <w:r w:rsidR="00C16AD6" w:rsidRPr="1E06349C">
        <w:rPr>
          <w:rFonts w:ascii="Times New Roman" w:hAnsi="Times New Roman" w:cs="Times New Roman"/>
          <w:b/>
          <w:bCs/>
          <w:sz w:val="24"/>
          <w:szCs w:val="24"/>
        </w:rPr>
        <w:t>In vitro stimulation of PBMCs</w:t>
      </w:r>
    </w:p>
    <w:p w14:paraId="3D9E3585" w14:textId="78CB04C0" w:rsidR="00C16AD6" w:rsidRPr="00F631B4" w:rsidRDefault="00C16AD6" w:rsidP="1E06349C">
      <w:pPr>
        <w:spacing w:after="0" w:line="240" w:lineRule="auto"/>
        <w:jc w:val="both"/>
        <w:rPr>
          <w:rFonts w:ascii="Times New Roman" w:hAnsi="Times New Roman" w:cs="Times New Roman"/>
          <w:sz w:val="24"/>
          <w:szCs w:val="24"/>
        </w:rPr>
      </w:pPr>
      <w:r w:rsidRPr="1E06349C">
        <w:rPr>
          <w:rFonts w:ascii="Times New Roman" w:hAnsi="Times New Roman" w:cs="Times New Roman"/>
          <w:sz w:val="24"/>
          <w:szCs w:val="24"/>
        </w:rPr>
        <w:t xml:space="preserve">PBMCs were thawed and rested for 4 hours in 10% FBS-supplemented RPMI-1640. Then, 2×106 PBMCs were seeded in U-bottom 96-well plates in a total volume of 200 </w:t>
      </w:r>
      <w:r w:rsidRPr="1E06349C">
        <w:rPr>
          <w:rFonts w:ascii="Times New Roman" w:hAnsi="Times New Roman" w:cs="Times New Roman"/>
          <w:sz w:val="24"/>
          <w:szCs w:val="24"/>
          <w:lang w:val="it-IT"/>
        </w:rPr>
        <w:t>μ</w:t>
      </w:r>
      <w:r w:rsidRPr="1E06349C">
        <w:rPr>
          <w:rFonts w:ascii="Times New Roman" w:hAnsi="Times New Roman" w:cs="Times New Roman"/>
          <w:sz w:val="24"/>
          <w:szCs w:val="24"/>
        </w:rPr>
        <w:t>l and stimulated for 12–16 hours at 37 °C in 10% FBS-supplemented RPMI-1640 with PepTivator</w:t>
      </w:r>
      <w:r w:rsidRPr="1E06349C">
        <w:rPr>
          <w:rFonts w:ascii="Times New Roman" w:hAnsi="Times New Roman" w:cs="Times New Roman"/>
          <w:sz w:val="24"/>
          <w:szCs w:val="24"/>
          <w:vertAlign w:val="superscript"/>
        </w:rPr>
        <w:t>®</w:t>
      </w:r>
      <w:r w:rsidRPr="1E06349C">
        <w:rPr>
          <w:rFonts w:ascii="Times New Roman" w:hAnsi="Times New Roman" w:cs="Times New Roman"/>
          <w:sz w:val="24"/>
          <w:szCs w:val="24"/>
        </w:rPr>
        <w:t xml:space="preserve"> SARS-CoV-2 protein S peptide pool (Miltenyi Biotec, cat. 130-127-953) or CEFX Ultra SuperStim Pool (JPT, PM-CEFX-2) at the final concentration of 1 </w:t>
      </w:r>
      <w:r w:rsidRPr="1E06349C">
        <w:rPr>
          <w:rFonts w:ascii="Times New Roman" w:hAnsi="Times New Roman" w:cs="Times New Roman"/>
          <w:sz w:val="24"/>
          <w:szCs w:val="24"/>
          <w:lang w:val="it-IT"/>
        </w:rPr>
        <w:t>μ</w:t>
      </w:r>
      <w:r w:rsidRPr="1E06349C">
        <w:rPr>
          <w:rFonts w:ascii="Times New Roman" w:hAnsi="Times New Roman" w:cs="Times New Roman"/>
          <w:sz w:val="24"/>
          <w:szCs w:val="24"/>
        </w:rPr>
        <w:t>g/mL of each peptide or with an equal volume of water, in the presence of Brefeldin A (Thermo Fisher Scientific, cat. 00-4506-51), as previously described (</w:t>
      </w:r>
      <w:r w:rsidR="00E61AD7" w:rsidRPr="1E06349C">
        <w:rPr>
          <w:rFonts w:ascii="Times New Roman" w:hAnsi="Times New Roman" w:cs="Times New Roman"/>
          <w:sz w:val="24"/>
          <w:szCs w:val="24"/>
        </w:rPr>
        <w:t>4</w:t>
      </w:r>
      <w:r w:rsidRPr="1E06349C">
        <w:rPr>
          <w:rFonts w:ascii="Times New Roman" w:hAnsi="Times New Roman" w:cs="Times New Roman"/>
          <w:sz w:val="24"/>
          <w:szCs w:val="24"/>
        </w:rPr>
        <w:t>).</w:t>
      </w:r>
    </w:p>
    <w:p w14:paraId="5A39BBE3" w14:textId="77777777" w:rsidR="001431F3" w:rsidRPr="00F631B4" w:rsidRDefault="001431F3" w:rsidP="636AF7CC">
      <w:pPr>
        <w:spacing w:after="0" w:line="480" w:lineRule="auto"/>
        <w:jc w:val="both"/>
        <w:rPr>
          <w:rFonts w:ascii="Times New Roman" w:hAnsi="Times New Roman" w:cs="Times New Roman"/>
          <w:sz w:val="24"/>
          <w:szCs w:val="24"/>
        </w:rPr>
      </w:pPr>
    </w:p>
    <w:p w14:paraId="6D669A83" w14:textId="77777777" w:rsidR="00C16AD6" w:rsidRPr="00F631B4" w:rsidRDefault="001431F3" w:rsidP="1E06349C">
      <w:pPr>
        <w:spacing w:after="0" w:line="240" w:lineRule="auto"/>
        <w:jc w:val="both"/>
        <w:rPr>
          <w:rFonts w:ascii="Times New Roman" w:hAnsi="Times New Roman" w:cs="Times New Roman"/>
          <w:b/>
          <w:bCs/>
          <w:sz w:val="24"/>
          <w:szCs w:val="24"/>
        </w:rPr>
      </w:pPr>
      <w:r w:rsidRPr="1E06349C">
        <w:rPr>
          <w:rFonts w:ascii="Times New Roman" w:hAnsi="Times New Roman" w:cs="Times New Roman"/>
          <w:b/>
          <w:bCs/>
          <w:sz w:val="24"/>
          <w:szCs w:val="24"/>
        </w:rPr>
        <w:t xml:space="preserve">5. </w:t>
      </w:r>
      <w:r w:rsidR="00C16AD6" w:rsidRPr="1E06349C">
        <w:rPr>
          <w:rFonts w:ascii="Times New Roman" w:hAnsi="Times New Roman" w:cs="Times New Roman"/>
          <w:b/>
          <w:bCs/>
          <w:sz w:val="24"/>
          <w:szCs w:val="24"/>
        </w:rPr>
        <w:t>Flow cytometry staining and acquisition</w:t>
      </w:r>
    </w:p>
    <w:p w14:paraId="50406ACC" w14:textId="77777777" w:rsidR="00C16AD6" w:rsidRDefault="00C16AD6" w:rsidP="1E06349C">
      <w:pPr>
        <w:spacing w:after="0" w:line="240" w:lineRule="auto"/>
        <w:jc w:val="both"/>
        <w:rPr>
          <w:rStyle w:val="Hyperlink"/>
          <w:rFonts w:ascii="Times New Roman" w:hAnsi="Times New Roman" w:cs="Times New Roman"/>
          <w:color w:val="auto"/>
          <w:sz w:val="24"/>
          <w:szCs w:val="24"/>
          <w:u w:val="none"/>
        </w:rPr>
      </w:pPr>
      <w:r w:rsidRPr="1E06349C">
        <w:rPr>
          <w:rStyle w:val="Hyperlink"/>
          <w:rFonts w:ascii="Times New Roman" w:hAnsi="Times New Roman" w:cs="Times New Roman"/>
          <w:color w:val="auto"/>
          <w:sz w:val="24"/>
          <w:szCs w:val="24"/>
          <w:u w:val="none"/>
        </w:rPr>
        <w:t xml:space="preserve">Cells were stained for viability (LIVE/DEAD™ Fixable Violet Dead Cell Stain, Thermo Fisher Scientific, </w:t>
      </w:r>
      <w:proofErr w:type="gramStart"/>
      <w:r w:rsidRPr="1E06349C">
        <w:rPr>
          <w:rStyle w:val="Hyperlink"/>
          <w:rFonts w:ascii="Times New Roman" w:hAnsi="Times New Roman" w:cs="Times New Roman"/>
          <w:color w:val="auto"/>
          <w:sz w:val="24"/>
          <w:szCs w:val="24"/>
          <w:u w:val="none"/>
        </w:rPr>
        <w:t>cat</w:t>
      </w:r>
      <w:proofErr w:type="gramEnd"/>
      <w:r w:rsidRPr="1E06349C">
        <w:rPr>
          <w:rStyle w:val="Hyperlink"/>
          <w:rFonts w:ascii="Times New Roman" w:hAnsi="Times New Roman" w:cs="Times New Roman"/>
          <w:color w:val="auto"/>
          <w:sz w:val="24"/>
          <w:szCs w:val="24"/>
          <w:u w:val="none"/>
        </w:rPr>
        <w:t xml:space="preserve">. L34955). Afterward, cells were incubated with Human Fc Block (BD, cat. 564220) followed by staining for surface markers using the following antibodies: CD3 (UCHT1) FITC, 1:200 (Thermo Fisher Scientific, cat. 11-0038-42), CD4 (RPA-T4) PerCP-eFluor 710, 1:100 (Thermo Fisher Scientific, cat. 46-0049-42), CCR7 (CD197) APC, 1:100 (BD Biosciences, cat. 566762), CD8 (SK1) </w:t>
      </w:r>
      <w:r w:rsidRPr="1E06349C">
        <w:rPr>
          <w:rStyle w:val="Hyperlink"/>
          <w:rFonts w:ascii="Times New Roman" w:hAnsi="Times New Roman" w:cs="Times New Roman"/>
          <w:color w:val="auto"/>
          <w:sz w:val="24"/>
          <w:szCs w:val="24"/>
          <w:u w:val="none"/>
        </w:rPr>
        <w:lastRenderedPageBreak/>
        <w:t>APC-eFluor 780, 1:200 (Thermo Fisher Scientific, cat. 47-0087-42), CD45RA (HI100) BV605, 1:100 (BioLegend, cat. 304134) in FACS buffer for 20 minutes at 4 °C. Afterward, samples were fixed and permeabilized using Cytofix/Cytoperm (BD Biosciences, cat. 554722) for 20 minutes at 4 °C. Intracellular staining was performed in Perm/Wash buffer (BD Biosciences, cat. 554723) for 30 minutes at 4 °C with the following antibodies: IFNγ (4S.B3) PE, 1:100 (Thermo Fisher Scientific, cat. 12-7319-42), TNFα (MAb11) PC7, 1:100 (Thermo Fisher Scientific, cat. 25-7349-82). The stained samples were acquired through a CytoFLEX ﬂow cytometer (Beckman Coulter), and the data were analyzed using CytExpert software (Beckman Coulter). Cytokine expression in the presence of only water (with no peptides) was considered background and subtracted from the values measured with stimuli.</w:t>
      </w:r>
    </w:p>
    <w:p w14:paraId="7E053E6F" w14:textId="0C46F609" w:rsidR="006445DF" w:rsidRDefault="006445DF" w:rsidP="6ECA5006">
      <w:pPr>
        <w:spacing w:after="0" w:line="240" w:lineRule="auto"/>
        <w:jc w:val="both"/>
        <w:rPr>
          <w:rStyle w:val="Hyperlink"/>
          <w:rFonts w:ascii="Times New Roman" w:hAnsi="Times New Roman" w:cs="Times New Roman"/>
          <w:color w:val="auto"/>
          <w:sz w:val="24"/>
          <w:szCs w:val="24"/>
          <w:u w:val="none"/>
        </w:rPr>
      </w:pPr>
      <w:r w:rsidRPr="6ECA5006">
        <w:rPr>
          <w:rStyle w:val="Hyperlink"/>
          <w:rFonts w:ascii="Times New Roman" w:hAnsi="Times New Roman" w:cs="Times New Roman"/>
          <w:color w:val="auto"/>
          <w:sz w:val="24"/>
          <w:szCs w:val="24"/>
          <w:u w:val="none"/>
        </w:rPr>
        <w:t>W</w:t>
      </w:r>
      <w:r w:rsidRPr="003D3E48">
        <w:rPr>
          <w:rStyle w:val="Hyperlink"/>
          <w:rFonts w:ascii="Times New Roman" w:hAnsi="Times New Roman" w:cs="Times New Roman"/>
          <w:color w:val="auto"/>
          <w:sz w:val="24"/>
          <w:szCs w:val="24"/>
          <w:u w:val="none"/>
        </w:rPr>
        <w:t>e focused on IFN</w:t>
      </w:r>
      <w:r w:rsidRPr="6ECA5006">
        <w:rPr>
          <w:rStyle w:val="Hyperlink"/>
          <w:rFonts w:ascii="Times New Roman" w:hAnsi="Times New Roman" w:cs="Times New Roman"/>
          <w:color w:val="auto"/>
          <w:sz w:val="24"/>
          <w:szCs w:val="24"/>
          <w:u w:val="none"/>
        </w:rPr>
        <w:t>γ</w:t>
      </w:r>
      <w:r w:rsidR="00686B13" w:rsidRPr="6ECA5006">
        <w:rPr>
          <w:rStyle w:val="Hyperlink"/>
          <w:rFonts w:ascii="Times New Roman" w:hAnsi="Times New Roman" w:cs="Times New Roman"/>
          <w:color w:val="auto"/>
          <w:sz w:val="24"/>
          <w:szCs w:val="24"/>
          <w:u w:val="none"/>
        </w:rPr>
        <w:t xml:space="preserve"> </w:t>
      </w:r>
      <w:r w:rsidRPr="003D3E48">
        <w:rPr>
          <w:rStyle w:val="Hyperlink"/>
          <w:rFonts w:ascii="Times New Roman" w:hAnsi="Times New Roman" w:cs="Times New Roman"/>
          <w:color w:val="auto"/>
          <w:sz w:val="24"/>
          <w:szCs w:val="24"/>
          <w:u w:val="none"/>
        </w:rPr>
        <w:t>and TNF</w:t>
      </w:r>
      <w:r w:rsidRPr="6ECA5006">
        <w:rPr>
          <w:rStyle w:val="Hyperlink"/>
          <w:rFonts w:ascii="Times New Roman" w:hAnsi="Times New Roman" w:cs="Times New Roman"/>
          <w:color w:val="auto"/>
          <w:sz w:val="24"/>
          <w:szCs w:val="24"/>
          <w:u w:val="none"/>
        </w:rPr>
        <w:t>α</w:t>
      </w:r>
      <w:r w:rsidRPr="003D3E48">
        <w:rPr>
          <w:rStyle w:val="Hyperlink"/>
          <w:rFonts w:ascii="Times New Roman" w:hAnsi="Times New Roman" w:cs="Times New Roman"/>
          <w:color w:val="auto"/>
          <w:sz w:val="24"/>
          <w:szCs w:val="24"/>
          <w:u w:val="none"/>
        </w:rPr>
        <w:t xml:space="preserve"> since they are two crucial players in antiviral and vaccine-induced responses. These two cytokines were</w:t>
      </w:r>
      <w:r w:rsidR="000C0034" w:rsidRPr="6ECA5006">
        <w:rPr>
          <w:rStyle w:val="Hyperlink"/>
          <w:rFonts w:ascii="Times New Roman" w:hAnsi="Times New Roman" w:cs="Times New Roman"/>
          <w:color w:val="auto"/>
          <w:sz w:val="24"/>
          <w:szCs w:val="24"/>
          <w:u w:val="none"/>
        </w:rPr>
        <w:t xml:space="preserve"> </w:t>
      </w:r>
      <w:r w:rsidRPr="003D3E48">
        <w:rPr>
          <w:rStyle w:val="Hyperlink"/>
          <w:rFonts w:ascii="Times New Roman" w:hAnsi="Times New Roman" w:cs="Times New Roman"/>
          <w:color w:val="auto"/>
          <w:sz w:val="24"/>
          <w:szCs w:val="24"/>
          <w:u w:val="none"/>
        </w:rPr>
        <w:t>assessed by intracellular cytokine staining (ICS) following stimulation overnight with the peptide pools, using an in-house validated flow cytometry antibody panel for Th1 response</w:t>
      </w:r>
      <w:r w:rsidR="000C0034" w:rsidRPr="6ECA5006">
        <w:rPr>
          <w:rStyle w:val="Hyperlink"/>
          <w:rFonts w:ascii="Times New Roman" w:hAnsi="Times New Roman" w:cs="Times New Roman"/>
          <w:color w:val="auto"/>
          <w:sz w:val="24"/>
          <w:szCs w:val="24"/>
          <w:u w:val="none"/>
        </w:rPr>
        <w:t xml:space="preserve"> (5)</w:t>
      </w:r>
      <w:r w:rsidR="002E2E66" w:rsidRPr="6ECA5006">
        <w:rPr>
          <w:rStyle w:val="Hyperlink"/>
          <w:rFonts w:ascii="Times New Roman" w:hAnsi="Times New Roman" w:cs="Times New Roman"/>
          <w:color w:val="auto"/>
          <w:sz w:val="24"/>
          <w:szCs w:val="24"/>
          <w:u w:val="none"/>
        </w:rPr>
        <w:t>.</w:t>
      </w:r>
    </w:p>
    <w:p w14:paraId="648F5B4F" w14:textId="1959722A" w:rsidR="00685A2C" w:rsidRPr="00F631B4" w:rsidRDefault="002E2E66" w:rsidP="6ECA5006">
      <w:pPr>
        <w:spacing w:after="0" w:line="240" w:lineRule="auto"/>
        <w:jc w:val="both"/>
        <w:rPr>
          <w:rStyle w:val="Hyperlink"/>
          <w:rFonts w:ascii="Times New Roman" w:hAnsi="Times New Roman" w:cs="Times New Roman"/>
          <w:color w:val="auto"/>
          <w:sz w:val="24"/>
          <w:szCs w:val="24"/>
          <w:u w:val="none"/>
        </w:rPr>
      </w:pPr>
      <w:r w:rsidRPr="003D3E48">
        <w:rPr>
          <w:rStyle w:val="Hyperlink"/>
          <w:rFonts w:ascii="Times New Roman" w:hAnsi="Times New Roman" w:cs="Times New Roman"/>
          <w:color w:val="auto"/>
          <w:sz w:val="24"/>
          <w:szCs w:val="24"/>
          <w:u w:val="none"/>
        </w:rPr>
        <w:t>Phenotype analysis of antigen-specific T cells was only performed in subjects with at least 10 cells detected in the respective cytokine-positive gate.</w:t>
      </w:r>
    </w:p>
    <w:p w14:paraId="41C8F396" w14:textId="77777777" w:rsidR="001431F3" w:rsidRPr="003D3E48" w:rsidRDefault="001431F3" w:rsidP="6ECA5006">
      <w:pPr>
        <w:spacing w:after="0" w:line="240" w:lineRule="auto"/>
        <w:jc w:val="both"/>
        <w:rPr>
          <w:rStyle w:val="Hyperlink"/>
          <w:color w:val="auto"/>
          <w:u w:val="none"/>
        </w:rPr>
      </w:pPr>
    </w:p>
    <w:p w14:paraId="540F7D7B" w14:textId="77777777" w:rsidR="00C16AD6" w:rsidRPr="00F631B4" w:rsidRDefault="001431F3" w:rsidP="6ECA5006">
      <w:pPr>
        <w:spacing w:after="0" w:line="240" w:lineRule="auto"/>
        <w:jc w:val="both"/>
        <w:rPr>
          <w:rFonts w:ascii="Times New Roman" w:hAnsi="Times New Roman" w:cs="Times New Roman"/>
          <w:b/>
          <w:bCs/>
          <w:sz w:val="24"/>
          <w:szCs w:val="24"/>
        </w:rPr>
      </w:pPr>
      <w:r w:rsidRPr="6ECA5006">
        <w:rPr>
          <w:rFonts w:ascii="Times New Roman" w:hAnsi="Times New Roman" w:cs="Times New Roman"/>
          <w:b/>
          <w:bCs/>
          <w:sz w:val="24"/>
          <w:szCs w:val="24"/>
        </w:rPr>
        <w:t xml:space="preserve">6. </w:t>
      </w:r>
      <w:bookmarkStart w:id="4" w:name="_Hlk142660311"/>
      <w:r w:rsidR="00C16AD6" w:rsidRPr="6ECA5006">
        <w:rPr>
          <w:rFonts w:ascii="Times New Roman" w:hAnsi="Times New Roman" w:cs="Times New Roman"/>
          <w:b/>
          <w:bCs/>
          <w:sz w:val="24"/>
          <w:szCs w:val="24"/>
        </w:rPr>
        <w:t>Production of SARS-CoV-2 pseudoparticles</w:t>
      </w:r>
      <w:bookmarkEnd w:id="4"/>
    </w:p>
    <w:p w14:paraId="63386BF9" w14:textId="1EAC860E" w:rsidR="00C16AD6" w:rsidRPr="00D07025" w:rsidRDefault="00C16AD6" w:rsidP="6ECA5006">
      <w:pPr>
        <w:spacing w:after="0" w:line="240" w:lineRule="auto"/>
        <w:jc w:val="both"/>
        <w:rPr>
          <w:rStyle w:val="Hyperlink"/>
          <w:rFonts w:ascii="Times New Roman" w:hAnsi="Times New Roman" w:cs="Times New Roman"/>
          <w:color w:val="auto"/>
          <w:sz w:val="24"/>
          <w:szCs w:val="24"/>
          <w:u w:val="none"/>
        </w:rPr>
      </w:pPr>
      <w:r w:rsidRPr="6ECA5006">
        <w:rPr>
          <w:rStyle w:val="Hyperlink"/>
          <w:rFonts w:ascii="Times New Roman" w:hAnsi="Times New Roman" w:cs="Times New Roman"/>
          <w:color w:val="auto"/>
          <w:sz w:val="24"/>
          <w:szCs w:val="24"/>
          <w:u w:val="none"/>
        </w:rPr>
        <w:t xml:space="preserve">To produce the pseudotyped lentiviral particles, 8.5×106 HEK-293T cells were plated in a 15 cm dish in complete DMEM medium and co-transfected </w:t>
      </w:r>
      <w:r w:rsidR="00A56620" w:rsidRPr="6ECA5006">
        <w:rPr>
          <w:rStyle w:val="Hyperlink"/>
          <w:rFonts w:ascii="Times New Roman" w:hAnsi="Times New Roman" w:cs="Times New Roman"/>
          <w:color w:val="auto"/>
          <w:sz w:val="24"/>
          <w:szCs w:val="24"/>
          <w:u w:val="none"/>
        </w:rPr>
        <w:t xml:space="preserve">using </w:t>
      </w:r>
      <w:r w:rsidR="00A56620" w:rsidRPr="003D3E48">
        <w:rPr>
          <w:rStyle w:val="Hyperlink"/>
          <w:rFonts w:ascii="Times New Roman" w:hAnsi="Times New Roman" w:cs="Times New Roman"/>
          <w:color w:val="auto"/>
          <w:sz w:val="24"/>
          <w:szCs w:val="24"/>
          <w:u w:val="none"/>
        </w:rPr>
        <w:t>Lipofectamine 2000 Transfection Reagent (Thermo Fisher Scientific)</w:t>
      </w:r>
      <w:r w:rsidR="00A56620" w:rsidRPr="003D3E48">
        <w:rPr>
          <w:rFonts w:ascii="Times New Roman" w:hAnsi="Times New Roman" w:cs="Times New Roman"/>
          <w:color w:val="FF0000"/>
          <w:sz w:val="24"/>
          <w:szCs w:val="24"/>
        </w:rPr>
        <w:t xml:space="preserve"> </w:t>
      </w:r>
      <w:r w:rsidRPr="6ECA5006">
        <w:rPr>
          <w:rStyle w:val="Hyperlink"/>
          <w:rFonts w:ascii="Times New Roman" w:hAnsi="Times New Roman" w:cs="Times New Roman"/>
          <w:color w:val="auto"/>
          <w:sz w:val="24"/>
          <w:szCs w:val="24"/>
          <w:u w:val="none"/>
        </w:rPr>
        <w:t xml:space="preserve">on the following day with 35 µg of pLenti CMV Puro LUC (w168-1) (Addgene #17477), 26.3 µg of pCMVR8.74 (Addgene #22036) and 26.3 µg of SARS-CoV-2 D614G-19-aa Ctrunc-Spike plasmid or SARS-CoV-2 Omicron-19-aa Ctrunc-Spike plasmid. Then, 12 hours after transfection, the medium was replaced with a 5% FBS-supplemented DMEM medium; 48 hours after transfection, the supernatant was collected and clariﬁed by centrifugation for 10 minutes at 1500 rpm. Viral pseudoparticle suspensions were aliquoted and stored at -80 °C. </w:t>
      </w:r>
    </w:p>
    <w:p w14:paraId="0ED5C8B3" w14:textId="177D8642" w:rsidR="00685A2C" w:rsidRPr="003D3E48" w:rsidRDefault="006445DF" w:rsidP="6ECA5006">
      <w:pPr>
        <w:spacing w:after="0" w:line="240" w:lineRule="auto"/>
        <w:jc w:val="both"/>
        <w:rPr>
          <w:rStyle w:val="Hyperlink"/>
          <w:rFonts w:ascii="Times New Roman" w:hAnsi="Times New Roman" w:cs="Times New Roman"/>
          <w:color w:val="auto"/>
          <w:sz w:val="24"/>
          <w:szCs w:val="24"/>
          <w:u w:val="none"/>
        </w:rPr>
      </w:pPr>
      <w:r w:rsidRPr="003D3E48">
        <w:rPr>
          <w:rFonts w:ascii="Times New Roman" w:hAnsi="Times New Roman" w:cs="Times New Roman"/>
          <w:sz w:val="24"/>
          <w:szCs w:val="24"/>
        </w:rPr>
        <w:t>We did not calculate viral particles. We rely on the luminescence signal, as explained below. A luciferase assay with Bright-Glo Luciferase Assay System (Promega) was used to determine viral titer. Serial dilutions of the virus-containing supernatant were applied to infect HEK293T-hACE2 and an amount of virus-containing supernatant where there was sufficient signal (&gt;200-fold) above cells-only background was selected for the neutralization assay.</w:t>
      </w:r>
    </w:p>
    <w:p w14:paraId="72A3D3EC" w14:textId="77777777" w:rsidR="001431F3" w:rsidRPr="00F631B4" w:rsidRDefault="001431F3" w:rsidP="6ECA5006">
      <w:pPr>
        <w:spacing w:after="0" w:line="240" w:lineRule="auto"/>
        <w:jc w:val="both"/>
        <w:rPr>
          <w:rFonts w:ascii="Times New Roman" w:hAnsi="Times New Roman" w:cs="Times New Roman"/>
          <w:sz w:val="24"/>
          <w:szCs w:val="24"/>
        </w:rPr>
      </w:pPr>
    </w:p>
    <w:p w14:paraId="2BD7ED10" w14:textId="77777777" w:rsidR="00C16AD6" w:rsidRPr="00F631B4" w:rsidRDefault="009736B4" w:rsidP="6ECA5006">
      <w:pPr>
        <w:spacing w:after="0" w:line="240" w:lineRule="auto"/>
        <w:jc w:val="both"/>
        <w:rPr>
          <w:rFonts w:ascii="Times New Roman" w:hAnsi="Times New Roman" w:cs="Times New Roman"/>
          <w:b/>
          <w:bCs/>
          <w:sz w:val="24"/>
          <w:szCs w:val="24"/>
        </w:rPr>
      </w:pPr>
      <w:r w:rsidRPr="6ECA5006">
        <w:rPr>
          <w:rFonts w:ascii="Times New Roman" w:hAnsi="Times New Roman" w:cs="Times New Roman"/>
          <w:b/>
          <w:bCs/>
          <w:sz w:val="24"/>
          <w:szCs w:val="24"/>
        </w:rPr>
        <w:t xml:space="preserve">7. </w:t>
      </w:r>
      <w:bookmarkStart w:id="5" w:name="_Hlk142660433"/>
      <w:bookmarkStart w:id="6" w:name="_Hlk142061576"/>
      <w:r w:rsidR="00C16AD6" w:rsidRPr="6ECA5006">
        <w:rPr>
          <w:rFonts w:ascii="Times New Roman" w:hAnsi="Times New Roman" w:cs="Times New Roman"/>
          <w:b/>
          <w:bCs/>
          <w:sz w:val="24"/>
          <w:szCs w:val="24"/>
        </w:rPr>
        <w:t>Neutralization assay with pseudotyped particles</w:t>
      </w:r>
      <w:bookmarkEnd w:id="5"/>
    </w:p>
    <w:bookmarkEnd w:id="6"/>
    <w:p w14:paraId="3CEF6EA5" w14:textId="2081BEFB" w:rsidR="00C16AD6" w:rsidRPr="003D3E48" w:rsidRDefault="00C16AD6" w:rsidP="6ECA5006">
      <w:pPr>
        <w:spacing w:after="0" w:line="240" w:lineRule="auto"/>
        <w:jc w:val="both"/>
        <w:rPr>
          <w:rStyle w:val="Hyperlink"/>
          <w:rFonts w:ascii="Times New Roman" w:hAnsi="Times New Roman" w:cs="Times New Roman"/>
          <w:color w:val="auto"/>
          <w:sz w:val="24"/>
          <w:szCs w:val="24"/>
          <w:u w:val="none"/>
        </w:rPr>
      </w:pPr>
      <w:r w:rsidRPr="6ECA5006">
        <w:rPr>
          <w:rStyle w:val="Hyperlink"/>
          <w:rFonts w:ascii="Times New Roman" w:hAnsi="Times New Roman" w:cs="Times New Roman"/>
          <w:color w:val="auto"/>
          <w:sz w:val="24"/>
          <w:szCs w:val="24"/>
          <w:u w:val="none"/>
        </w:rPr>
        <w:t xml:space="preserve">For neutralization assay with pseudotyped particles, HEK293T-hACE2 </w:t>
      </w:r>
      <w:r w:rsidRPr="003D3E48">
        <w:rPr>
          <w:rStyle w:val="Hyperlink"/>
          <w:rFonts w:ascii="Times New Roman" w:hAnsi="Times New Roman" w:cs="Times New Roman"/>
          <w:color w:val="auto"/>
          <w:sz w:val="24"/>
          <w:szCs w:val="24"/>
          <w:u w:val="none"/>
        </w:rPr>
        <w:t xml:space="preserve">cells </w:t>
      </w:r>
      <w:r w:rsidR="00A31703" w:rsidRPr="003D3E48">
        <w:rPr>
          <w:rStyle w:val="Hyperlink"/>
          <w:rFonts w:ascii="Times New Roman" w:hAnsi="Times New Roman" w:cs="Times New Roman"/>
          <w:color w:val="auto"/>
          <w:sz w:val="24"/>
          <w:szCs w:val="24"/>
          <w:u w:val="none"/>
        </w:rPr>
        <w:t>(</w:t>
      </w:r>
      <w:r w:rsidR="00A31703" w:rsidRPr="003D3E48">
        <w:rPr>
          <w:rFonts w:ascii="Times New Roman" w:hAnsi="Times New Roman" w:cs="Times New Roman"/>
        </w:rPr>
        <w:t>8.5 x10</w:t>
      </w:r>
      <w:r w:rsidR="00A31703" w:rsidRPr="003D3E48">
        <w:rPr>
          <w:rFonts w:ascii="Times New Roman" w:hAnsi="Times New Roman" w:cs="Times New Roman"/>
          <w:vertAlign w:val="superscript"/>
        </w:rPr>
        <w:t>6</w:t>
      </w:r>
      <w:r w:rsidR="00A31703" w:rsidRPr="003D3E48">
        <w:rPr>
          <w:rFonts w:ascii="Times New Roman" w:hAnsi="Times New Roman" w:cs="Times New Roman"/>
        </w:rPr>
        <w:t xml:space="preserve"> cells were seeded)</w:t>
      </w:r>
      <w:r w:rsidR="00A31703" w:rsidRPr="003D3E48">
        <w:rPr>
          <w:rStyle w:val="Hyperlink"/>
          <w:rFonts w:ascii="Times New Roman" w:hAnsi="Times New Roman" w:cs="Times New Roman"/>
          <w:color w:val="auto"/>
          <w:sz w:val="24"/>
          <w:szCs w:val="24"/>
          <w:u w:val="none"/>
        </w:rPr>
        <w:t xml:space="preserve"> </w:t>
      </w:r>
      <w:r w:rsidRPr="003D3E48">
        <w:rPr>
          <w:rStyle w:val="Hyperlink"/>
          <w:rFonts w:ascii="Times New Roman" w:hAnsi="Times New Roman" w:cs="Times New Roman"/>
          <w:color w:val="auto"/>
          <w:sz w:val="24"/>
          <w:szCs w:val="24"/>
          <w:u w:val="none"/>
        </w:rPr>
        <w:t>were transduced with SARS-CoV-2 pseudovirus previously incubated with a serial 2.5-fold dilution of heat-inactivated serum to obtain an 8-point dose-response curve. Luciferase assay was performed using Bright-Glo™ Luciferase System (Promega, cat. E2620) and Victor plate reader. Measured relative light units (RLUs) were normalized to controls, and dose–response curves were generated using GraphPad Prism software, as previously described (</w:t>
      </w:r>
      <w:r w:rsidR="00E61AD7" w:rsidRPr="003D3E48">
        <w:rPr>
          <w:rStyle w:val="Hyperlink"/>
          <w:rFonts w:ascii="Times New Roman" w:hAnsi="Times New Roman" w:cs="Times New Roman"/>
          <w:color w:val="auto"/>
          <w:sz w:val="24"/>
          <w:szCs w:val="24"/>
          <w:u w:val="none"/>
        </w:rPr>
        <w:t>6</w:t>
      </w:r>
      <w:r w:rsidRPr="003D3E48">
        <w:rPr>
          <w:rStyle w:val="Hyperlink"/>
          <w:rFonts w:ascii="Times New Roman" w:hAnsi="Times New Roman" w:cs="Times New Roman"/>
          <w:color w:val="auto"/>
          <w:sz w:val="24"/>
          <w:szCs w:val="24"/>
          <w:u w:val="none"/>
        </w:rPr>
        <w:t>).</w:t>
      </w:r>
    </w:p>
    <w:p w14:paraId="20F5C642" w14:textId="5C97068D" w:rsidR="006445DF" w:rsidRPr="003D3E48" w:rsidRDefault="006445DF" w:rsidP="6ECA5006">
      <w:pPr>
        <w:spacing w:after="0" w:line="240" w:lineRule="auto"/>
        <w:jc w:val="both"/>
        <w:rPr>
          <w:rFonts w:ascii="Times New Roman" w:hAnsi="Times New Roman" w:cs="Times New Roman"/>
          <w:sz w:val="24"/>
          <w:szCs w:val="24"/>
        </w:rPr>
      </w:pPr>
      <w:r w:rsidRPr="003D3E48">
        <w:rPr>
          <w:rFonts w:ascii="Times New Roman" w:hAnsi="Times New Roman" w:cs="Times New Roman"/>
          <w:sz w:val="24"/>
          <w:szCs w:val="24"/>
        </w:rPr>
        <w:t xml:space="preserve">SARS-CoV-2 pseudoparticles were tested for their ability to specifically infect susceptible HEK293T-hACE2 and not HEK293T-WT target cells. A luciferase assay with Bright-Glo Luciferase Assay System (Promega) was used to determine viral titer. Serial dilutions of the virus-containing supernatant were applied to infect HEK293T-hACE2 and an amount of virus-containing supernatant where there was sufficient (&gt;200-fold) signal above cells-only background was selected for the neutralization assay. In addition, no neutralizing serum and a neutralizing monoclonal antibody were used as </w:t>
      </w:r>
      <w:r w:rsidR="003D3E48">
        <w:rPr>
          <w:rFonts w:ascii="Times New Roman" w:hAnsi="Times New Roman" w:cs="Times New Roman"/>
          <w:sz w:val="24"/>
          <w:szCs w:val="24"/>
        </w:rPr>
        <w:t xml:space="preserve">a </w:t>
      </w:r>
      <w:r w:rsidRPr="003D3E48">
        <w:rPr>
          <w:rFonts w:ascii="Times New Roman" w:hAnsi="Times New Roman" w:cs="Times New Roman"/>
          <w:sz w:val="24"/>
          <w:szCs w:val="24"/>
        </w:rPr>
        <w:t>negative and positive control of neutralization, respectively.</w:t>
      </w:r>
    </w:p>
    <w:p w14:paraId="7EE108A0" w14:textId="77777777" w:rsidR="006445DF" w:rsidRDefault="006445DF" w:rsidP="006445DF">
      <w:pPr>
        <w:spacing w:after="0" w:line="480" w:lineRule="auto"/>
        <w:jc w:val="both"/>
        <w:rPr>
          <w:rStyle w:val="Hyperlink"/>
          <w:rFonts w:ascii="Times New Roman" w:hAnsi="Times New Roman" w:cs="Times New Roman"/>
          <w:color w:val="auto"/>
          <w:sz w:val="24"/>
          <w:szCs w:val="24"/>
          <w:u w:val="none"/>
        </w:rPr>
      </w:pPr>
    </w:p>
    <w:p w14:paraId="18B4ECD7" w14:textId="2420500A" w:rsidR="006849F9" w:rsidRPr="00F631B4" w:rsidRDefault="006849F9" w:rsidP="1E06349C">
      <w:pPr>
        <w:rPr>
          <w:rStyle w:val="Hyperlink"/>
          <w:rFonts w:ascii="Times New Roman" w:hAnsi="Times New Roman" w:cs="Times New Roman"/>
          <w:b/>
          <w:bCs/>
          <w:color w:val="auto"/>
          <w:sz w:val="24"/>
          <w:szCs w:val="24"/>
          <w:u w:val="none"/>
        </w:rPr>
      </w:pPr>
      <w:r w:rsidRPr="6ECA5006">
        <w:rPr>
          <w:rStyle w:val="Hyperlink"/>
          <w:rFonts w:ascii="Times New Roman" w:hAnsi="Times New Roman" w:cs="Times New Roman"/>
          <w:b/>
          <w:bCs/>
          <w:color w:val="auto"/>
          <w:sz w:val="24"/>
          <w:szCs w:val="24"/>
          <w:u w:val="none"/>
        </w:rPr>
        <w:t>References</w:t>
      </w:r>
    </w:p>
    <w:p w14:paraId="0CCF97BB" w14:textId="3BBF0EA0" w:rsidR="00347BF9" w:rsidRPr="00D07025" w:rsidRDefault="006849F9" w:rsidP="1E06349C">
      <w:pPr>
        <w:pStyle w:val="ListParagraph"/>
        <w:numPr>
          <w:ilvl w:val="0"/>
          <w:numId w:val="14"/>
        </w:numPr>
        <w:spacing w:after="0" w:line="240" w:lineRule="auto"/>
        <w:rPr>
          <w:rFonts w:ascii="Times New Roman" w:hAnsi="Times New Roman" w:cs="Times New Roman"/>
          <w:sz w:val="24"/>
          <w:szCs w:val="24"/>
          <w:shd w:val="clear" w:color="auto" w:fill="FFFFFF"/>
        </w:rPr>
      </w:pPr>
      <w:r w:rsidRPr="00347BF9">
        <w:rPr>
          <w:rFonts w:ascii="Times New Roman" w:hAnsi="Times New Roman" w:cs="Times New Roman"/>
          <w:sz w:val="24"/>
          <w:szCs w:val="24"/>
          <w:shd w:val="clear" w:color="auto" w:fill="FFFFFF"/>
          <w:lang w:val="it-IT"/>
        </w:rPr>
        <w:t xml:space="preserve">Bonelli F, Sarasini A, Zierold C, Calleri M, Bonetti A, Vismara C, et al. </w:t>
      </w:r>
      <w:r w:rsidRPr="00D07025">
        <w:rPr>
          <w:rFonts w:ascii="Times New Roman" w:hAnsi="Times New Roman" w:cs="Times New Roman"/>
          <w:sz w:val="24"/>
          <w:szCs w:val="24"/>
          <w:shd w:val="clear" w:color="auto" w:fill="FFFFFF"/>
        </w:rPr>
        <w:t>Clinical and analytical performance of an automated serological test that identifies S1/S2-neutralizing IgG in COVID-</w:t>
      </w:r>
      <w:r w:rsidRPr="00D07025">
        <w:rPr>
          <w:rFonts w:ascii="Times New Roman" w:hAnsi="Times New Roman" w:cs="Times New Roman"/>
          <w:sz w:val="24"/>
          <w:szCs w:val="24"/>
          <w:shd w:val="clear" w:color="auto" w:fill="FFFFFF"/>
        </w:rPr>
        <w:lastRenderedPageBreak/>
        <w:t xml:space="preserve">19 patients semiquantitatively. J Clin Microbiol (2020) 58:e01224-20. </w:t>
      </w:r>
      <w:proofErr w:type="gramStart"/>
      <w:r w:rsidRPr="00D07025">
        <w:rPr>
          <w:rFonts w:ascii="Times New Roman" w:hAnsi="Times New Roman" w:cs="Times New Roman"/>
          <w:sz w:val="24"/>
          <w:szCs w:val="24"/>
          <w:shd w:val="clear" w:color="auto" w:fill="FFFFFF"/>
        </w:rPr>
        <w:t>doi</w:t>
      </w:r>
      <w:proofErr w:type="gramEnd"/>
      <w:r w:rsidRPr="00D07025">
        <w:rPr>
          <w:rFonts w:ascii="Times New Roman" w:hAnsi="Times New Roman" w:cs="Times New Roman"/>
          <w:sz w:val="24"/>
          <w:szCs w:val="24"/>
          <w:shd w:val="clear" w:color="auto" w:fill="FFFFFF"/>
        </w:rPr>
        <w:t>: 10.1128/JCM.01224-20</w:t>
      </w:r>
      <w:r w:rsidR="007B6DC2" w:rsidRPr="00D07025">
        <w:rPr>
          <w:rFonts w:ascii="Times New Roman" w:hAnsi="Times New Roman" w:cs="Times New Roman"/>
          <w:sz w:val="24"/>
          <w:szCs w:val="24"/>
          <w:shd w:val="clear" w:color="auto" w:fill="FFFFFF"/>
        </w:rPr>
        <w:t>.</w:t>
      </w:r>
    </w:p>
    <w:p w14:paraId="28889D9D" w14:textId="09C98F70" w:rsidR="00347BF9" w:rsidRPr="00347BF9" w:rsidRDefault="006849F9" w:rsidP="1E06349C">
      <w:pPr>
        <w:pStyle w:val="ListParagraph"/>
        <w:numPr>
          <w:ilvl w:val="0"/>
          <w:numId w:val="14"/>
        </w:numPr>
        <w:spacing w:after="0" w:line="240" w:lineRule="auto"/>
        <w:rPr>
          <w:rFonts w:ascii="Times New Roman" w:eastAsia="Times New Roman" w:hAnsi="Times New Roman" w:cs="Times New Roman"/>
          <w:sz w:val="24"/>
          <w:szCs w:val="24"/>
          <w:lang w:eastAsia="it-IT"/>
        </w:rPr>
      </w:pPr>
      <w:r w:rsidRPr="00347BF9">
        <w:rPr>
          <w:rFonts w:ascii="Times New Roman" w:hAnsi="Times New Roman" w:cs="Times New Roman"/>
          <w:sz w:val="24"/>
          <w:szCs w:val="24"/>
          <w:shd w:val="clear" w:color="auto" w:fill="FFFFFF"/>
        </w:rPr>
        <w:t>WHO. Standar</w:t>
      </w:r>
      <w:r w:rsidR="00F631B4" w:rsidRPr="00347BF9">
        <w:rPr>
          <w:rFonts w:ascii="Times New Roman" w:hAnsi="Times New Roman" w:cs="Times New Roman"/>
          <w:sz w:val="24"/>
          <w:szCs w:val="24"/>
          <w:shd w:val="clear" w:color="auto" w:fill="FFFFFF"/>
        </w:rPr>
        <w:t xml:space="preserve">ds of vaccines for coronavirus disease (COVID-19). </w:t>
      </w:r>
      <w:hyperlink r:id="rId6" w:history="1">
        <w:r w:rsidR="00F631B4" w:rsidRPr="1E06349C">
          <w:rPr>
            <w:rStyle w:val="Hyperlink"/>
            <w:rFonts w:ascii="Times New Roman" w:eastAsia="Times New Roman" w:hAnsi="Times New Roman" w:cs="Times New Roman"/>
            <w:color w:val="auto"/>
            <w:sz w:val="24"/>
            <w:szCs w:val="24"/>
            <w:u w:val="none"/>
            <w:lang w:eastAsia="it-IT"/>
          </w:rPr>
          <w:t>https://www.who.int/news-room/feature-stories/detail/standardization-of-vaccines-for-coronavirus-disease-covid-19</w:t>
        </w:r>
      </w:hyperlink>
      <w:r w:rsidR="000C0034" w:rsidRPr="1E06349C">
        <w:rPr>
          <w:rStyle w:val="Hyperlink"/>
          <w:rFonts w:ascii="Times New Roman" w:eastAsia="Times New Roman" w:hAnsi="Times New Roman" w:cs="Times New Roman"/>
          <w:color w:val="auto"/>
          <w:sz w:val="24"/>
          <w:szCs w:val="24"/>
          <w:u w:val="none"/>
          <w:lang w:eastAsia="it-IT"/>
        </w:rPr>
        <w:t>.</w:t>
      </w:r>
    </w:p>
    <w:p w14:paraId="34B0393D" w14:textId="046990B9" w:rsidR="00347BF9" w:rsidRPr="00347BF9" w:rsidRDefault="006849F9" w:rsidP="1E06349C">
      <w:pPr>
        <w:pStyle w:val="ListParagraph"/>
        <w:numPr>
          <w:ilvl w:val="0"/>
          <w:numId w:val="14"/>
        </w:numPr>
        <w:spacing w:after="0" w:line="240" w:lineRule="auto"/>
        <w:rPr>
          <w:rFonts w:ascii="Times New Roman" w:hAnsi="Times New Roman" w:cs="Times New Roman"/>
          <w:sz w:val="24"/>
          <w:szCs w:val="24"/>
          <w:shd w:val="clear" w:color="auto" w:fill="FFFFFF"/>
        </w:rPr>
      </w:pPr>
      <w:r w:rsidRPr="00D07025">
        <w:rPr>
          <w:rFonts w:ascii="Times New Roman" w:hAnsi="Times New Roman" w:cs="Times New Roman"/>
          <w:sz w:val="24"/>
          <w:szCs w:val="24"/>
          <w:shd w:val="clear" w:color="auto" w:fill="FFFFFF"/>
        </w:rPr>
        <w:t xml:space="preserve">Lukaszuk K, Kiewisz J, Rozanska K, Dabrowska M, Podolak A, Jakiel G, et al. Usefulness of IVD kits for the assessment of SARS-CoV-2 antibodies to evaluate the humoral response to vaccination. </w:t>
      </w:r>
      <w:r w:rsidRPr="00347BF9">
        <w:rPr>
          <w:rFonts w:ascii="Times New Roman" w:hAnsi="Times New Roman" w:cs="Times New Roman"/>
          <w:sz w:val="24"/>
          <w:szCs w:val="24"/>
          <w:shd w:val="clear" w:color="auto" w:fill="FFFFFF"/>
        </w:rPr>
        <w:t xml:space="preserve">Vaccines (Basel) (2021) 9:840. </w:t>
      </w:r>
      <w:proofErr w:type="gramStart"/>
      <w:r w:rsidRPr="00347BF9">
        <w:rPr>
          <w:rFonts w:ascii="Times New Roman" w:hAnsi="Times New Roman" w:cs="Times New Roman"/>
          <w:sz w:val="24"/>
          <w:szCs w:val="24"/>
          <w:shd w:val="clear" w:color="auto" w:fill="FFFFFF"/>
        </w:rPr>
        <w:t>doi</w:t>
      </w:r>
      <w:proofErr w:type="gramEnd"/>
      <w:r w:rsidRPr="00347BF9">
        <w:rPr>
          <w:rFonts w:ascii="Times New Roman" w:hAnsi="Times New Roman" w:cs="Times New Roman"/>
          <w:sz w:val="24"/>
          <w:szCs w:val="24"/>
          <w:shd w:val="clear" w:color="auto" w:fill="FFFFFF"/>
        </w:rPr>
        <w:t>: 10.3390/vaccines9080840</w:t>
      </w:r>
      <w:r w:rsidR="000C0034" w:rsidRPr="00347BF9">
        <w:rPr>
          <w:rFonts w:ascii="Times New Roman" w:hAnsi="Times New Roman" w:cs="Times New Roman"/>
          <w:sz w:val="24"/>
          <w:szCs w:val="24"/>
          <w:shd w:val="clear" w:color="auto" w:fill="FFFFFF"/>
        </w:rPr>
        <w:t>.</w:t>
      </w:r>
    </w:p>
    <w:p w14:paraId="6F2FEC40" w14:textId="63FC7DBB" w:rsidR="00347BF9" w:rsidRDefault="00347BF9" w:rsidP="1E06349C">
      <w:pPr>
        <w:pStyle w:val="ListParagraph"/>
        <w:numPr>
          <w:ilvl w:val="0"/>
          <w:numId w:val="14"/>
        </w:numPr>
        <w:spacing w:after="0" w:line="240" w:lineRule="auto"/>
        <w:rPr>
          <w:rFonts w:ascii="Times New Roman" w:hAnsi="Times New Roman" w:cs="Times New Roman"/>
          <w:sz w:val="24"/>
          <w:szCs w:val="24"/>
          <w:shd w:val="clear" w:color="auto" w:fill="FFFFFF"/>
        </w:rPr>
      </w:pPr>
      <w:r w:rsidRPr="00347BF9">
        <w:rPr>
          <w:rFonts w:ascii="Times New Roman" w:hAnsi="Times New Roman" w:cs="Times New Roman"/>
          <w:sz w:val="24"/>
          <w:szCs w:val="24"/>
          <w:shd w:val="clear" w:color="auto" w:fill="FFFFFF"/>
        </w:rPr>
        <w:t xml:space="preserve">Salvatori E, Lione L, Compagnone M, Pinto E, Conforti A, Ciliberto G, et al. Neoantigen cancer vaccine augments anti-CTLA-4 efficacy. NPJ Vaccines (2022) 7:15. </w:t>
      </w:r>
      <w:proofErr w:type="gramStart"/>
      <w:r w:rsidRPr="00347BF9">
        <w:rPr>
          <w:rFonts w:ascii="Times New Roman" w:hAnsi="Times New Roman" w:cs="Times New Roman"/>
          <w:sz w:val="24"/>
          <w:szCs w:val="24"/>
          <w:shd w:val="clear" w:color="auto" w:fill="FFFFFF"/>
        </w:rPr>
        <w:t>doi</w:t>
      </w:r>
      <w:proofErr w:type="gramEnd"/>
      <w:r w:rsidRPr="00347BF9">
        <w:rPr>
          <w:rFonts w:ascii="Times New Roman" w:hAnsi="Times New Roman" w:cs="Times New Roman"/>
          <w:sz w:val="24"/>
          <w:szCs w:val="24"/>
          <w:shd w:val="clear" w:color="auto" w:fill="FFFFFF"/>
        </w:rPr>
        <w:t>: 10.1038/s41541-022-00433-9.</w:t>
      </w:r>
    </w:p>
    <w:p w14:paraId="68706279" w14:textId="102672E6" w:rsidR="006E2604" w:rsidRPr="006E2604" w:rsidRDefault="006E2604" w:rsidP="1E06349C">
      <w:pPr>
        <w:pStyle w:val="ListParagraph"/>
        <w:numPr>
          <w:ilvl w:val="0"/>
          <w:numId w:val="14"/>
        </w:numPr>
        <w:rPr>
          <w:shd w:val="clear" w:color="auto" w:fill="FFFFFF"/>
        </w:rPr>
      </w:pPr>
      <w:r w:rsidRPr="00FA17BB">
        <w:rPr>
          <w:rFonts w:ascii="Times New Roman" w:hAnsi="Times New Roman" w:cs="Times New Roman"/>
          <w:sz w:val="24"/>
          <w:szCs w:val="24"/>
          <w:shd w:val="clear" w:color="auto" w:fill="FFFFFF"/>
        </w:rPr>
        <w:t>Jingyou Yu,1, Lisa H. Tostanoski, Lauren Peter, Noe B. Mercado, Katherine McMahan, et al. DNA vaccine protection against SARS-CoV-2 in rhesus macaques. Science (2020) 369(6505): 806–811. doi: </w:t>
      </w:r>
      <w:hyperlink r:id="rId7" w:tgtFrame="_blank" w:history="1">
        <w:r w:rsidRPr="00FA17BB">
          <w:rPr>
            <w:rFonts w:ascii="Times New Roman" w:hAnsi="Times New Roman" w:cs="Times New Roman"/>
            <w:sz w:val="24"/>
            <w:szCs w:val="24"/>
          </w:rPr>
          <w:t>10.1126/science.abc6284</w:t>
        </w:r>
      </w:hyperlink>
    </w:p>
    <w:p w14:paraId="56EE7DDD" w14:textId="5FBC2A26" w:rsidR="00C16AD6" w:rsidRPr="003D3E48" w:rsidRDefault="00F631B4" w:rsidP="1E06349C">
      <w:pPr>
        <w:pStyle w:val="ListParagraph"/>
        <w:numPr>
          <w:ilvl w:val="0"/>
          <w:numId w:val="14"/>
        </w:numPr>
        <w:spacing w:after="0" w:line="240" w:lineRule="auto"/>
        <w:rPr>
          <w:rFonts w:ascii="Times New Roman" w:hAnsi="Times New Roman" w:cs="Times New Roman"/>
          <w:sz w:val="24"/>
          <w:szCs w:val="24"/>
          <w:shd w:val="clear" w:color="auto" w:fill="FFFFFF"/>
        </w:rPr>
      </w:pPr>
      <w:r w:rsidRPr="00347BF9">
        <w:rPr>
          <w:rFonts w:ascii="Times New Roman" w:hAnsi="Times New Roman" w:cs="Times New Roman"/>
          <w:sz w:val="24"/>
          <w:szCs w:val="24"/>
          <w:shd w:val="clear" w:color="auto" w:fill="FFFFFF"/>
        </w:rPr>
        <w:t>Compagnone M, Pinto E, Salvatori E, Lione L, Conforti A, Marchese S, et al. DNA-vaccine-induced immune response correlates with lower viral SARS-CoV-2 titers in a ferret model. Vaccines (Basel) (2022) 1</w:t>
      </w:r>
      <w:r w:rsidRPr="003D3E48">
        <w:rPr>
          <w:rFonts w:ascii="Times New Roman" w:hAnsi="Times New Roman" w:cs="Times New Roman"/>
          <w:sz w:val="24"/>
          <w:szCs w:val="24"/>
          <w:shd w:val="clear" w:color="auto" w:fill="FFFFFF"/>
        </w:rPr>
        <w:t xml:space="preserve">0:1178. </w:t>
      </w:r>
      <w:proofErr w:type="gramStart"/>
      <w:r w:rsidRPr="003D3E48">
        <w:rPr>
          <w:rFonts w:ascii="Times New Roman" w:hAnsi="Times New Roman" w:cs="Times New Roman"/>
          <w:sz w:val="24"/>
          <w:szCs w:val="24"/>
          <w:shd w:val="clear" w:color="auto" w:fill="FFFFFF"/>
        </w:rPr>
        <w:t>doi</w:t>
      </w:r>
      <w:proofErr w:type="gramEnd"/>
      <w:r w:rsidRPr="003D3E48">
        <w:rPr>
          <w:rFonts w:ascii="Times New Roman" w:hAnsi="Times New Roman" w:cs="Times New Roman"/>
          <w:sz w:val="24"/>
          <w:szCs w:val="24"/>
          <w:shd w:val="clear" w:color="auto" w:fill="FFFFFF"/>
        </w:rPr>
        <w:t>: 10.3390/vaccines10081178</w:t>
      </w:r>
      <w:r w:rsidR="000C0034" w:rsidRPr="003D3E48">
        <w:rPr>
          <w:rFonts w:ascii="Times New Roman" w:hAnsi="Times New Roman" w:cs="Times New Roman"/>
          <w:sz w:val="24"/>
          <w:szCs w:val="24"/>
        </w:rPr>
        <w:t>.</w:t>
      </w:r>
    </w:p>
    <w:sectPr w:rsidR="00C16AD6" w:rsidRPr="003D3E48" w:rsidSect="005979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B7666"/>
    <w:multiLevelType w:val="multilevel"/>
    <w:tmpl w:val="44328928"/>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EC0601A"/>
    <w:multiLevelType w:val="multilevel"/>
    <w:tmpl w:val="C6A8CCEA"/>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567"/>
        </w:tabs>
        <w:ind w:left="567" w:hanging="567"/>
      </w:pPr>
      <w:rPr>
        <w:rFonts w:hint="default"/>
      </w:rPr>
    </w:lvl>
    <w:lvl w:ilvl="3">
      <w:start w:val="1"/>
      <w:numFmt w:val="decimal"/>
      <w:pStyle w:val="Heading4"/>
      <w:lvlText w:val="%1.%2.%3.%4"/>
      <w:lvlJc w:val="left"/>
      <w:pPr>
        <w:tabs>
          <w:tab w:val="num" w:pos="567"/>
        </w:tabs>
        <w:ind w:left="567" w:hanging="567"/>
      </w:pPr>
      <w:rPr>
        <w:rFonts w:hint="default"/>
      </w:rPr>
    </w:lvl>
    <w:lvl w:ilvl="4">
      <w:start w:val="1"/>
      <w:numFmt w:val="decimal"/>
      <w:pStyle w:val="Heading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2">
    <w:nsid w:val="1FB46F37"/>
    <w:multiLevelType w:val="hybridMultilevel"/>
    <w:tmpl w:val="59D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305B5"/>
    <w:multiLevelType w:val="hybridMultilevel"/>
    <w:tmpl w:val="4F8C24FA"/>
    <w:lvl w:ilvl="0" w:tplc="A9DCD718">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nsid w:val="2A6C2AFF"/>
    <w:multiLevelType w:val="hybridMultilevel"/>
    <w:tmpl w:val="7E5C12B0"/>
    <w:lvl w:ilvl="0" w:tplc="B18CB460">
      <w:start w:val="1"/>
      <w:numFmt w:val="decimal"/>
      <w:lvlText w:val="%1"/>
      <w:lvlJc w:val="left"/>
      <w:pPr>
        <w:ind w:left="720" w:hanging="360"/>
      </w:pPr>
      <w:rPr>
        <w:rFonts w:hint="default"/>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E447300"/>
    <w:multiLevelType w:val="hybridMultilevel"/>
    <w:tmpl w:val="28082DE6"/>
    <w:lvl w:ilvl="0" w:tplc="B18CB460">
      <w:start w:val="1"/>
      <w:numFmt w:val="decimal"/>
      <w:lvlText w:val="%1"/>
      <w:lvlJc w:val="left"/>
      <w:pPr>
        <w:ind w:left="720" w:hanging="360"/>
      </w:pPr>
      <w:rPr>
        <w:b w:val="0"/>
        <w:b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5DFD0F1B"/>
    <w:multiLevelType w:val="hybridMultilevel"/>
    <w:tmpl w:val="08587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CB2CC7"/>
    <w:multiLevelType w:val="hybridMultilevel"/>
    <w:tmpl w:val="8594E972"/>
    <w:lvl w:ilvl="0" w:tplc="FFFFFFFF">
      <w:start w:val="1"/>
      <w:numFmt w:val="decimal"/>
      <w:lvlText w:val="%1"/>
      <w:lvlJc w:val="left"/>
      <w:pPr>
        <w:ind w:left="284" w:hanging="284"/>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lvl w:ilvl="0">
        <w:start w:val="1"/>
        <w:numFmt w:val="decimal"/>
        <w:pStyle w:val="Heading1"/>
        <w:lvlText w:val="%1"/>
        <w:lvlJc w:val="left"/>
        <w:pPr>
          <w:tabs>
            <w:tab w:val="num" w:pos="1844"/>
          </w:tabs>
          <w:ind w:left="1844" w:hanging="567"/>
        </w:pPr>
        <w:rPr>
          <w:rFonts w:hint="default"/>
        </w:rPr>
      </w:lvl>
    </w:lvlOverride>
    <w:lvlOverride w:ilvl="1">
      <w:lvl w:ilvl="1">
        <w:start w:val="1"/>
        <w:numFmt w:val="decimal"/>
        <w:pStyle w:val="Heading2"/>
        <w:lvlText w:val="%1.%2"/>
        <w:lvlJc w:val="left"/>
        <w:pPr>
          <w:tabs>
            <w:tab w:val="num" w:pos="567"/>
          </w:tabs>
          <w:ind w:left="567" w:hanging="567"/>
        </w:pPr>
        <w:rPr>
          <w:rFonts w:hint="default"/>
        </w:rPr>
      </w:lvl>
    </w:lvlOverride>
  </w:num>
  <w:num w:numId="2">
    <w:abstractNumId w:val="1"/>
  </w:num>
  <w:num w:numId="3">
    <w:abstractNumId w:val="0"/>
  </w:num>
  <w:num w:numId="4">
    <w:abstractNumId w:val="1"/>
    <w:lvlOverride w:ilvl="0">
      <w:startOverride w:val="2"/>
      <w:lvl w:ilvl="0">
        <w:start w:val="2"/>
        <w:numFmt w:val="decimal"/>
        <w:pStyle w:val="Heading1"/>
        <w:lvlText w:val="%1"/>
        <w:lvlJc w:val="left"/>
        <w:pPr>
          <w:tabs>
            <w:tab w:val="num" w:pos="1844"/>
          </w:tabs>
          <w:ind w:left="1844"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5">
    <w:abstractNumId w:val="1"/>
    <w:lvlOverride w:ilvl="0">
      <w:startOverride w:val="1"/>
      <w:lvl w:ilvl="0">
        <w:start w:val="1"/>
        <w:numFmt w:val="decimal"/>
        <w:pStyle w:val="Heading1"/>
        <w:lvlText w:val="%1"/>
        <w:lvlJc w:val="left"/>
        <w:pPr>
          <w:tabs>
            <w:tab w:val="num" w:pos="1844"/>
          </w:tabs>
          <w:ind w:left="1844"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lvlOverride w:ilvl="2">
      <w:startOverride w:val="1"/>
      <w:lvl w:ilvl="2">
        <w:start w:val="1"/>
        <w:numFmt w:val="decimal"/>
        <w:pStyle w:val="Heading3"/>
        <w:lvlText w:val=""/>
        <w:lvlJc w:val="left"/>
      </w:lvl>
    </w:lvlOverride>
    <w:lvlOverride w:ilvl="3">
      <w:startOverride w:val="1"/>
      <w:lvl w:ilvl="3">
        <w:start w:val="1"/>
        <w:numFmt w:val="decimal"/>
        <w:pStyle w:val="Heading4"/>
        <w:lvlText w:val=""/>
        <w:lvlJc w:val="left"/>
      </w:lvl>
    </w:lvlOverride>
    <w:lvlOverride w:ilvl="4">
      <w:startOverride w:val="1"/>
      <w:lvl w:ilvl="4">
        <w:start w:val="1"/>
        <w:numFmt w:val="decimal"/>
        <w:pStyle w:val="Heading5"/>
        <w:lvlText w:val=""/>
        <w:lvlJc w:val="left"/>
      </w:lvl>
    </w:lvlOverride>
    <w:lvlOverride w:ilvl="5">
      <w:startOverride w:val="1"/>
      <w:lvl w:ilvl="5">
        <w:start w:val="1"/>
        <w:numFmt w:val="decimal"/>
        <w:lvlText w:val=""/>
        <w:lvlJc w:val="left"/>
      </w:lvl>
    </w:lvlOverride>
    <w:lvlOverride w:ilvl="6">
      <w:startOverride w:val="3"/>
      <w:lvl w:ilvl="6">
        <w:start w:val="3"/>
        <w:numFmt w:val="decimal"/>
        <w:lvlText w:val=""/>
        <w:lvlJc w:val="left"/>
      </w:lvl>
    </w:lvlOverride>
  </w:num>
  <w:num w:numId="6">
    <w:abstractNumId w:val="1"/>
    <w:lvlOverride w:ilvl="0">
      <w:startOverride w:val="3"/>
      <w:lvl w:ilvl="0">
        <w:start w:val="3"/>
        <w:numFmt w:val="decimal"/>
        <w:pStyle w:val="Heading1"/>
        <w:lvlText w:val="%1"/>
        <w:lvlJc w:val="left"/>
        <w:pPr>
          <w:tabs>
            <w:tab w:val="num" w:pos="1844"/>
          </w:tabs>
          <w:ind w:left="1844"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7">
    <w:abstractNumId w:val="1"/>
    <w:lvlOverride w:ilvl="0">
      <w:startOverride w:val="3"/>
      <w:lvl w:ilvl="0">
        <w:start w:val="3"/>
        <w:numFmt w:val="decimal"/>
        <w:pStyle w:val="Heading1"/>
        <w:lvlText w:val="%1"/>
        <w:lvlJc w:val="left"/>
        <w:pPr>
          <w:tabs>
            <w:tab w:val="num" w:pos="1844"/>
          </w:tabs>
          <w:ind w:left="1844" w:hanging="567"/>
        </w:pPr>
        <w:rPr>
          <w:rFonts w:hint="default"/>
        </w:rPr>
      </w:lvl>
    </w:lvlOverride>
    <w:lvlOverride w:ilvl="1">
      <w:startOverride w:val="1"/>
      <w:lvl w:ilvl="1">
        <w:start w:val="1"/>
        <w:numFmt w:val="decimal"/>
        <w:pStyle w:val="Heading2"/>
        <w:lvlText w:val="%1.%2"/>
        <w:lvlJc w:val="left"/>
        <w:pPr>
          <w:tabs>
            <w:tab w:val="num" w:pos="567"/>
          </w:tabs>
          <w:ind w:left="567" w:hanging="567"/>
        </w:pPr>
        <w:rPr>
          <w:rFonts w:hint="default"/>
        </w:rPr>
      </w:lvl>
    </w:lvlOverride>
  </w:num>
  <w:num w:numId="8">
    <w:abstractNumId w:val="2"/>
  </w:num>
  <w:num w:numId="9">
    <w:abstractNumId w:val="6"/>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TS0sDQxNjY1tDA3sDRV0lEKTi0uzszPAykwrAUAOGPNxCwAAAA="/>
  </w:docVars>
  <w:rsids>
    <w:rsidRoot w:val="00C16AD6"/>
    <w:rsid w:val="00077A5B"/>
    <w:rsid w:val="00090D5A"/>
    <w:rsid w:val="000C0034"/>
    <w:rsid w:val="001431F3"/>
    <w:rsid w:val="001641EE"/>
    <w:rsid w:val="002562E7"/>
    <w:rsid w:val="002821DA"/>
    <w:rsid w:val="002A07F4"/>
    <w:rsid w:val="002D35AF"/>
    <w:rsid w:val="002E2E66"/>
    <w:rsid w:val="00346B0A"/>
    <w:rsid w:val="00347BF9"/>
    <w:rsid w:val="003D3E48"/>
    <w:rsid w:val="00441D28"/>
    <w:rsid w:val="00483E4F"/>
    <w:rsid w:val="005979F4"/>
    <w:rsid w:val="006445DF"/>
    <w:rsid w:val="006457A7"/>
    <w:rsid w:val="0068410A"/>
    <w:rsid w:val="006849F9"/>
    <w:rsid w:val="00685A2C"/>
    <w:rsid w:val="00686B13"/>
    <w:rsid w:val="006E2604"/>
    <w:rsid w:val="006E791C"/>
    <w:rsid w:val="00747D76"/>
    <w:rsid w:val="007B6DC2"/>
    <w:rsid w:val="008926EE"/>
    <w:rsid w:val="009736B4"/>
    <w:rsid w:val="00A00641"/>
    <w:rsid w:val="00A31703"/>
    <w:rsid w:val="00A56620"/>
    <w:rsid w:val="00A71BB3"/>
    <w:rsid w:val="00B13EBD"/>
    <w:rsid w:val="00C16AD6"/>
    <w:rsid w:val="00CE7955"/>
    <w:rsid w:val="00D07025"/>
    <w:rsid w:val="00DA1371"/>
    <w:rsid w:val="00E070AC"/>
    <w:rsid w:val="00E61AD7"/>
    <w:rsid w:val="00ED1FCD"/>
    <w:rsid w:val="00F631B4"/>
    <w:rsid w:val="00F94057"/>
    <w:rsid w:val="019064AF"/>
    <w:rsid w:val="0BADBC02"/>
    <w:rsid w:val="0E1C3973"/>
    <w:rsid w:val="1E06349C"/>
    <w:rsid w:val="21F3DE8B"/>
    <w:rsid w:val="351F969B"/>
    <w:rsid w:val="4A57B6F3"/>
    <w:rsid w:val="5A88C887"/>
    <w:rsid w:val="5CD406FC"/>
    <w:rsid w:val="5F5C39AA"/>
    <w:rsid w:val="6033570A"/>
    <w:rsid w:val="636AF7CC"/>
    <w:rsid w:val="6ECA5006"/>
    <w:rsid w:val="7ACAF7B0"/>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184C5"/>
  <w15:docId w15:val="{F9883F02-0811-4D44-A789-8B837044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ListParagraph"/>
    <w:next w:val="Normal"/>
    <w:link w:val="Heading1Char"/>
    <w:uiPriority w:val="2"/>
    <w:qFormat/>
    <w:rsid w:val="00C16AD6"/>
    <w:pPr>
      <w:numPr>
        <w:numId w:val="1"/>
      </w:numPr>
      <w:tabs>
        <w:tab w:val="clear" w:pos="1844"/>
        <w:tab w:val="num" w:pos="567"/>
      </w:tabs>
      <w:spacing w:before="240" w:after="240" w:line="240" w:lineRule="auto"/>
      <w:ind w:left="567"/>
      <w:contextualSpacing w:val="0"/>
      <w:outlineLvl w:val="0"/>
    </w:pPr>
    <w:rPr>
      <w:rFonts w:ascii="Times New Roman" w:eastAsia="Cambria" w:hAnsi="Times New Roman" w:cs="Times New Roman"/>
      <w:b/>
      <w:kern w:val="0"/>
      <w:sz w:val="24"/>
      <w:szCs w:val="24"/>
      <w14:ligatures w14:val="none"/>
    </w:rPr>
  </w:style>
  <w:style w:type="paragraph" w:styleId="Heading2">
    <w:name w:val="heading 2"/>
    <w:basedOn w:val="Heading1"/>
    <w:next w:val="Normal"/>
    <w:link w:val="Heading2Char"/>
    <w:uiPriority w:val="2"/>
    <w:qFormat/>
    <w:rsid w:val="00C16AD6"/>
    <w:pPr>
      <w:numPr>
        <w:ilvl w:val="1"/>
      </w:numPr>
      <w:spacing w:after="200"/>
      <w:outlineLvl w:val="1"/>
    </w:pPr>
  </w:style>
  <w:style w:type="paragraph" w:styleId="Heading3">
    <w:name w:val="heading 3"/>
    <w:basedOn w:val="Normal"/>
    <w:next w:val="Normal"/>
    <w:link w:val="Heading3Char"/>
    <w:uiPriority w:val="2"/>
    <w:qFormat/>
    <w:rsid w:val="00C16AD6"/>
    <w:pPr>
      <w:keepNext/>
      <w:keepLines/>
      <w:numPr>
        <w:ilvl w:val="2"/>
        <w:numId w:val="1"/>
      </w:numPr>
      <w:spacing w:before="40" w:after="120" w:line="240" w:lineRule="auto"/>
      <w:outlineLvl w:val="2"/>
    </w:pPr>
    <w:rPr>
      <w:rFonts w:ascii="Times New Roman" w:eastAsiaTheme="majorEastAsia" w:hAnsi="Times New Roman" w:cstheme="majorBidi"/>
      <w:b/>
      <w:kern w:val="0"/>
      <w:sz w:val="24"/>
      <w:szCs w:val="24"/>
      <w14:ligatures w14:val="none"/>
    </w:rPr>
  </w:style>
  <w:style w:type="paragraph" w:styleId="Heading4">
    <w:name w:val="heading 4"/>
    <w:basedOn w:val="Heading3"/>
    <w:next w:val="Normal"/>
    <w:link w:val="Heading4Char"/>
    <w:uiPriority w:val="2"/>
    <w:qFormat/>
    <w:rsid w:val="00C16AD6"/>
    <w:pPr>
      <w:numPr>
        <w:ilvl w:val="3"/>
      </w:numPr>
      <w:outlineLvl w:val="3"/>
    </w:pPr>
    <w:rPr>
      <w:iCs/>
    </w:rPr>
  </w:style>
  <w:style w:type="paragraph" w:styleId="Heading5">
    <w:name w:val="heading 5"/>
    <w:basedOn w:val="Heading4"/>
    <w:next w:val="Normal"/>
    <w:link w:val="Heading5Char"/>
    <w:uiPriority w:val="2"/>
    <w:qFormat/>
    <w:rsid w:val="00C16AD6"/>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6AD6"/>
    <w:rPr>
      <w:color w:val="0000FF"/>
      <w:u w:val="single"/>
    </w:rPr>
  </w:style>
  <w:style w:type="character" w:customStyle="1" w:styleId="Heading1Char">
    <w:name w:val="Heading 1 Char"/>
    <w:basedOn w:val="DefaultParagraphFont"/>
    <w:link w:val="Heading1"/>
    <w:uiPriority w:val="2"/>
    <w:rsid w:val="00C16AD6"/>
    <w:rPr>
      <w:rFonts w:ascii="Times New Roman" w:eastAsia="Cambria" w:hAnsi="Times New Roman" w:cs="Times New Roman"/>
      <w:b/>
      <w:kern w:val="0"/>
      <w:sz w:val="24"/>
      <w:szCs w:val="24"/>
      <w14:ligatures w14:val="none"/>
    </w:rPr>
  </w:style>
  <w:style w:type="character" w:customStyle="1" w:styleId="Heading2Char">
    <w:name w:val="Heading 2 Char"/>
    <w:basedOn w:val="DefaultParagraphFont"/>
    <w:link w:val="Heading2"/>
    <w:uiPriority w:val="2"/>
    <w:rsid w:val="00C16AD6"/>
    <w:rPr>
      <w:rFonts w:ascii="Times New Roman" w:eastAsia="Cambria" w:hAnsi="Times New Roman" w:cs="Times New Roman"/>
      <w:b/>
      <w:kern w:val="0"/>
      <w:sz w:val="24"/>
      <w:szCs w:val="24"/>
      <w14:ligatures w14:val="none"/>
    </w:rPr>
  </w:style>
  <w:style w:type="character" w:customStyle="1" w:styleId="Heading3Char">
    <w:name w:val="Heading 3 Char"/>
    <w:basedOn w:val="DefaultParagraphFont"/>
    <w:link w:val="Heading3"/>
    <w:uiPriority w:val="2"/>
    <w:rsid w:val="00C16AD6"/>
    <w:rPr>
      <w:rFonts w:ascii="Times New Roman" w:eastAsiaTheme="majorEastAsia" w:hAnsi="Times New Roman" w:cstheme="majorBidi"/>
      <w:b/>
      <w:kern w:val="0"/>
      <w:sz w:val="24"/>
      <w:szCs w:val="24"/>
      <w14:ligatures w14:val="none"/>
    </w:rPr>
  </w:style>
  <w:style w:type="character" w:customStyle="1" w:styleId="Heading4Char">
    <w:name w:val="Heading 4 Char"/>
    <w:basedOn w:val="DefaultParagraphFont"/>
    <w:link w:val="Heading4"/>
    <w:uiPriority w:val="2"/>
    <w:rsid w:val="00C16AD6"/>
    <w:rPr>
      <w:rFonts w:ascii="Times New Roman" w:eastAsiaTheme="majorEastAsia" w:hAnsi="Times New Roman" w:cstheme="majorBidi"/>
      <w:b/>
      <w:iCs/>
      <w:kern w:val="0"/>
      <w:sz w:val="24"/>
      <w:szCs w:val="24"/>
      <w14:ligatures w14:val="none"/>
    </w:rPr>
  </w:style>
  <w:style w:type="character" w:customStyle="1" w:styleId="Heading5Char">
    <w:name w:val="Heading 5 Char"/>
    <w:basedOn w:val="DefaultParagraphFont"/>
    <w:link w:val="Heading5"/>
    <w:uiPriority w:val="2"/>
    <w:rsid w:val="00C16AD6"/>
    <w:rPr>
      <w:rFonts w:ascii="Times New Roman" w:eastAsiaTheme="majorEastAsia" w:hAnsi="Times New Roman" w:cstheme="majorBidi"/>
      <w:b/>
      <w:iCs/>
      <w:kern w:val="0"/>
      <w:sz w:val="24"/>
      <w:szCs w:val="24"/>
      <w14:ligatures w14:val="none"/>
    </w:rPr>
  </w:style>
  <w:style w:type="numbering" w:customStyle="1" w:styleId="Headings">
    <w:name w:val="Headings"/>
    <w:uiPriority w:val="99"/>
    <w:rsid w:val="00C16AD6"/>
    <w:pPr>
      <w:numPr>
        <w:numId w:val="2"/>
      </w:numPr>
    </w:pPr>
  </w:style>
  <w:style w:type="paragraph" w:styleId="ListParagraph">
    <w:name w:val="List Paragraph"/>
    <w:basedOn w:val="Normal"/>
    <w:uiPriority w:val="34"/>
    <w:qFormat/>
    <w:rsid w:val="00C16AD6"/>
    <w:pPr>
      <w:ind w:left="720"/>
      <w:contextualSpacing/>
    </w:pPr>
  </w:style>
  <w:style w:type="character" w:customStyle="1" w:styleId="Menzionenonrisolta1">
    <w:name w:val="Menzione non risolta1"/>
    <w:basedOn w:val="DefaultParagraphFont"/>
    <w:uiPriority w:val="99"/>
    <w:semiHidden/>
    <w:unhideWhenUsed/>
    <w:rsid w:val="00F631B4"/>
    <w:rPr>
      <w:color w:val="605E5C"/>
      <w:shd w:val="clear" w:color="auto" w:fill="E1DFDD"/>
    </w:rPr>
  </w:style>
  <w:style w:type="character" w:styleId="LineNumber">
    <w:name w:val="line number"/>
    <w:basedOn w:val="DefaultParagraphFont"/>
    <w:uiPriority w:val="99"/>
    <w:semiHidden/>
    <w:unhideWhenUsed/>
    <w:rsid w:val="00090D5A"/>
  </w:style>
  <w:style w:type="paragraph" w:styleId="Revision">
    <w:name w:val="Revision"/>
    <w:hidden/>
    <w:uiPriority w:val="99"/>
    <w:semiHidden/>
    <w:rsid w:val="00B13EBD"/>
    <w:pPr>
      <w:spacing w:after="0" w:line="240" w:lineRule="auto"/>
    </w:pPr>
  </w:style>
  <w:style w:type="character" w:styleId="CommentReference">
    <w:name w:val="annotation reference"/>
    <w:basedOn w:val="DefaultParagraphFont"/>
    <w:uiPriority w:val="99"/>
    <w:semiHidden/>
    <w:unhideWhenUsed/>
    <w:rsid w:val="00A56620"/>
    <w:rPr>
      <w:sz w:val="16"/>
      <w:szCs w:val="16"/>
    </w:rPr>
  </w:style>
  <w:style w:type="paragraph" w:styleId="CommentText">
    <w:name w:val="annotation text"/>
    <w:basedOn w:val="Normal"/>
    <w:link w:val="CommentTextChar"/>
    <w:uiPriority w:val="99"/>
    <w:semiHidden/>
    <w:unhideWhenUsed/>
    <w:rsid w:val="00A56620"/>
    <w:pPr>
      <w:spacing w:after="200" w:line="240" w:lineRule="auto"/>
    </w:pPr>
    <w:rPr>
      <w:kern w:val="0"/>
      <w:sz w:val="20"/>
      <w:szCs w:val="20"/>
      <w:lang w:val="it-IT"/>
      <w14:ligatures w14:val="none"/>
    </w:rPr>
  </w:style>
  <w:style w:type="character" w:customStyle="1" w:styleId="CommentTextChar">
    <w:name w:val="Comment Text Char"/>
    <w:basedOn w:val="DefaultParagraphFont"/>
    <w:link w:val="CommentText"/>
    <w:uiPriority w:val="99"/>
    <w:semiHidden/>
    <w:rsid w:val="00A56620"/>
    <w:rPr>
      <w:kern w:val="0"/>
      <w:sz w:val="20"/>
      <w:szCs w:val="20"/>
      <w:lang w:val="it-IT"/>
      <w14:ligatures w14:val="none"/>
    </w:rPr>
  </w:style>
  <w:style w:type="paragraph" w:styleId="BalloonText">
    <w:name w:val="Balloon Text"/>
    <w:basedOn w:val="Normal"/>
    <w:link w:val="BalloonTextChar"/>
    <w:uiPriority w:val="99"/>
    <w:semiHidden/>
    <w:unhideWhenUsed/>
    <w:rsid w:val="00A31703"/>
    <w:pPr>
      <w:spacing w:after="0" w:line="240" w:lineRule="auto"/>
    </w:pPr>
    <w:rPr>
      <w:rFonts w:ascii="Tahoma" w:hAnsi="Tahoma" w:cs="Tahoma"/>
      <w:kern w:val="0"/>
      <w:sz w:val="16"/>
      <w:szCs w:val="16"/>
      <w:lang w:val="it-IT"/>
      <w14:ligatures w14:val="none"/>
    </w:rPr>
  </w:style>
  <w:style w:type="character" w:customStyle="1" w:styleId="BalloonTextChar">
    <w:name w:val="Balloon Text Char"/>
    <w:basedOn w:val="DefaultParagraphFont"/>
    <w:link w:val="BalloonText"/>
    <w:uiPriority w:val="99"/>
    <w:semiHidden/>
    <w:rsid w:val="00A31703"/>
    <w:rPr>
      <w:rFonts w:ascii="Tahoma" w:hAnsi="Tahoma" w:cs="Tahoma"/>
      <w:kern w:val="0"/>
      <w:sz w:val="16"/>
      <w:szCs w:val="16"/>
      <w:lang w:val="it-IT"/>
      <w14:ligatures w14:val="none"/>
    </w:rPr>
  </w:style>
  <w:style w:type="paragraph" w:styleId="CommentSubject">
    <w:name w:val="annotation subject"/>
    <w:basedOn w:val="CommentText"/>
    <w:next w:val="CommentText"/>
    <w:link w:val="CommentSubjectChar"/>
    <w:uiPriority w:val="99"/>
    <w:semiHidden/>
    <w:unhideWhenUsed/>
    <w:rsid w:val="00CE7955"/>
    <w:pPr>
      <w:spacing w:after="160"/>
    </w:pPr>
    <w:rPr>
      <w:b/>
      <w:bCs/>
      <w:kern w:val="2"/>
      <w:lang w:val="en-US"/>
      <w14:ligatures w14:val="standardContextual"/>
    </w:rPr>
  </w:style>
  <w:style w:type="character" w:customStyle="1" w:styleId="CommentSubjectChar">
    <w:name w:val="Comment Subject Char"/>
    <w:basedOn w:val="CommentTextChar"/>
    <w:link w:val="CommentSubject"/>
    <w:uiPriority w:val="99"/>
    <w:semiHidden/>
    <w:rsid w:val="00CE7955"/>
    <w:rPr>
      <w:b/>
      <w:bCs/>
      <w:kern w:val="0"/>
      <w:sz w:val="20"/>
      <w:szCs w:val="20"/>
      <w:lang w:val="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70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126%2Fscience.abc62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ho.int/news-room/feature-stories/detail/standardization-of-vaccines-for-coronavirus-disease-covid-19"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DF979-5715-4B40-9D9D-833313A92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2606</Words>
  <Characters>14859</Characters>
  <Application>Microsoft Office Word</Application>
  <DocSecurity>0</DocSecurity>
  <Lines>123</Lines>
  <Paragraphs>34</Paragraphs>
  <ScaleCrop>false</ScaleCrop>
  <Company>Microsoft</Company>
  <LinksUpToDate>false</LinksUpToDate>
  <CharactersWithSpaces>17431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dc:creator>
  <cp:lastModifiedBy>Kim Final Deliverables</cp:lastModifiedBy>
  <cp:revision>13</cp:revision>
  <cp:lastPrinted>2023-12-12T09:06:00Z</cp:lastPrinted>
  <dcterms:created xsi:type="dcterms:W3CDTF">2023-12-12T08:57:00Z</dcterms:created>
  <dcterms:modified xsi:type="dcterms:W3CDTF">2024-01-24T06:55:00Z</dcterms:modified>
</cp:coreProperties>
</file>