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7EB7F8D" w14:textId="77777777" w:rsidR="00221CE1" w:rsidRPr="006E7CA9" w:rsidRDefault="00221CE1" w:rsidP="00E47126">
      <w:pPr>
        <w:pStyle w:val="SupplementaryMaterial"/>
        <w:spacing w:before="0" w:after="0"/>
        <w:rPr>
          <w:i w:val="0"/>
          <w:iCs/>
          <w:sz w:val="24"/>
          <w:szCs w:val="24"/>
        </w:rPr>
      </w:pPr>
      <w:r w:rsidRPr="006E7CA9">
        <w:rPr>
          <w:i w:val="0"/>
          <w:iCs/>
          <w:sz w:val="24"/>
          <w:szCs w:val="24"/>
        </w:rPr>
        <w:t>Supplementary Material</w:t>
      </w:r>
    </w:p>
    <w:p w14:paraId="1F9D8A25" w14:textId="77777777" w:rsidR="00E47126" w:rsidRPr="006E7CA9" w:rsidRDefault="00E47126" w:rsidP="00E5416B">
      <w:pPr>
        <w:spacing w:after="0" w:line="240" w:lineRule="auto"/>
        <w:rPr>
          <w:sz w:val="24"/>
          <w:szCs w:val="24"/>
        </w:rPr>
      </w:pPr>
    </w:p>
    <w:p w14:paraId="3FBC1015" w14:textId="61BFA57F" w:rsidR="00221CE1" w:rsidRPr="006E7CA9" w:rsidRDefault="00221CE1" w:rsidP="00E5416B">
      <w:pPr>
        <w:pStyle w:val="Title"/>
        <w:spacing w:before="0" w:after="0"/>
        <w:jc w:val="left"/>
        <w:rPr>
          <w:sz w:val="24"/>
          <w:szCs w:val="24"/>
        </w:rPr>
      </w:pPr>
      <w:r w:rsidRPr="006E7CA9">
        <w:rPr>
          <w:sz w:val="24"/>
          <w:szCs w:val="24"/>
        </w:rPr>
        <w:t xml:space="preserve">Molecular </w:t>
      </w:r>
      <w:r w:rsidR="007A1986" w:rsidRPr="006E7CA9">
        <w:rPr>
          <w:sz w:val="24"/>
          <w:szCs w:val="24"/>
        </w:rPr>
        <w:t>r</w:t>
      </w:r>
      <w:r w:rsidRPr="006E7CA9">
        <w:rPr>
          <w:sz w:val="24"/>
          <w:szCs w:val="24"/>
        </w:rPr>
        <w:t xml:space="preserve">esidual </w:t>
      </w:r>
      <w:r w:rsidR="007A1986" w:rsidRPr="006E7CA9">
        <w:rPr>
          <w:sz w:val="24"/>
          <w:szCs w:val="24"/>
        </w:rPr>
        <w:t>d</w:t>
      </w:r>
      <w:r w:rsidRPr="006E7CA9">
        <w:rPr>
          <w:sz w:val="24"/>
          <w:szCs w:val="24"/>
        </w:rPr>
        <w:t xml:space="preserve">isease </w:t>
      </w:r>
      <w:r w:rsidR="007A1986" w:rsidRPr="006E7CA9">
        <w:rPr>
          <w:sz w:val="24"/>
          <w:szCs w:val="24"/>
        </w:rPr>
        <w:t>d</w:t>
      </w:r>
      <w:r w:rsidRPr="006E7CA9">
        <w:rPr>
          <w:sz w:val="24"/>
          <w:szCs w:val="24"/>
        </w:rPr>
        <w:t xml:space="preserve">etection in </w:t>
      </w:r>
      <w:r w:rsidR="007A1986" w:rsidRPr="006E7CA9">
        <w:rPr>
          <w:sz w:val="24"/>
          <w:szCs w:val="24"/>
        </w:rPr>
        <w:t>r</w:t>
      </w:r>
      <w:r w:rsidRPr="006E7CA9">
        <w:rPr>
          <w:sz w:val="24"/>
          <w:szCs w:val="24"/>
        </w:rPr>
        <w:t xml:space="preserve">esected, </w:t>
      </w:r>
      <w:r w:rsidR="007A1986" w:rsidRPr="006E7CA9">
        <w:rPr>
          <w:sz w:val="24"/>
          <w:szCs w:val="24"/>
        </w:rPr>
        <w:t>m</w:t>
      </w:r>
      <w:r w:rsidRPr="006E7CA9">
        <w:rPr>
          <w:sz w:val="24"/>
          <w:szCs w:val="24"/>
        </w:rPr>
        <w:t>uscle-</w:t>
      </w:r>
      <w:r w:rsidR="007A1986" w:rsidRPr="006E7CA9">
        <w:rPr>
          <w:sz w:val="24"/>
          <w:szCs w:val="24"/>
        </w:rPr>
        <w:t>i</w:t>
      </w:r>
      <w:r w:rsidRPr="006E7CA9">
        <w:rPr>
          <w:sz w:val="24"/>
          <w:szCs w:val="24"/>
        </w:rPr>
        <w:t xml:space="preserve">nvasive </w:t>
      </w:r>
      <w:r w:rsidR="007A1986" w:rsidRPr="006E7CA9">
        <w:rPr>
          <w:sz w:val="24"/>
          <w:szCs w:val="24"/>
        </w:rPr>
        <w:t>u</w:t>
      </w:r>
      <w:r w:rsidRPr="006E7CA9">
        <w:rPr>
          <w:sz w:val="24"/>
          <w:szCs w:val="24"/>
        </w:rPr>
        <w:t xml:space="preserve">rothelial </w:t>
      </w:r>
      <w:r w:rsidR="007A1986" w:rsidRPr="006E7CA9">
        <w:rPr>
          <w:sz w:val="24"/>
          <w:szCs w:val="24"/>
        </w:rPr>
        <w:t>c</w:t>
      </w:r>
      <w:r w:rsidRPr="006E7CA9">
        <w:rPr>
          <w:sz w:val="24"/>
          <w:szCs w:val="24"/>
        </w:rPr>
        <w:t xml:space="preserve">ancer </w:t>
      </w:r>
      <w:r w:rsidR="007A1986" w:rsidRPr="006E7CA9">
        <w:rPr>
          <w:sz w:val="24"/>
          <w:szCs w:val="24"/>
        </w:rPr>
        <w:t>w</w:t>
      </w:r>
      <w:r w:rsidRPr="006E7CA9">
        <w:rPr>
          <w:sz w:val="24"/>
          <w:szCs w:val="24"/>
        </w:rPr>
        <w:t xml:space="preserve">ith a </w:t>
      </w:r>
      <w:r w:rsidR="007A1986" w:rsidRPr="006E7CA9">
        <w:rPr>
          <w:sz w:val="24"/>
          <w:szCs w:val="24"/>
        </w:rPr>
        <w:t>t</w:t>
      </w:r>
      <w:r w:rsidRPr="006E7CA9">
        <w:rPr>
          <w:sz w:val="24"/>
          <w:szCs w:val="24"/>
        </w:rPr>
        <w:t>issue-</w:t>
      </w:r>
      <w:r w:rsidR="007A1986" w:rsidRPr="006E7CA9">
        <w:rPr>
          <w:sz w:val="24"/>
          <w:szCs w:val="24"/>
        </w:rPr>
        <w:t>b</w:t>
      </w:r>
      <w:r w:rsidRPr="006E7CA9">
        <w:rPr>
          <w:sz w:val="24"/>
          <w:szCs w:val="24"/>
        </w:rPr>
        <w:t xml:space="preserve">ased </w:t>
      </w:r>
      <w:r w:rsidR="007A1986" w:rsidRPr="006E7CA9">
        <w:rPr>
          <w:sz w:val="24"/>
          <w:szCs w:val="24"/>
        </w:rPr>
        <w:t>c</w:t>
      </w:r>
      <w:r w:rsidRPr="006E7CA9">
        <w:rPr>
          <w:sz w:val="24"/>
          <w:szCs w:val="24"/>
        </w:rPr>
        <w:t xml:space="preserve">omprehensive </w:t>
      </w:r>
      <w:r w:rsidR="007A1986" w:rsidRPr="006E7CA9">
        <w:rPr>
          <w:sz w:val="24"/>
          <w:szCs w:val="24"/>
        </w:rPr>
        <w:t>g</w:t>
      </w:r>
      <w:r w:rsidRPr="006E7CA9">
        <w:rPr>
          <w:sz w:val="24"/>
          <w:szCs w:val="24"/>
        </w:rPr>
        <w:t xml:space="preserve">enomic </w:t>
      </w:r>
      <w:r w:rsidR="00BA452B" w:rsidRPr="006E7CA9">
        <w:rPr>
          <w:sz w:val="24"/>
          <w:szCs w:val="24"/>
        </w:rPr>
        <w:t>p</w:t>
      </w:r>
      <w:r w:rsidRPr="006E7CA9">
        <w:rPr>
          <w:sz w:val="24"/>
          <w:szCs w:val="24"/>
        </w:rPr>
        <w:t>rofiling–</w:t>
      </w:r>
      <w:r w:rsidR="00BA452B" w:rsidRPr="006E7CA9">
        <w:rPr>
          <w:sz w:val="24"/>
          <w:szCs w:val="24"/>
        </w:rPr>
        <w:t>i</w:t>
      </w:r>
      <w:r w:rsidRPr="006E7CA9">
        <w:rPr>
          <w:sz w:val="24"/>
          <w:szCs w:val="24"/>
        </w:rPr>
        <w:t xml:space="preserve">nformed </w:t>
      </w:r>
      <w:r w:rsidR="00BA452B" w:rsidRPr="006E7CA9">
        <w:rPr>
          <w:sz w:val="24"/>
          <w:szCs w:val="24"/>
        </w:rPr>
        <w:t>p</w:t>
      </w:r>
      <w:r w:rsidRPr="006E7CA9">
        <w:rPr>
          <w:sz w:val="24"/>
          <w:szCs w:val="24"/>
        </w:rPr>
        <w:t xml:space="preserve">ersonalized </w:t>
      </w:r>
      <w:r w:rsidR="00BA452B" w:rsidRPr="006E7CA9">
        <w:rPr>
          <w:sz w:val="24"/>
          <w:szCs w:val="24"/>
        </w:rPr>
        <w:t>m</w:t>
      </w:r>
      <w:r w:rsidRPr="006E7CA9">
        <w:rPr>
          <w:sz w:val="24"/>
          <w:szCs w:val="24"/>
        </w:rPr>
        <w:t xml:space="preserve">onitoring </w:t>
      </w:r>
      <w:r w:rsidR="00BA452B" w:rsidRPr="006E7CA9">
        <w:rPr>
          <w:sz w:val="24"/>
          <w:szCs w:val="24"/>
        </w:rPr>
        <w:t>a</w:t>
      </w:r>
      <w:r w:rsidRPr="006E7CA9">
        <w:rPr>
          <w:sz w:val="24"/>
          <w:szCs w:val="24"/>
        </w:rPr>
        <w:t>ssay</w:t>
      </w:r>
    </w:p>
    <w:p w14:paraId="3D448CCB" w14:textId="77777777" w:rsidR="00E47126" w:rsidRPr="006E7CA9" w:rsidRDefault="00E47126" w:rsidP="00E47126">
      <w:pPr>
        <w:spacing w:after="0" w:line="240" w:lineRule="auto"/>
      </w:pPr>
    </w:p>
    <w:p w14:paraId="2CC1C5F4" w14:textId="5670EAB2" w:rsidR="00221CE1" w:rsidRPr="006E7CA9" w:rsidRDefault="00221CE1" w:rsidP="00E471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vertAlign w:val="superscript"/>
        </w:rPr>
      </w:pPr>
      <w:bookmarkStart w:id="0" w:name="_heading=h.gjdgxs" w:colFirst="0" w:colLast="0"/>
      <w:bookmarkEnd w:id="0"/>
      <w:r w:rsidRPr="006E7CA9">
        <w:rPr>
          <w:rFonts w:ascii="Times New Roman" w:eastAsia="Times New Roman" w:hAnsi="Times New Roman" w:cs="Times New Roman"/>
          <w:sz w:val="24"/>
          <w:szCs w:val="24"/>
        </w:rPr>
        <w:t>Thomas Powles</w:t>
      </w:r>
      <w:r w:rsidRPr="006E7CA9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*</w:t>
      </w:r>
      <w:r w:rsidRPr="006E7CA9">
        <w:rPr>
          <w:rFonts w:ascii="Times New Roman" w:eastAsia="Times New Roman" w:hAnsi="Times New Roman" w:cs="Times New Roman"/>
          <w:sz w:val="24"/>
          <w:szCs w:val="24"/>
        </w:rPr>
        <w:t xml:space="preserve">, Amanda Young, </w:t>
      </w:r>
      <w:proofErr w:type="spellStart"/>
      <w:r w:rsidRPr="006E7CA9">
        <w:rPr>
          <w:rFonts w:ascii="Times New Roman" w:eastAsia="Times New Roman" w:hAnsi="Times New Roman" w:cs="Times New Roman"/>
          <w:sz w:val="24"/>
          <w:szCs w:val="24"/>
        </w:rPr>
        <w:t>Halla</w:t>
      </w:r>
      <w:proofErr w:type="spellEnd"/>
      <w:r w:rsidRPr="006E7CA9">
        <w:rPr>
          <w:rFonts w:ascii="Times New Roman" w:eastAsia="Times New Roman" w:hAnsi="Times New Roman" w:cs="Times New Roman"/>
          <w:sz w:val="24"/>
          <w:szCs w:val="24"/>
        </w:rPr>
        <w:t xml:space="preserve"> Nimeiri, Russell W. Madison, Alexander Fine, Daniel R. Zollinger, </w:t>
      </w:r>
      <w:proofErr w:type="spellStart"/>
      <w:r w:rsidRPr="006E7CA9">
        <w:rPr>
          <w:rFonts w:ascii="Times New Roman" w:eastAsia="Times New Roman" w:hAnsi="Times New Roman" w:cs="Times New Roman"/>
          <w:sz w:val="24"/>
          <w:szCs w:val="24"/>
        </w:rPr>
        <w:t>Yanmei</w:t>
      </w:r>
      <w:proofErr w:type="spellEnd"/>
      <w:r w:rsidRPr="006E7CA9">
        <w:rPr>
          <w:rFonts w:ascii="Times New Roman" w:eastAsia="Times New Roman" w:hAnsi="Times New Roman" w:cs="Times New Roman"/>
          <w:sz w:val="24"/>
          <w:szCs w:val="24"/>
        </w:rPr>
        <w:t xml:space="preserve"> Huang, Chang Xu, Ole V. </w:t>
      </w:r>
      <w:proofErr w:type="spellStart"/>
      <w:r w:rsidRPr="006E7CA9">
        <w:rPr>
          <w:rFonts w:ascii="Times New Roman" w:eastAsia="Times New Roman" w:hAnsi="Times New Roman" w:cs="Times New Roman"/>
          <w:sz w:val="24"/>
          <w:szCs w:val="24"/>
        </w:rPr>
        <w:t>Gjoerup</w:t>
      </w:r>
      <w:proofErr w:type="spellEnd"/>
      <w:r w:rsidRPr="006E7CA9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6E7CA9">
        <w:rPr>
          <w:rFonts w:ascii="Times New Roman" w:eastAsia="Times New Roman" w:hAnsi="Times New Roman" w:cs="Times New Roman"/>
          <w:sz w:val="24"/>
          <w:szCs w:val="24"/>
        </w:rPr>
        <w:t>Vasily</w:t>
      </w:r>
      <w:proofErr w:type="spellEnd"/>
      <w:r w:rsidRPr="006E7CA9">
        <w:rPr>
          <w:rFonts w:ascii="Times New Roman" w:eastAsia="Times New Roman" w:hAnsi="Times New Roman" w:cs="Times New Roman"/>
          <w:sz w:val="24"/>
          <w:szCs w:val="24"/>
        </w:rPr>
        <w:t xml:space="preserve"> N. </w:t>
      </w:r>
      <w:proofErr w:type="spellStart"/>
      <w:r w:rsidRPr="006E7CA9">
        <w:rPr>
          <w:rFonts w:ascii="Times New Roman" w:eastAsia="Times New Roman" w:hAnsi="Times New Roman" w:cs="Times New Roman"/>
          <w:sz w:val="24"/>
          <w:szCs w:val="24"/>
        </w:rPr>
        <w:t>Aushev</w:t>
      </w:r>
      <w:proofErr w:type="spellEnd"/>
      <w:r w:rsidRPr="006E7CA9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6E7CA9">
        <w:rPr>
          <w:rFonts w:ascii="Times New Roman" w:eastAsia="Times New Roman" w:hAnsi="Times New Roman" w:cs="Times New Roman"/>
          <w:sz w:val="24"/>
          <w:szCs w:val="24"/>
        </w:rPr>
        <w:t>Hsin</w:t>
      </w:r>
      <w:proofErr w:type="spellEnd"/>
      <w:r w:rsidRPr="006E7CA9">
        <w:rPr>
          <w:rFonts w:ascii="Times New Roman" w:eastAsia="Times New Roman" w:hAnsi="Times New Roman" w:cs="Times New Roman"/>
          <w:sz w:val="24"/>
          <w:szCs w:val="24"/>
        </w:rPr>
        <w:t xml:space="preserve">-Ta Wu, Alexey Aleshin, Corey Carter, Nicole </w:t>
      </w:r>
      <w:proofErr w:type="spellStart"/>
      <w:r w:rsidRPr="006E7CA9">
        <w:rPr>
          <w:rFonts w:ascii="Times New Roman" w:eastAsia="Times New Roman" w:hAnsi="Times New Roman" w:cs="Times New Roman"/>
          <w:sz w:val="24"/>
          <w:szCs w:val="24"/>
        </w:rPr>
        <w:t>Davarpanah</w:t>
      </w:r>
      <w:proofErr w:type="spellEnd"/>
      <w:r w:rsidRPr="006E7CA9">
        <w:rPr>
          <w:rFonts w:ascii="Times New Roman" w:eastAsia="Times New Roman" w:hAnsi="Times New Roman" w:cs="Times New Roman"/>
          <w:sz w:val="24"/>
          <w:szCs w:val="24"/>
        </w:rPr>
        <w:t xml:space="preserve">, Viraj </w:t>
      </w:r>
      <w:proofErr w:type="spellStart"/>
      <w:r w:rsidRPr="006E7CA9">
        <w:rPr>
          <w:rFonts w:ascii="Times New Roman" w:eastAsia="Times New Roman" w:hAnsi="Times New Roman" w:cs="Times New Roman"/>
          <w:sz w:val="24"/>
          <w:szCs w:val="24"/>
        </w:rPr>
        <w:t>Degaonkar</w:t>
      </w:r>
      <w:proofErr w:type="spellEnd"/>
      <w:r w:rsidRPr="006E7CA9">
        <w:rPr>
          <w:rFonts w:ascii="Times New Roman" w:eastAsia="Times New Roman" w:hAnsi="Times New Roman" w:cs="Times New Roman"/>
          <w:sz w:val="24"/>
          <w:szCs w:val="24"/>
        </w:rPr>
        <w:t xml:space="preserve">, Pratyush Gupta, Sanjeev </w:t>
      </w:r>
      <w:proofErr w:type="spellStart"/>
      <w:r w:rsidRPr="006E7CA9">
        <w:rPr>
          <w:rFonts w:ascii="Times New Roman" w:eastAsia="Times New Roman" w:hAnsi="Times New Roman" w:cs="Times New Roman"/>
          <w:sz w:val="24"/>
          <w:szCs w:val="24"/>
        </w:rPr>
        <w:t>Mariathasan</w:t>
      </w:r>
      <w:proofErr w:type="spellEnd"/>
      <w:r w:rsidRPr="006E7CA9">
        <w:rPr>
          <w:rFonts w:ascii="Times New Roman" w:eastAsia="Times New Roman" w:hAnsi="Times New Roman" w:cs="Times New Roman"/>
          <w:sz w:val="24"/>
          <w:szCs w:val="24"/>
        </w:rPr>
        <w:t xml:space="preserve">, Erica </w:t>
      </w:r>
      <w:proofErr w:type="spellStart"/>
      <w:r w:rsidRPr="006E7CA9">
        <w:rPr>
          <w:rFonts w:ascii="Times New Roman" w:eastAsia="Times New Roman" w:hAnsi="Times New Roman" w:cs="Times New Roman"/>
          <w:sz w:val="24"/>
          <w:szCs w:val="24"/>
        </w:rPr>
        <w:t>Schleifman</w:t>
      </w:r>
      <w:proofErr w:type="spellEnd"/>
      <w:r w:rsidRPr="006E7CA9">
        <w:rPr>
          <w:rFonts w:ascii="Times New Roman" w:eastAsia="Times New Roman" w:hAnsi="Times New Roman" w:cs="Times New Roman"/>
          <w:sz w:val="24"/>
          <w:szCs w:val="24"/>
        </w:rPr>
        <w:t>, Zoe June Assaf, Geoffrey Oxnard, and Priti S. Hegde</w:t>
      </w:r>
    </w:p>
    <w:p w14:paraId="039F36DB" w14:textId="77777777" w:rsidR="00221CE1" w:rsidRPr="006E7CA9" w:rsidRDefault="00221CE1" w:rsidP="00E47126">
      <w:pPr>
        <w:spacing w:after="0" w:line="240" w:lineRule="auto"/>
      </w:pPr>
    </w:p>
    <w:p w14:paraId="7AF9D615" w14:textId="44EC1D00" w:rsidR="00221CE1" w:rsidRPr="006E7CA9" w:rsidRDefault="00221CE1" w:rsidP="00E471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E7CA9">
        <w:rPr>
          <w:rFonts w:ascii="Times New Roman" w:hAnsi="Times New Roman" w:cs="Times New Roman"/>
          <w:b/>
          <w:sz w:val="24"/>
          <w:szCs w:val="24"/>
        </w:rPr>
        <w:t xml:space="preserve">* Correspondence: </w:t>
      </w:r>
      <w:r w:rsidRPr="006E7CA9">
        <w:rPr>
          <w:rFonts w:ascii="Times New Roman" w:hAnsi="Times New Roman" w:cs="Times New Roman"/>
          <w:sz w:val="24"/>
          <w:szCs w:val="24"/>
        </w:rPr>
        <w:t>Thomas Powles: thomas.powles1@nhs.net</w:t>
      </w:r>
    </w:p>
    <w:p w14:paraId="192E6BC6" w14:textId="3071F993" w:rsidR="005965FF" w:rsidRPr="006E7CA9" w:rsidRDefault="005965FF">
      <w:pPr>
        <w:spacing w:after="160" w:line="259" w:lineRule="auto"/>
      </w:pPr>
      <w:r w:rsidRPr="006E7CA9">
        <w:br w:type="page"/>
      </w:r>
    </w:p>
    <w:p w14:paraId="5C6FCC87" w14:textId="01BDFEDF" w:rsidR="00B36810" w:rsidRPr="006E7CA9" w:rsidRDefault="00B36810" w:rsidP="00E47126">
      <w:pPr>
        <w:tabs>
          <w:tab w:val="left" w:pos="5706"/>
        </w:tabs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1873AC5C" w14:textId="2A1D6621" w:rsidR="00221CE1" w:rsidRPr="006E7CA9" w:rsidRDefault="00E47126" w:rsidP="00E47126">
      <w:pPr>
        <w:pStyle w:val="Heading1"/>
        <w:spacing w:line="240" w:lineRule="auto"/>
        <w:rPr>
          <w:color w:val="auto"/>
        </w:rPr>
      </w:pPr>
      <w:r w:rsidRPr="006E7CA9">
        <w:rPr>
          <w:color w:val="auto"/>
        </w:rPr>
        <w:t xml:space="preserve">1  </w:t>
      </w:r>
      <w:r w:rsidR="00221CE1" w:rsidRPr="006E7CA9">
        <w:rPr>
          <w:color w:val="auto"/>
        </w:rPr>
        <w:t>Supplementary Figures and Tables</w:t>
      </w:r>
    </w:p>
    <w:p w14:paraId="31A8F13C" w14:textId="77777777" w:rsidR="00221CE1" w:rsidRPr="006E7CA9" w:rsidRDefault="00221CE1" w:rsidP="00E47126">
      <w:pPr>
        <w:pStyle w:val="Heading1"/>
        <w:spacing w:line="240" w:lineRule="auto"/>
        <w:rPr>
          <w:color w:val="auto"/>
        </w:rPr>
      </w:pPr>
    </w:p>
    <w:p w14:paraId="16AD2C0B" w14:textId="6472AFE5" w:rsidR="00221CE1" w:rsidRPr="006E7CA9" w:rsidRDefault="00E47126" w:rsidP="00E47126">
      <w:pPr>
        <w:pStyle w:val="Heading1"/>
        <w:spacing w:line="240" w:lineRule="auto"/>
        <w:rPr>
          <w:color w:val="auto"/>
        </w:rPr>
      </w:pPr>
      <w:r w:rsidRPr="006E7CA9">
        <w:rPr>
          <w:color w:val="auto"/>
        </w:rPr>
        <w:t xml:space="preserve">1.1  </w:t>
      </w:r>
      <w:r w:rsidR="00221CE1" w:rsidRPr="006E7CA9">
        <w:rPr>
          <w:color w:val="auto"/>
        </w:rPr>
        <w:t>Supplementary Figures</w:t>
      </w:r>
    </w:p>
    <w:p w14:paraId="0F06F1B7" w14:textId="77777777" w:rsidR="00221CE1" w:rsidRPr="006E7CA9" w:rsidRDefault="00221CE1" w:rsidP="00E47126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1F285905" w14:textId="75E4B9A7" w:rsidR="00B30D00" w:rsidRPr="006E7CA9" w:rsidRDefault="00B30D00" w:rsidP="00E47126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6E7CA9">
        <w:rPr>
          <w:rFonts w:ascii="Times New Roman" w:hAnsi="Times New Roman" w:cs="Times New Roman"/>
          <w:b/>
          <w:bCs/>
          <w:caps/>
          <w:sz w:val="24"/>
          <w:szCs w:val="24"/>
        </w:rPr>
        <w:t>Supplementary Figure</w:t>
      </w:r>
      <w:r w:rsidRPr="006E7CA9">
        <w:rPr>
          <w:rFonts w:ascii="Times New Roman" w:hAnsi="Times New Roman" w:cs="Times New Roman"/>
          <w:b/>
          <w:bCs/>
          <w:sz w:val="24"/>
          <w:szCs w:val="24"/>
        </w:rPr>
        <w:t xml:space="preserve"> 1. </w:t>
      </w:r>
      <w:r w:rsidRPr="006E7CA9">
        <w:rPr>
          <w:rFonts w:ascii="Times New Roman" w:hAnsi="Times New Roman" w:cs="Times New Roman"/>
          <w:sz w:val="24"/>
          <w:szCs w:val="24"/>
        </w:rPr>
        <w:t>Comparison of the ITT population</w:t>
      </w:r>
      <w:r w:rsidRPr="006E7CA9"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r w:rsidRPr="006E7CA9">
        <w:rPr>
          <w:rFonts w:ascii="Times New Roman" w:hAnsi="Times New Roman" w:cs="Times New Roman"/>
          <w:sz w:val="24"/>
          <w:szCs w:val="24"/>
        </w:rPr>
        <w:t xml:space="preserve"> (</w:t>
      </w:r>
      <w:r w:rsidRPr="006E7CA9"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Pr="006E7CA9">
        <w:rPr>
          <w:rFonts w:ascii="Times New Roman" w:hAnsi="Times New Roman" w:cs="Times New Roman"/>
          <w:sz w:val="24"/>
          <w:szCs w:val="24"/>
        </w:rPr>
        <w:t xml:space="preserve"> and </w:t>
      </w:r>
      <w:r w:rsidRPr="006E7CA9">
        <w:rPr>
          <w:rFonts w:ascii="Times New Roman" w:hAnsi="Times New Roman" w:cs="Times New Roman"/>
          <w:b/>
          <w:bCs/>
          <w:sz w:val="24"/>
          <w:szCs w:val="24"/>
        </w:rPr>
        <w:t>B</w:t>
      </w:r>
      <w:r w:rsidRPr="006E7CA9">
        <w:rPr>
          <w:rFonts w:ascii="Times New Roman" w:hAnsi="Times New Roman" w:cs="Times New Roman"/>
          <w:sz w:val="24"/>
          <w:szCs w:val="24"/>
        </w:rPr>
        <w:t>) with BEP (</w:t>
      </w:r>
      <w:r w:rsidRPr="006E7CA9">
        <w:rPr>
          <w:rFonts w:ascii="Times New Roman" w:hAnsi="Times New Roman" w:cs="Times New Roman"/>
          <w:b/>
          <w:bCs/>
          <w:sz w:val="24"/>
          <w:szCs w:val="24"/>
        </w:rPr>
        <w:t>C</w:t>
      </w:r>
      <w:r w:rsidRPr="006E7CA9">
        <w:rPr>
          <w:rFonts w:ascii="Times New Roman" w:hAnsi="Times New Roman" w:cs="Times New Roman"/>
          <w:sz w:val="24"/>
          <w:szCs w:val="24"/>
        </w:rPr>
        <w:t xml:space="preserve"> and </w:t>
      </w:r>
      <w:r w:rsidRPr="006E7CA9">
        <w:rPr>
          <w:rFonts w:ascii="Times New Roman" w:hAnsi="Times New Roman" w:cs="Times New Roman"/>
          <w:b/>
          <w:bCs/>
          <w:sz w:val="24"/>
          <w:szCs w:val="24"/>
        </w:rPr>
        <w:t>D</w:t>
      </w:r>
      <w:r w:rsidRPr="006E7CA9">
        <w:rPr>
          <w:rFonts w:ascii="Times New Roman" w:hAnsi="Times New Roman" w:cs="Times New Roman"/>
          <w:sz w:val="24"/>
          <w:szCs w:val="24"/>
        </w:rPr>
        <w:t>): DFS (</w:t>
      </w:r>
      <w:r w:rsidRPr="006E7CA9"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Pr="006E7CA9">
        <w:rPr>
          <w:rFonts w:ascii="Times New Roman" w:hAnsi="Times New Roman" w:cs="Times New Roman"/>
          <w:sz w:val="24"/>
          <w:szCs w:val="24"/>
        </w:rPr>
        <w:t xml:space="preserve"> and </w:t>
      </w:r>
      <w:r w:rsidRPr="006E7CA9">
        <w:rPr>
          <w:rFonts w:ascii="Times New Roman" w:hAnsi="Times New Roman" w:cs="Times New Roman"/>
          <w:b/>
          <w:bCs/>
          <w:sz w:val="24"/>
          <w:szCs w:val="24"/>
        </w:rPr>
        <w:t>C</w:t>
      </w:r>
      <w:r w:rsidRPr="006E7CA9">
        <w:rPr>
          <w:rFonts w:ascii="Times New Roman" w:hAnsi="Times New Roman" w:cs="Times New Roman"/>
          <w:sz w:val="24"/>
          <w:szCs w:val="24"/>
        </w:rPr>
        <w:t>) and OS (</w:t>
      </w:r>
      <w:r w:rsidRPr="006E7CA9">
        <w:rPr>
          <w:rFonts w:ascii="Times New Roman" w:hAnsi="Times New Roman" w:cs="Times New Roman"/>
          <w:b/>
          <w:bCs/>
          <w:sz w:val="24"/>
          <w:szCs w:val="24"/>
        </w:rPr>
        <w:t>B</w:t>
      </w:r>
      <w:r w:rsidRPr="006E7CA9">
        <w:rPr>
          <w:rFonts w:ascii="Times New Roman" w:hAnsi="Times New Roman" w:cs="Times New Roman"/>
          <w:sz w:val="24"/>
          <w:szCs w:val="24"/>
        </w:rPr>
        <w:t xml:space="preserve"> and </w:t>
      </w:r>
      <w:r w:rsidRPr="006E7CA9">
        <w:rPr>
          <w:rFonts w:ascii="Times New Roman" w:hAnsi="Times New Roman" w:cs="Times New Roman"/>
          <w:b/>
          <w:bCs/>
          <w:sz w:val="24"/>
          <w:szCs w:val="24"/>
        </w:rPr>
        <w:t>D</w:t>
      </w:r>
      <w:r w:rsidRPr="006E7CA9">
        <w:rPr>
          <w:rFonts w:ascii="Times New Roman" w:hAnsi="Times New Roman" w:cs="Times New Roman"/>
          <w:sz w:val="24"/>
          <w:szCs w:val="24"/>
        </w:rPr>
        <w:t>).</w:t>
      </w:r>
      <w:r w:rsidR="00CA590B" w:rsidRPr="006E7CA9">
        <w:rPr>
          <w:rFonts w:ascii="Times New Roman" w:hAnsi="Times New Roman" w:cs="Times New Roman"/>
          <w:sz w:val="24"/>
          <w:szCs w:val="24"/>
          <w:vertAlign w:val="superscript"/>
        </w:rPr>
        <w:t>b</w:t>
      </w:r>
      <w:r w:rsidRPr="006E7CA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E7CA9"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r w:rsidRPr="006E7CA9">
        <w:rPr>
          <w:rFonts w:ascii="Times New Roman" w:hAnsi="Times New Roman" w:cs="Times New Roman"/>
          <w:sz w:val="24"/>
          <w:szCs w:val="24"/>
        </w:rPr>
        <w:t>ITT</w:t>
      </w:r>
      <w:proofErr w:type="spellEnd"/>
      <w:r w:rsidRPr="006E7CA9">
        <w:rPr>
          <w:rFonts w:ascii="Times New Roman" w:hAnsi="Times New Roman" w:cs="Times New Roman"/>
          <w:sz w:val="24"/>
          <w:szCs w:val="24"/>
        </w:rPr>
        <w:t xml:space="preserve"> survival curves from Powles T, et al. </w:t>
      </w:r>
      <w:r w:rsidRPr="006E7CA9">
        <w:rPr>
          <w:rFonts w:ascii="Times New Roman" w:hAnsi="Times New Roman" w:cs="Times New Roman"/>
          <w:i/>
          <w:iCs/>
          <w:sz w:val="24"/>
          <w:szCs w:val="24"/>
        </w:rPr>
        <w:t xml:space="preserve">Nature </w:t>
      </w:r>
      <w:r w:rsidRPr="006E7CA9">
        <w:rPr>
          <w:rFonts w:ascii="Times New Roman" w:hAnsi="Times New Roman" w:cs="Times New Roman"/>
          <w:sz w:val="24"/>
          <w:szCs w:val="24"/>
        </w:rPr>
        <w:t xml:space="preserve">2021;595(7867):432-437. </w:t>
      </w:r>
      <w:proofErr w:type="spellStart"/>
      <w:r w:rsidRPr="006E7CA9">
        <w:rPr>
          <w:rFonts w:ascii="Times New Roman" w:hAnsi="Times New Roman" w:cs="Times New Roman"/>
          <w:sz w:val="24"/>
          <w:szCs w:val="24"/>
          <w:vertAlign w:val="superscript"/>
        </w:rPr>
        <w:t>b</w:t>
      </w:r>
      <w:r w:rsidRPr="006E7CA9">
        <w:rPr>
          <w:rFonts w:ascii="Times New Roman" w:hAnsi="Times New Roman" w:cs="Times New Roman"/>
          <w:sz w:val="24"/>
          <w:szCs w:val="24"/>
        </w:rPr>
        <w:t>HR</w:t>
      </w:r>
      <w:proofErr w:type="spellEnd"/>
      <w:r w:rsidRPr="006E7CA9">
        <w:rPr>
          <w:rFonts w:ascii="Times New Roman" w:hAnsi="Times New Roman" w:cs="Times New Roman"/>
          <w:sz w:val="24"/>
          <w:szCs w:val="24"/>
        </w:rPr>
        <w:t xml:space="preserve"> for ITT population is based on Cox proportional hazards model stratified by tumor stage, nodal status, and PD-L1 status. However, HR for BEP is stratified by nodal status and PD-L1 status only, owing to small strata size with tumor stage. </w:t>
      </w:r>
      <w:proofErr w:type="spellStart"/>
      <w:r w:rsidRPr="006E7CA9">
        <w:rPr>
          <w:rFonts w:ascii="Times New Roman" w:hAnsi="Times New Roman" w:cs="Times New Roman"/>
          <w:sz w:val="24"/>
          <w:szCs w:val="24"/>
        </w:rPr>
        <w:t>Atezo</w:t>
      </w:r>
      <w:proofErr w:type="spellEnd"/>
      <w:r w:rsidRPr="006E7CA9">
        <w:rPr>
          <w:rFonts w:ascii="Times New Roman" w:hAnsi="Times New Roman" w:cs="Times New Roman"/>
          <w:sz w:val="24"/>
          <w:szCs w:val="24"/>
        </w:rPr>
        <w:t>, atezolizumab; BEP, biomarker-evaluable population; ctDNA, circulating tumor DNA; DFS, disease-free survival; ITT, intention-to-treat; Obs, observation; OS, overall survival; PD</w:t>
      </w:r>
      <w:r w:rsidR="002E7EDE" w:rsidRPr="006E7CA9">
        <w:rPr>
          <w:rFonts w:ascii="Times New Roman" w:hAnsi="Times New Roman" w:cs="Times New Roman"/>
          <w:sz w:val="24"/>
          <w:szCs w:val="24"/>
        </w:rPr>
        <w:t>-</w:t>
      </w:r>
      <w:r w:rsidRPr="006E7CA9">
        <w:rPr>
          <w:rFonts w:ascii="Times New Roman" w:hAnsi="Times New Roman" w:cs="Times New Roman"/>
          <w:sz w:val="24"/>
          <w:szCs w:val="24"/>
        </w:rPr>
        <w:t>L1, programmed cell death-ligand 1.</w:t>
      </w:r>
    </w:p>
    <w:p w14:paraId="561D524A" w14:textId="62B33BDE" w:rsidR="00501D25" w:rsidRPr="006E7CA9" w:rsidRDefault="00563AEA" w:rsidP="00E5416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E7CA9">
        <w:rPr>
          <w:noProof/>
        </w:rPr>
        <w:drawing>
          <wp:inline distT="0" distB="0" distL="0" distR="0" wp14:anchorId="2DCC0CF6" wp14:editId="7F053EF5">
            <wp:extent cx="6123344" cy="6080167"/>
            <wp:effectExtent l="0" t="0" r="0" b="0"/>
            <wp:docPr id="1" name="Picture 1" descr="Graphical user interface, chart, application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, chart, application, line chart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37333" cy="6094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1D25" w:rsidRPr="006E7CA9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115F4E5A" w14:textId="2E2611D6" w:rsidR="003A7C90" w:rsidRPr="006E7CA9" w:rsidRDefault="003A7C90" w:rsidP="00E471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E7CA9">
        <w:rPr>
          <w:rFonts w:ascii="Times New Roman" w:hAnsi="Times New Roman" w:cs="Times New Roman"/>
          <w:b/>
          <w:bCs/>
          <w:caps/>
          <w:sz w:val="24"/>
          <w:szCs w:val="24"/>
        </w:rPr>
        <w:lastRenderedPageBreak/>
        <w:t>Supplementary Figure</w:t>
      </w:r>
      <w:r w:rsidRPr="006E7CA9">
        <w:rPr>
          <w:rFonts w:ascii="Times New Roman" w:hAnsi="Times New Roman" w:cs="Times New Roman"/>
          <w:b/>
          <w:bCs/>
          <w:sz w:val="24"/>
          <w:szCs w:val="24"/>
        </w:rPr>
        <w:t xml:space="preserve"> 2. </w:t>
      </w:r>
      <w:r w:rsidRPr="006E7CA9">
        <w:rPr>
          <w:rFonts w:ascii="Times New Roman" w:hAnsi="Times New Roman" w:cs="Times New Roman"/>
          <w:sz w:val="24"/>
          <w:szCs w:val="24"/>
        </w:rPr>
        <w:t>Distribution of MTM/mL in ctDNA-positive samples by arm. ctDNA, circulating tumor DNA; MTM/mL</w:t>
      </w:r>
      <w:r w:rsidRPr="006E7CA9">
        <w:t xml:space="preserve">, </w:t>
      </w:r>
      <w:r w:rsidRPr="006E7CA9">
        <w:rPr>
          <w:rFonts w:ascii="Times New Roman" w:hAnsi="Times New Roman" w:cs="Times New Roman"/>
          <w:sz w:val="24"/>
          <w:szCs w:val="24"/>
        </w:rPr>
        <w:t>mean tumor molecules per mL of plasma.</w:t>
      </w:r>
    </w:p>
    <w:p w14:paraId="1F6518B2" w14:textId="77777777" w:rsidR="000613B3" w:rsidRPr="006E7CA9" w:rsidRDefault="000613B3" w:rsidP="00E47126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70BCFA9D" w14:textId="22CB47D7" w:rsidR="003A7C90" w:rsidRPr="006E7CA9" w:rsidRDefault="00F94966" w:rsidP="00E4712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E7CA9">
        <w:rPr>
          <w:noProof/>
        </w:rPr>
        <w:drawing>
          <wp:inline distT="0" distB="0" distL="0" distR="0" wp14:anchorId="6B8FCFAE" wp14:editId="5B816A81">
            <wp:extent cx="6671404" cy="3508744"/>
            <wp:effectExtent l="0" t="0" r="0" b="0"/>
            <wp:docPr id="4" name="Picture 4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Chart, line chart&#10;&#10;Description automatically generated"/>
                    <pic:cNvPicPr/>
                  </pic:nvPicPr>
                  <pic:blipFill rotWithShape="1">
                    <a:blip r:embed="rId8"/>
                    <a:srcRect l="1124" r="2807" b="1963"/>
                    <a:stretch/>
                  </pic:blipFill>
                  <pic:spPr bwMode="auto">
                    <a:xfrm>
                      <a:off x="0" y="0"/>
                      <a:ext cx="6685181" cy="3515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A7C90" w:rsidRPr="006E7CA9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17C59C05" w14:textId="058708DA" w:rsidR="00B30D00" w:rsidRPr="006E7CA9" w:rsidRDefault="00B30D00" w:rsidP="00E47126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6E7CA9">
        <w:rPr>
          <w:rFonts w:ascii="Times New Roman" w:hAnsi="Times New Roman" w:cs="Times New Roman"/>
          <w:b/>
          <w:bCs/>
          <w:caps/>
          <w:sz w:val="24"/>
          <w:szCs w:val="24"/>
        </w:rPr>
        <w:lastRenderedPageBreak/>
        <w:t>Supplementary Figure</w:t>
      </w:r>
      <w:r w:rsidRPr="006E7CA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3A7C90" w:rsidRPr="006E7CA9">
        <w:rPr>
          <w:rFonts w:ascii="Times New Roman" w:hAnsi="Times New Roman" w:cs="Times New Roman"/>
          <w:b/>
          <w:bCs/>
          <w:sz w:val="24"/>
          <w:szCs w:val="24"/>
        </w:rPr>
        <w:t>3</w:t>
      </w:r>
      <w:r w:rsidRPr="006E7CA9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6E7CA9">
        <w:rPr>
          <w:rFonts w:ascii="Times New Roman" w:hAnsi="Times New Roman" w:cs="Times New Roman"/>
          <w:sz w:val="24"/>
          <w:szCs w:val="24"/>
        </w:rPr>
        <w:t>DFS analysis by TMB in ctDNA-positive patients of the IMvigor010 study.</w:t>
      </w:r>
      <w:r w:rsidR="004B1484" w:rsidRPr="006E7CA9">
        <w:rPr>
          <w:rFonts w:ascii="Times New Roman" w:hAnsi="Times New Roman" w:cs="Times New Roman"/>
          <w:sz w:val="24"/>
          <w:szCs w:val="24"/>
        </w:rPr>
        <w:t xml:space="preserve"> </w:t>
      </w:r>
      <w:r w:rsidRPr="006E7CA9">
        <w:rPr>
          <w:rFonts w:ascii="Times New Roman" w:hAnsi="Times New Roman" w:cs="Times New Roman"/>
          <w:sz w:val="24"/>
          <w:szCs w:val="24"/>
        </w:rPr>
        <w:t>High TMB was defined as ≥10 mutations/Mb. Low TMB was defined as &lt;10 mutations/Mb. CI, confidence interval; ctDNA, circulating tumor DNA; DFS, disease-free survival; IC, immune cell; Mb, megabase; PD-L1, programmed cell death-ligand 1; pT, primary tumor; TMB, tumor mutational burden;</w:t>
      </w:r>
      <w:r w:rsidRPr="006E7CA9">
        <w:rPr>
          <w:sz w:val="24"/>
          <w:szCs w:val="24"/>
        </w:rPr>
        <w:t xml:space="preserve"> </w:t>
      </w:r>
      <w:r w:rsidRPr="006E7CA9">
        <w:rPr>
          <w:rFonts w:ascii="Times New Roman" w:hAnsi="Times New Roman" w:cs="Times New Roman"/>
          <w:sz w:val="24"/>
          <w:szCs w:val="24"/>
        </w:rPr>
        <w:t>tx, therapy.</w:t>
      </w:r>
    </w:p>
    <w:p w14:paraId="12FF3806" w14:textId="73A96EDA" w:rsidR="00B30D00" w:rsidRPr="006E7CA9" w:rsidRDefault="00FA2369" w:rsidP="00E47126">
      <w:pPr>
        <w:spacing w:after="0" w:line="240" w:lineRule="auto"/>
        <w:jc w:val="center"/>
        <w:rPr>
          <w:rFonts w:ascii="Times New Roman" w:eastAsiaTheme="minorEastAsia" w:hAnsi="Times New Roman" w:cs="Times New Roman"/>
          <w:kern w:val="24"/>
          <w:sz w:val="20"/>
          <w:szCs w:val="20"/>
        </w:rPr>
      </w:pPr>
      <w:r w:rsidRPr="006E7CA9">
        <w:rPr>
          <w:noProof/>
        </w:rPr>
        <w:drawing>
          <wp:inline distT="0" distB="0" distL="0" distR="0" wp14:anchorId="460EA1C6" wp14:editId="60021D1B">
            <wp:extent cx="5087225" cy="7039155"/>
            <wp:effectExtent l="0" t="0" r="0" b="0"/>
            <wp:docPr id="2" name="Picture 2" descr="Graphical user interface,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Graphical user interface, table&#10;&#10;Description automatically generated with medium confidence"/>
                    <pic:cNvPicPr/>
                  </pic:nvPicPr>
                  <pic:blipFill rotWithShape="1">
                    <a:blip r:embed="rId9"/>
                    <a:srcRect l="5556" t="4521" r="5342" b="2309"/>
                    <a:stretch/>
                  </pic:blipFill>
                  <pic:spPr bwMode="auto">
                    <a:xfrm>
                      <a:off x="0" y="0"/>
                      <a:ext cx="5091578" cy="70451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14E73D" w14:textId="3474FDD3" w:rsidR="00B30D00" w:rsidRPr="006E7CA9" w:rsidRDefault="00B30D00" w:rsidP="00E47126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6E7CA9">
        <w:rPr>
          <w:rFonts w:ascii="Times New Roman" w:hAnsi="Times New Roman" w:cs="Times New Roman"/>
          <w:b/>
          <w:bCs/>
          <w:caps/>
          <w:sz w:val="24"/>
          <w:szCs w:val="24"/>
        </w:rPr>
        <w:lastRenderedPageBreak/>
        <w:t>Supplementary Figure</w:t>
      </w:r>
      <w:r w:rsidRPr="006E7CA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0613B3" w:rsidRPr="006E7CA9">
        <w:rPr>
          <w:rFonts w:ascii="Times New Roman" w:hAnsi="Times New Roman" w:cs="Times New Roman"/>
          <w:b/>
          <w:bCs/>
          <w:sz w:val="24"/>
          <w:szCs w:val="24"/>
        </w:rPr>
        <w:t>4</w:t>
      </w:r>
      <w:r w:rsidRPr="006E7CA9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6E7CA9">
        <w:rPr>
          <w:rFonts w:ascii="Times New Roman" w:hAnsi="Times New Roman" w:cs="Times New Roman"/>
          <w:sz w:val="24"/>
          <w:szCs w:val="24"/>
        </w:rPr>
        <w:t xml:space="preserve"> OS analysis by TMB in ctDNA-positive patients of the IMvigor010 study.</w:t>
      </w:r>
      <w:r w:rsidRPr="006E7CA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6E7CA9">
        <w:rPr>
          <w:rFonts w:ascii="Times New Roman" w:hAnsi="Times New Roman" w:cs="Times New Roman"/>
          <w:sz w:val="24"/>
          <w:szCs w:val="24"/>
        </w:rPr>
        <w:t xml:space="preserve">Kaplan-Meier estimates of OS for ctDNA-positive patients monitored and stratified by TMB. High TMB was defined as ≥10 mutations/Mb. Low TMB was defined as &lt;10 mutations/Mb. </w:t>
      </w:r>
      <w:r w:rsidRPr="006E7CA9">
        <w:rPr>
          <w:rFonts w:ascii="Times New Roman" w:eastAsiaTheme="minorEastAsia" w:hAnsi="Times New Roman" w:cs="Times New Roman"/>
          <w:kern w:val="24"/>
          <w:position w:val="7"/>
          <w:sz w:val="24"/>
          <w:szCs w:val="24"/>
          <w:vertAlign w:val="superscript"/>
        </w:rPr>
        <w:t>a</w:t>
      </w:r>
      <w:r w:rsidRPr="006E7CA9">
        <w:rPr>
          <w:rFonts w:ascii="Times New Roman" w:eastAsiaTheme="minorEastAsia" w:hAnsi="Times New Roman" w:cs="Times New Roman"/>
          <w:kern w:val="24"/>
          <w:sz w:val="24"/>
          <w:szCs w:val="24"/>
        </w:rPr>
        <w:t xml:space="preserve">Univariable. CI, confidence interval; </w:t>
      </w:r>
      <w:r w:rsidRPr="006E7CA9">
        <w:rPr>
          <w:rFonts w:ascii="Times New Roman" w:hAnsi="Times New Roman" w:cs="Times New Roman"/>
          <w:sz w:val="24"/>
          <w:szCs w:val="24"/>
        </w:rPr>
        <w:t xml:space="preserve">ctDNA, circulating tumor DNA; IC, immune cell; IQR, interquartile range; Mb, megabase; NE, not evaluable; </w:t>
      </w:r>
      <w:proofErr w:type="spellStart"/>
      <w:r w:rsidRPr="006E7CA9">
        <w:rPr>
          <w:rFonts w:ascii="Times New Roman" w:hAnsi="Times New Roman" w:cs="Times New Roman"/>
          <w:sz w:val="24"/>
          <w:szCs w:val="24"/>
        </w:rPr>
        <w:t>neoadj</w:t>
      </w:r>
      <w:proofErr w:type="spellEnd"/>
      <w:r w:rsidRPr="006E7CA9">
        <w:rPr>
          <w:rFonts w:ascii="Times New Roman" w:hAnsi="Times New Roman" w:cs="Times New Roman"/>
          <w:sz w:val="24"/>
          <w:szCs w:val="24"/>
        </w:rPr>
        <w:t>., neoadjuvant; OS, overall survival; PD-L1, programmed cell death-ligand 1; pT, primary tumor; ref, reference; TMB, tumor mutational burden;</w:t>
      </w:r>
      <w:r w:rsidRPr="006E7CA9">
        <w:rPr>
          <w:sz w:val="24"/>
          <w:szCs w:val="24"/>
        </w:rPr>
        <w:t xml:space="preserve"> </w:t>
      </w:r>
      <w:r w:rsidRPr="006E7CA9">
        <w:rPr>
          <w:rFonts w:ascii="Times New Roman" w:hAnsi="Times New Roman" w:cs="Times New Roman"/>
          <w:sz w:val="24"/>
          <w:szCs w:val="24"/>
        </w:rPr>
        <w:t>tx, therapy.</w:t>
      </w:r>
    </w:p>
    <w:p w14:paraId="10F7FDAF" w14:textId="36190622" w:rsidR="00B30D00" w:rsidRPr="006E7CA9" w:rsidRDefault="001477ED" w:rsidP="00E4712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E7CA9">
        <w:rPr>
          <w:noProof/>
        </w:rPr>
        <w:drawing>
          <wp:inline distT="0" distB="0" distL="0" distR="0" wp14:anchorId="790D1792" wp14:editId="49ED752D">
            <wp:extent cx="6858000" cy="4191447"/>
            <wp:effectExtent l="0" t="0" r="0" b="0"/>
            <wp:docPr id="7" name="Picture 7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chart&#10;&#10;Description automatically generated"/>
                    <pic:cNvPicPr/>
                  </pic:nvPicPr>
                  <pic:blipFill rotWithShape="1">
                    <a:blip r:embed="rId10"/>
                    <a:srcRect l="3629" t="24962"/>
                    <a:stretch/>
                  </pic:blipFill>
                  <pic:spPr bwMode="auto">
                    <a:xfrm>
                      <a:off x="0" y="0"/>
                      <a:ext cx="6875131" cy="42019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9E2C7D" w14:textId="77777777" w:rsidR="005965FF" w:rsidRPr="006E7CA9" w:rsidRDefault="005965FF">
      <w:pPr>
        <w:spacing w:after="160" w:line="259" w:lineRule="auto"/>
        <w:rPr>
          <w:rFonts w:ascii="Times New Roman" w:hAnsi="Times New Roman" w:cs="Times New Roman"/>
          <w:b/>
          <w:bCs/>
          <w:caps/>
          <w:sz w:val="24"/>
          <w:szCs w:val="24"/>
        </w:rPr>
      </w:pPr>
      <w:r w:rsidRPr="006E7CA9">
        <w:rPr>
          <w:rFonts w:ascii="Times New Roman" w:hAnsi="Times New Roman" w:cs="Times New Roman"/>
          <w:b/>
          <w:bCs/>
          <w:caps/>
          <w:sz w:val="24"/>
          <w:szCs w:val="24"/>
        </w:rPr>
        <w:br w:type="page"/>
      </w:r>
    </w:p>
    <w:p w14:paraId="46669ADE" w14:textId="073A53EF" w:rsidR="00B30D00" w:rsidRPr="006E7CA9" w:rsidRDefault="00B30D00" w:rsidP="00E471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E7CA9">
        <w:rPr>
          <w:rFonts w:ascii="Times New Roman" w:hAnsi="Times New Roman" w:cs="Times New Roman"/>
          <w:b/>
          <w:bCs/>
          <w:caps/>
          <w:sz w:val="24"/>
          <w:szCs w:val="24"/>
        </w:rPr>
        <w:lastRenderedPageBreak/>
        <w:t>Supplementary Figure</w:t>
      </w:r>
      <w:r w:rsidRPr="006E7CA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0613B3" w:rsidRPr="006E7CA9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Pr="006E7CA9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6E7CA9">
        <w:rPr>
          <w:rFonts w:ascii="Times New Roman" w:hAnsi="Times New Roman" w:cs="Times New Roman"/>
          <w:sz w:val="24"/>
          <w:szCs w:val="24"/>
        </w:rPr>
        <w:t xml:space="preserve">DFS analysis by PD-L1 status in ctDNA-positive patients of the IMvigor010 study. Kaplan-Meier estimates of DFS for ctDNA-positive patients monitored and stratified by PD-L1 status (IC 0/1 vs IC 2/3). </w:t>
      </w:r>
      <w:r w:rsidRPr="006E7CA9">
        <w:rPr>
          <w:rFonts w:ascii="Times New Roman" w:eastAsiaTheme="minorEastAsia" w:hAnsi="Times New Roman" w:cs="Times New Roman"/>
          <w:kern w:val="24"/>
          <w:position w:val="7"/>
          <w:sz w:val="24"/>
          <w:szCs w:val="24"/>
          <w:vertAlign w:val="superscript"/>
        </w:rPr>
        <w:t>a</w:t>
      </w:r>
      <w:r w:rsidRPr="006E7CA9">
        <w:rPr>
          <w:rFonts w:ascii="Times New Roman" w:eastAsiaTheme="minorEastAsia" w:hAnsi="Times New Roman" w:cs="Times New Roman"/>
          <w:kern w:val="24"/>
          <w:sz w:val="24"/>
          <w:szCs w:val="24"/>
        </w:rPr>
        <w:t xml:space="preserve">Univariable. </w:t>
      </w:r>
      <w:r w:rsidRPr="006E7CA9">
        <w:rPr>
          <w:rFonts w:ascii="Times New Roman" w:hAnsi="Times New Roman" w:cs="Times New Roman"/>
          <w:sz w:val="24"/>
          <w:szCs w:val="24"/>
        </w:rPr>
        <w:t xml:space="preserve">CI, confidence interval; ctDNA, circulating tumor DNA; DFS, disease-free survival; IC, immune cell; IQR, interquartile range; </w:t>
      </w:r>
      <w:proofErr w:type="spellStart"/>
      <w:r w:rsidRPr="006E7CA9">
        <w:rPr>
          <w:rFonts w:ascii="Times New Roman" w:hAnsi="Times New Roman" w:cs="Times New Roman"/>
          <w:sz w:val="24"/>
          <w:szCs w:val="24"/>
        </w:rPr>
        <w:t>neoadj</w:t>
      </w:r>
      <w:proofErr w:type="spellEnd"/>
      <w:r w:rsidRPr="006E7CA9">
        <w:rPr>
          <w:rFonts w:ascii="Times New Roman" w:hAnsi="Times New Roman" w:cs="Times New Roman"/>
          <w:sz w:val="24"/>
          <w:szCs w:val="24"/>
        </w:rPr>
        <w:t>., neoadjuvant; PD-L1, programmed cell death-ligand 1; pT, primary tumor; ref, reference; tx, therapy.</w:t>
      </w:r>
    </w:p>
    <w:p w14:paraId="57B0BF6D" w14:textId="3345A06A" w:rsidR="003143D0" w:rsidRPr="006E7CA9" w:rsidRDefault="003143D0" w:rsidP="00E4712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E7CA9">
        <w:rPr>
          <w:noProof/>
        </w:rPr>
        <w:drawing>
          <wp:inline distT="0" distB="0" distL="0" distR="0" wp14:anchorId="1127E006" wp14:editId="3D17BC86">
            <wp:extent cx="6810703" cy="4070327"/>
            <wp:effectExtent l="0" t="0" r="0" b="6985"/>
            <wp:docPr id="20" name="Picture 20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Diagram&#10;&#10;Description automatically generated"/>
                    <pic:cNvPicPr/>
                  </pic:nvPicPr>
                  <pic:blipFill rotWithShape="1">
                    <a:blip r:embed="rId11"/>
                    <a:srcRect l="1307" t="11084" r="1288"/>
                    <a:stretch/>
                  </pic:blipFill>
                  <pic:spPr bwMode="auto">
                    <a:xfrm>
                      <a:off x="0" y="0"/>
                      <a:ext cx="6834268" cy="4084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8E2CC8" w14:textId="77777777" w:rsidR="005965FF" w:rsidRPr="006E7CA9" w:rsidRDefault="005965FF">
      <w:pPr>
        <w:spacing w:after="160" w:line="259" w:lineRule="auto"/>
        <w:rPr>
          <w:rFonts w:ascii="Times New Roman" w:hAnsi="Times New Roman" w:cs="Times New Roman"/>
          <w:b/>
          <w:bCs/>
          <w:caps/>
          <w:sz w:val="24"/>
          <w:szCs w:val="24"/>
        </w:rPr>
      </w:pPr>
      <w:r w:rsidRPr="006E7CA9">
        <w:rPr>
          <w:rFonts w:ascii="Times New Roman" w:hAnsi="Times New Roman" w:cs="Times New Roman"/>
          <w:b/>
          <w:bCs/>
          <w:caps/>
          <w:sz w:val="24"/>
          <w:szCs w:val="24"/>
        </w:rPr>
        <w:br w:type="page"/>
      </w:r>
    </w:p>
    <w:p w14:paraId="72534090" w14:textId="63B2A7DA" w:rsidR="00B30D00" w:rsidRPr="006E7CA9" w:rsidRDefault="00B30D00" w:rsidP="00E47126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6E7CA9">
        <w:rPr>
          <w:rFonts w:ascii="Times New Roman" w:hAnsi="Times New Roman" w:cs="Times New Roman"/>
          <w:b/>
          <w:bCs/>
          <w:caps/>
          <w:sz w:val="24"/>
          <w:szCs w:val="24"/>
        </w:rPr>
        <w:lastRenderedPageBreak/>
        <w:t>Supplementary Figure</w:t>
      </w:r>
      <w:r w:rsidRPr="006E7CA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0613B3" w:rsidRPr="006E7CA9">
        <w:rPr>
          <w:rFonts w:ascii="Times New Roman" w:hAnsi="Times New Roman" w:cs="Times New Roman"/>
          <w:b/>
          <w:bCs/>
          <w:sz w:val="24"/>
          <w:szCs w:val="24"/>
        </w:rPr>
        <w:t>6</w:t>
      </w:r>
      <w:r w:rsidRPr="006E7CA9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6E7CA9">
        <w:rPr>
          <w:rFonts w:ascii="Times New Roman" w:hAnsi="Times New Roman" w:cs="Times New Roman"/>
          <w:sz w:val="24"/>
          <w:szCs w:val="24"/>
        </w:rPr>
        <w:t xml:space="preserve">OS analysis by PD-L1 status in ctDNA-positive patients of the IMvigor010 study. Kaplan-Meier estimates of OS for ctDNA-positive patients monitored and stratified by PD-L1 status (IC 0/1 vs IC 2/3). </w:t>
      </w:r>
      <w:r w:rsidRPr="006E7CA9">
        <w:rPr>
          <w:rFonts w:ascii="Times New Roman" w:eastAsiaTheme="minorEastAsia" w:hAnsi="Times New Roman" w:cs="Times New Roman"/>
          <w:kern w:val="24"/>
          <w:position w:val="7"/>
          <w:sz w:val="24"/>
          <w:szCs w:val="24"/>
          <w:vertAlign w:val="superscript"/>
        </w:rPr>
        <w:t>a</w:t>
      </w:r>
      <w:r w:rsidRPr="006E7CA9">
        <w:rPr>
          <w:rFonts w:ascii="Times New Roman" w:eastAsiaTheme="minorEastAsia" w:hAnsi="Times New Roman" w:cs="Times New Roman"/>
          <w:kern w:val="24"/>
          <w:sz w:val="24"/>
          <w:szCs w:val="24"/>
        </w:rPr>
        <w:t xml:space="preserve">Univariable. </w:t>
      </w:r>
      <w:r w:rsidRPr="006E7CA9">
        <w:rPr>
          <w:rFonts w:ascii="Times New Roman" w:hAnsi="Times New Roman" w:cs="Times New Roman"/>
          <w:sz w:val="24"/>
          <w:szCs w:val="24"/>
        </w:rPr>
        <w:t xml:space="preserve">CI, confidence interval; ctDNA, circulating tumor DNA; IC, immune cell; IQR, interquartile range; NE, not evaluable; </w:t>
      </w:r>
      <w:proofErr w:type="spellStart"/>
      <w:r w:rsidRPr="006E7CA9">
        <w:rPr>
          <w:rFonts w:ascii="Times New Roman" w:hAnsi="Times New Roman" w:cs="Times New Roman"/>
          <w:sz w:val="24"/>
          <w:szCs w:val="24"/>
        </w:rPr>
        <w:t>neoadj</w:t>
      </w:r>
      <w:proofErr w:type="spellEnd"/>
      <w:r w:rsidRPr="006E7CA9">
        <w:rPr>
          <w:rFonts w:ascii="Times New Roman" w:hAnsi="Times New Roman" w:cs="Times New Roman"/>
          <w:sz w:val="24"/>
          <w:szCs w:val="24"/>
        </w:rPr>
        <w:t>., neoadjuvant; OS, overall survival; PD-L1, programmed cell death-ligand 1; pT, primary tumor; ref, reference; tx, therapy.</w:t>
      </w:r>
    </w:p>
    <w:p w14:paraId="7EE0B98A" w14:textId="472AAFE8" w:rsidR="00B30D00" w:rsidRPr="006E7CA9" w:rsidRDefault="003143D0" w:rsidP="00E4712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E7CA9">
        <w:rPr>
          <w:noProof/>
        </w:rPr>
        <w:drawing>
          <wp:inline distT="0" distB="0" distL="0" distR="0" wp14:anchorId="4BAB3876" wp14:editId="34E1FAB4">
            <wp:extent cx="6747641" cy="3984005"/>
            <wp:effectExtent l="0" t="0" r="0" b="0"/>
            <wp:docPr id="21" name="Picture 21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picture containing diagram&#10;&#10;Description automatically generated"/>
                    <pic:cNvPicPr/>
                  </pic:nvPicPr>
                  <pic:blipFill rotWithShape="1">
                    <a:blip r:embed="rId12"/>
                    <a:srcRect l="1742" t="4965" r="1140" b="1628"/>
                    <a:stretch/>
                  </pic:blipFill>
                  <pic:spPr bwMode="auto">
                    <a:xfrm>
                      <a:off x="0" y="0"/>
                      <a:ext cx="6764210" cy="39937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EEDAA9" w14:textId="77777777" w:rsidR="005965FF" w:rsidRPr="006E7CA9" w:rsidRDefault="005965FF">
      <w:pPr>
        <w:spacing w:after="160" w:line="259" w:lineRule="auto"/>
        <w:rPr>
          <w:rFonts w:ascii="Times New Roman" w:hAnsi="Times New Roman" w:cs="Times New Roman"/>
          <w:b/>
          <w:bCs/>
          <w:caps/>
          <w:sz w:val="24"/>
          <w:szCs w:val="24"/>
        </w:rPr>
      </w:pPr>
      <w:r w:rsidRPr="006E7CA9">
        <w:rPr>
          <w:rFonts w:ascii="Times New Roman" w:hAnsi="Times New Roman" w:cs="Times New Roman"/>
          <w:b/>
          <w:bCs/>
          <w:caps/>
          <w:sz w:val="24"/>
          <w:szCs w:val="24"/>
        </w:rPr>
        <w:br w:type="page"/>
      </w:r>
    </w:p>
    <w:p w14:paraId="5559CC9B" w14:textId="57DE4098" w:rsidR="00365986" w:rsidRPr="006E7CA9" w:rsidRDefault="000613B3" w:rsidP="00E47126">
      <w:pPr>
        <w:spacing w:after="0" w:line="240" w:lineRule="auto"/>
        <w:rPr>
          <w:rFonts w:ascii="Times New Roman" w:eastAsiaTheme="minorEastAsia" w:hAnsi="Times New Roman" w:cs="Times New Roman"/>
          <w:kern w:val="24"/>
          <w:sz w:val="24"/>
          <w:szCs w:val="24"/>
        </w:rPr>
      </w:pPr>
      <w:r w:rsidRPr="006E7CA9">
        <w:rPr>
          <w:rFonts w:ascii="Times New Roman" w:hAnsi="Times New Roman" w:cs="Times New Roman"/>
          <w:b/>
          <w:bCs/>
          <w:caps/>
          <w:sz w:val="24"/>
          <w:szCs w:val="24"/>
        </w:rPr>
        <w:lastRenderedPageBreak/>
        <w:t>Supplementary Figure</w:t>
      </w:r>
      <w:r w:rsidRPr="006E7CA9">
        <w:rPr>
          <w:rFonts w:ascii="Times New Roman" w:hAnsi="Times New Roman" w:cs="Times New Roman"/>
          <w:b/>
          <w:bCs/>
          <w:sz w:val="24"/>
          <w:szCs w:val="24"/>
        </w:rPr>
        <w:t xml:space="preserve"> 7. </w:t>
      </w:r>
      <w:r w:rsidR="00A20AB3" w:rsidRPr="006E7CA9">
        <w:rPr>
          <w:rFonts w:ascii="Times New Roman" w:hAnsi="Times New Roman" w:cs="Times New Roman"/>
          <w:sz w:val="24"/>
          <w:szCs w:val="24"/>
        </w:rPr>
        <w:t>Univariable exploratory biomarker analyses of DFS (</w:t>
      </w:r>
      <w:r w:rsidR="00A20AB3" w:rsidRPr="006E7CA9"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="00A20AB3" w:rsidRPr="006E7CA9">
        <w:rPr>
          <w:rFonts w:ascii="Times New Roman" w:hAnsi="Times New Roman" w:cs="Times New Roman"/>
          <w:sz w:val="24"/>
          <w:szCs w:val="24"/>
        </w:rPr>
        <w:t>) and OS (</w:t>
      </w:r>
      <w:r w:rsidR="00A20AB3" w:rsidRPr="006E7CA9">
        <w:rPr>
          <w:rFonts w:ascii="Times New Roman" w:hAnsi="Times New Roman" w:cs="Times New Roman"/>
          <w:b/>
          <w:bCs/>
          <w:sz w:val="24"/>
          <w:szCs w:val="24"/>
        </w:rPr>
        <w:t>B</w:t>
      </w:r>
      <w:r w:rsidR="00A20AB3" w:rsidRPr="006E7CA9">
        <w:rPr>
          <w:rFonts w:ascii="Times New Roman" w:hAnsi="Times New Roman" w:cs="Times New Roman"/>
          <w:sz w:val="24"/>
          <w:szCs w:val="24"/>
        </w:rPr>
        <w:t>) in ctDNA-positive patients</w:t>
      </w:r>
      <w:r w:rsidR="00996946" w:rsidRPr="006E7CA9">
        <w:rPr>
          <w:rFonts w:ascii="Times New Roman" w:hAnsi="Times New Roman" w:cs="Times New Roman"/>
          <w:sz w:val="24"/>
          <w:szCs w:val="24"/>
        </w:rPr>
        <w:t xml:space="preserve">, comparing atezolizumab to observation. </w:t>
      </w:r>
      <w:r w:rsidR="00365986" w:rsidRPr="006E7CA9">
        <w:rPr>
          <w:rFonts w:ascii="Times New Roman" w:eastAsiaTheme="minorEastAsia" w:hAnsi="Times New Roman" w:cs="Times New Roman"/>
          <w:kern w:val="24"/>
          <w:sz w:val="24"/>
          <w:szCs w:val="24"/>
        </w:rPr>
        <w:t>CDKN2A, cyclin dependent kinase inhibitor 2A; CI, confidence interval; ctDNA, circulating tumor DNA; DFS, disease-free survival; ERBB2, v-erb-b2 avian erythroblastic leukemia viral oncogene homolog 2; FGFR, fibroblast growth factor receptor; HRD, homologous recombination deficiency; MDM2, mouse double minute 2; PD-L1, programmed cell death-ligand 1; PIK3CA, phosphatidylinositol-4,5-bisphosphate 3-kinase, catalytic subunit alpha; OS, overall survival; TMB, tumor mutational burden.</w:t>
      </w:r>
    </w:p>
    <w:p w14:paraId="41F8A3B4" w14:textId="3D143715" w:rsidR="00F94966" w:rsidRPr="006E7CA9" w:rsidRDefault="00F94966" w:rsidP="00E47126">
      <w:pPr>
        <w:spacing w:after="0" w:line="240" w:lineRule="auto"/>
        <w:jc w:val="center"/>
        <w:rPr>
          <w:rFonts w:ascii="Times New Roman" w:eastAsiaTheme="minorEastAsia" w:hAnsi="Times New Roman" w:cs="Times New Roman"/>
          <w:kern w:val="24"/>
          <w:sz w:val="24"/>
          <w:szCs w:val="24"/>
        </w:rPr>
      </w:pPr>
      <w:r w:rsidRPr="006E7CA9">
        <w:rPr>
          <w:noProof/>
        </w:rPr>
        <w:drawing>
          <wp:inline distT="0" distB="0" distL="0" distR="0" wp14:anchorId="4B91FD17" wp14:editId="22030FA6">
            <wp:extent cx="6284901" cy="6866626"/>
            <wp:effectExtent l="0" t="0" r="1905" b="0"/>
            <wp:docPr id="5" name="Picture 5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able&#10;&#10;Description automatically generated"/>
                    <pic:cNvPicPr/>
                  </pic:nvPicPr>
                  <pic:blipFill rotWithShape="1">
                    <a:blip r:embed="rId13"/>
                    <a:srcRect r="1431" b="2193"/>
                    <a:stretch/>
                  </pic:blipFill>
                  <pic:spPr bwMode="auto">
                    <a:xfrm>
                      <a:off x="0" y="0"/>
                      <a:ext cx="6321210" cy="69062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D41252" w14:textId="0460DE5D" w:rsidR="00E66B54" w:rsidRPr="006E7CA9" w:rsidRDefault="000613B3" w:rsidP="00E47126">
      <w:pPr>
        <w:spacing w:after="0" w:line="240" w:lineRule="auto"/>
        <w:rPr>
          <w:rFonts w:ascii="Times New Roman" w:eastAsiaTheme="minorEastAsia" w:hAnsi="Times New Roman" w:cs="Times New Roman"/>
          <w:kern w:val="24"/>
          <w:sz w:val="24"/>
          <w:szCs w:val="24"/>
        </w:rPr>
      </w:pPr>
      <w:r w:rsidRPr="006E7CA9">
        <w:rPr>
          <w:rFonts w:ascii="Times New Roman" w:hAnsi="Times New Roman" w:cs="Times New Roman"/>
          <w:b/>
          <w:bCs/>
          <w:sz w:val="24"/>
          <w:szCs w:val="24"/>
        </w:rPr>
        <w:br w:type="page"/>
      </w:r>
      <w:r w:rsidRPr="006E7CA9">
        <w:rPr>
          <w:rFonts w:ascii="Times New Roman" w:hAnsi="Times New Roman" w:cs="Times New Roman"/>
          <w:b/>
          <w:bCs/>
          <w:caps/>
          <w:sz w:val="24"/>
          <w:szCs w:val="24"/>
        </w:rPr>
        <w:lastRenderedPageBreak/>
        <w:t>Supplementary Figure</w:t>
      </w:r>
      <w:r w:rsidRPr="006E7CA9">
        <w:rPr>
          <w:rFonts w:ascii="Times New Roman" w:hAnsi="Times New Roman" w:cs="Times New Roman"/>
          <w:b/>
          <w:bCs/>
          <w:sz w:val="24"/>
          <w:szCs w:val="24"/>
        </w:rPr>
        <w:t xml:space="preserve"> 8. </w:t>
      </w:r>
      <w:r w:rsidR="00CC32D1" w:rsidRPr="006E7CA9">
        <w:rPr>
          <w:rFonts w:ascii="Times New Roman" w:hAnsi="Times New Roman" w:cs="Times New Roman"/>
          <w:sz w:val="24"/>
          <w:szCs w:val="24"/>
        </w:rPr>
        <w:t>Multivariable exploratory biomarker analyses of DFS (</w:t>
      </w:r>
      <w:r w:rsidR="00CC32D1" w:rsidRPr="006E7CA9"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="00CC32D1" w:rsidRPr="006E7CA9">
        <w:rPr>
          <w:rFonts w:ascii="Times New Roman" w:hAnsi="Times New Roman" w:cs="Times New Roman"/>
          <w:sz w:val="24"/>
          <w:szCs w:val="24"/>
        </w:rPr>
        <w:t>) and OS (</w:t>
      </w:r>
      <w:r w:rsidR="00CC32D1" w:rsidRPr="006E7CA9">
        <w:rPr>
          <w:rFonts w:ascii="Times New Roman" w:hAnsi="Times New Roman" w:cs="Times New Roman"/>
          <w:b/>
          <w:bCs/>
          <w:sz w:val="24"/>
          <w:szCs w:val="24"/>
        </w:rPr>
        <w:t>B</w:t>
      </w:r>
      <w:r w:rsidR="00CC32D1" w:rsidRPr="006E7CA9">
        <w:rPr>
          <w:rFonts w:ascii="Times New Roman" w:hAnsi="Times New Roman" w:cs="Times New Roman"/>
          <w:sz w:val="24"/>
          <w:szCs w:val="24"/>
        </w:rPr>
        <w:t xml:space="preserve">) in ctDNA-positive patients, comparing atezolizumab to observation. </w:t>
      </w:r>
      <w:r w:rsidR="00AF25C5" w:rsidRPr="006E7CA9">
        <w:rPr>
          <w:rFonts w:ascii="Times New Roman" w:eastAsiaTheme="minorEastAsia" w:hAnsi="Times New Roman" w:cs="Times New Roman"/>
          <w:kern w:val="24"/>
          <w:sz w:val="24"/>
          <w:szCs w:val="24"/>
        </w:rPr>
        <w:t xml:space="preserve">CDKN2A, cyclin dependent kinase inhibitor 2A; </w:t>
      </w:r>
      <w:r w:rsidR="00E66B54" w:rsidRPr="006E7CA9">
        <w:rPr>
          <w:rFonts w:ascii="Times New Roman" w:eastAsiaTheme="minorEastAsia" w:hAnsi="Times New Roman" w:cs="Times New Roman"/>
          <w:kern w:val="24"/>
          <w:sz w:val="24"/>
          <w:szCs w:val="24"/>
        </w:rPr>
        <w:t xml:space="preserve">CI, confidence interval; ctDNA, circulating tumor DNA; DFS, disease-free survival; </w:t>
      </w:r>
      <w:r w:rsidR="00AF25C5" w:rsidRPr="006E7CA9">
        <w:rPr>
          <w:rFonts w:ascii="Times New Roman" w:eastAsiaTheme="minorEastAsia" w:hAnsi="Times New Roman" w:cs="Times New Roman"/>
          <w:kern w:val="24"/>
          <w:sz w:val="24"/>
          <w:szCs w:val="24"/>
        </w:rPr>
        <w:t xml:space="preserve">ERBB2, v-erb-b2 avian erythroblastic leukemia viral oncogene homolog 2; FGFR, fibroblast growth factor receptor; HRD, homologous recombination deficiency; </w:t>
      </w:r>
      <w:r w:rsidR="00365986" w:rsidRPr="006E7CA9">
        <w:rPr>
          <w:rFonts w:ascii="Times New Roman" w:eastAsiaTheme="minorEastAsia" w:hAnsi="Times New Roman" w:cs="Times New Roman"/>
          <w:kern w:val="24"/>
          <w:sz w:val="24"/>
          <w:szCs w:val="24"/>
        </w:rPr>
        <w:t xml:space="preserve">MDM2, mouse double minute 2; </w:t>
      </w:r>
      <w:r w:rsidR="00E66B54" w:rsidRPr="006E7CA9">
        <w:rPr>
          <w:rFonts w:ascii="Times New Roman" w:eastAsiaTheme="minorEastAsia" w:hAnsi="Times New Roman" w:cs="Times New Roman"/>
          <w:kern w:val="24"/>
          <w:sz w:val="24"/>
          <w:szCs w:val="24"/>
        </w:rPr>
        <w:t xml:space="preserve">PD-L1, programmed cell death-ligand 1; </w:t>
      </w:r>
      <w:r w:rsidR="00365986" w:rsidRPr="006E7CA9">
        <w:rPr>
          <w:rFonts w:ascii="Times New Roman" w:eastAsiaTheme="minorEastAsia" w:hAnsi="Times New Roman" w:cs="Times New Roman"/>
          <w:kern w:val="24"/>
          <w:sz w:val="24"/>
          <w:szCs w:val="24"/>
        </w:rPr>
        <w:t xml:space="preserve">PIK3CA, phosphatidylinositol-4,5-bisphosphate 3-kinase, catalytic subunit alpha; </w:t>
      </w:r>
      <w:r w:rsidR="00E66B54" w:rsidRPr="006E7CA9">
        <w:rPr>
          <w:rFonts w:ascii="Times New Roman" w:eastAsiaTheme="minorEastAsia" w:hAnsi="Times New Roman" w:cs="Times New Roman"/>
          <w:kern w:val="24"/>
          <w:sz w:val="24"/>
          <w:szCs w:val="24"/>
        </w:rPr>
        <w:t>OS, overall survival; TMB, tumor mutational burden.</w:t>
      </w:r>
    </w:p>
    <w:p w14:paraId="3F80D3BF" w14:textId="72D2713E" w:rsidR="00E66B54" w:rsidRPr="006E7CA9" w:rsidRDefault="00F94966" w:rsidP="00E47126">
      <w:pPr>
        <w:spacing w:after="0" w:line="240" w:lineRule="auto"/>
        <w:jc w:val="center"/>
        <w:rPr>
          <w:rFonts w:ascii="Times New Roman" w:eastAsiaTheme="minorEastAsia" w:hAnsi="Times New Roman" w:cs="Times New Roman"/>
          <w:kern w:val="24"/>
          <w:sz w:val="24"/>
          <w:szCs w:val="24"/>
        </w:rPr>
      </w:pPr>
      <w:r w:rsidRPr="006E7CA9">
        <w:rPr>
          <w:noProof/>
        </w:rPr>
        <w:drawing>
          <wp:inline distT="0" distB="0" distL="0" distR="0" wp14:anchorId="0E4F4167" wp14:editId="1869C2D0">
            <wp:extent cx="6294507" cy="6866626"/>
            <wp:effectExtent l="0" t="0" r="0" b="0"/>
            <wp:docPr id="6" name="Picture 6" descr="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Table&#10;&#10;Description automatically generated with low confidence"/>
                    <pic:cNvPicPr/>
                  </pic:nvPicPr>
                  <pic:blipFill rotWithShape="1">
                    <a:blip r:embed="rId14"/>
                    <a:srcRect t="331" r="1610" b="807"/>
                    <a:stretch/>
                  </pic:blipFill>
                  <pic:spPr bwMode="auto">
                    <a:xfrm>
                      <a:off x="0" y="0"/>
                      <a:ext cx="6300452" cy="68731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3ACC43" w14:textId="133F52C8" w:rsidR="00B30D00" w:rsidRPr="006E7CA9" w:rsidRDefault="00B30D00" w:rsidP="00E47126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6E7CA9">
        <w:rPr>
          <w:rFonts w:ascii="Times New Roman" w:hAnsi="Times New Roman" w:cs="Times New Roman"/>
          <w:b/>
          <w:bCs/>
          <w:caps/>
          <w:sz w:val="24"/>
          <w:szCs w:val="24"/>
        </w:rPr>
        <w:lastRenderedPageBreak/>
        <w:t>Supplementary Figure</w:t>
      </w:r>
      <w:r w:rsidRPr="006E7CA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0613B3" w:rsidRPr="006E7CA9">
        <w:rPr>
          <w:rFonts w:ascii="Times New Roman" w:hAnsi="Times New Roman" w:cs="Times New Roman"/>
          <w:b/>
          <w:bCs/>
          <w:sz w:val="24"/>
          <w:szCs w:val="24"/>
        </w:rPr>
        <w:t>9</w:t>
      </w:r>
      <w:r w:rsidRPr="006E7CA9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6E7CA9">
        <w:rPr>
          <w:rFonts w:ascii="Times New Roman" w:hAnsi="Times New Roman" w:cs="Times New Roman"/>
          <w:sz w:val="24"/>
          <w:szCs w:val="24"/>
        </w:rPr>
        <w:t>Univariable exploratory analyses of clinical factors associated with (</w:t>
      </w:r>
      <w:r w:rsidRPr="006E7CA9"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Pr="006E7CA9">
        <w:rPr>
          <w:rFonts w:ascii="Times New Roman" w:hAnsi="Times New Roman" w:cs="Times New Roman"/>
          <w:sz w:val="24"/>
          <w:szCs w:val="24"/>
        </w:rPr>
        <w:t>) DFS and (</w:t>
      </w:r>
      <w:r w:rsidRPr="006E7CA9">
        <w:rPr>
          <w:rFonts w:ascii="Times New Roman" w:hAnsi="Times New Roman" w:cs="Times New Roman"/>
          <w:b/>
          <w:bCs/>
          <w:sz w:val="24"/>
          <w:szCs w:val="24"/>
        </w:rPr>
        <w:t>B</w:t>
      </w:r>
      <w:r w:rsidRPr="006E7CA9">
        <w:rPr>
          <w:rFonts w:ascii="Times New Roman" w:hAnsi="Times New Roman" w:cs="Times New Roman"/>
          <w:sz w:val="24"/>
          <w:szCs w:val="24"/>
        </w:rPr>
        <w:t xml:space="preserve">) OS in the observation arm. CI, confidence interval; ctDNA, circulating tumor DNA; DFS, disease-free survival; IC, immune cell; </w:t>
      </w:r>
      <w:proofErr w:type="spellStart"/>
      <w:r w:rsidR="00CD1162" w:rsidRPr="006E7CA9">
        <w:rPr>
          <w:rFonts w:ascii="Times New Roman" w:hAnsi="Times New Roman" w:cs="Times New Roman"/>
          <w:sz w:val="24"/>
          <w:szCs w:val="24"/>
        </w:rPr>
        <w:t>n</w:t>
      </w:r>
      <w:r w:rsidRPr="006E7CA9">
        <w:rPr>
          <w:rFonts w:ascii="Times New Roman" w:hAnsi="Times New Roman" w:cs="Times New Roman"/>
          <w:sz w:val="24"/>
          <w:szCs w:val="24"/>
        </w:rPr>
        <w:t>eoadj</w:t>
      </w:r>
      <w:proofErr w:type="spellEnd"/>
      <w:r w:rsidRPr="006E7CA9">
        <w:rPr>
          <w:rFonts w:ascii="Times New Roman" w:hAnsi="Times New Roman" w:cs="Times New Roman"/>
          <w:sz w:val="24"/>
          <w:szCs w:val="24"/>
        </w:rPr>
        <w:t>., neoadjuvant; PD-L1, programmed cell death-ligand 1;</w:t>
      </w:r>
      <w:r w:rsidRPr="006E7CA9">
        <w:rPr>
          <w:sz w:val="24"/>
          <w:szCs w:val="24"/>
        </w:rPr>
        <w:t xml:space="preserve"> </w:t>
      </w:r>
      <w:r w:rsidRPr="006E7CA9">
        <w:rPr>
          <w:rFonts w:ascii="Times New Roman" w:hAnsi="Times New Roman" w:cs="Times New Roman"/>
          <w:sz w:val="24"/>
          <w:szCs w:val="24"/>
        </w:rPr>
        <w:t xml:space="preserve">pT, primary tumor; OS, overall survival; TMB, tumor mutational burden; </w:t>
      </w:r>
      <w:r w:rsidR="00CD1162" w:rsidRPr="006E7CA9">
        <w:rPr>
          <w:rFonts w:ascii="Times New Roman" w:hAnsi="Times New Roman" w:cs="Times New Roman"/>
          <w:sz w:val="24"/>
          <w:szCs w:val="24"/>
        </w:rPr>
        <w:t>t</w:t>
      </w:r>
      <w:r w:rsidRPr="006E7CA9">
        <w:rPr>
          <w:rFonts w:ascii="Times New Roman" w:hAnsi="Times New Roman" w:cs="Times New Roman"/>
          <w:sz w:val="24"/>
          <w:szCs w:val="24"/>
        </w:rPr>
        <w:t>x, therapy.</w:t>
      </w:r>
    </w:p>
    <w:p w14:paraId="46B7B447" w14:textId="3BEE50B9" w:rsidR="00282691" w:rsidRPr="006E7CA9" w:rsidRDefault="00DB2335" w:rsidP="00E47126">
      <w:pPr>
        <w:spacing w:after="0" w:line="240" w:lineRule="auto"/>
        <w:jc w:val="center"/>
      </w:pPr>
      <w:r w:rsidRPr="006E7CA9">
        <w:rPr>
          <w:noProof/>
        </w:rPr>
        <w:drawing>
          <wp:inline distT="0" distB="0" distL="0" distR="0" wp14:anchorId="5632D220" wp14:editId="00E66B1E">
            <wp:extent cx="6794938" cy="3735198"/>
            <wp:effectExtent l="0" t="0" r="6350" b="0"/>
            <wp:docPr id="450" name="Pictur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1385" cy="37497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654FB4" w14:textId="77777777" w:rsidR="002A079F" w:rsidRPr="006E7CA9" w:rsidRDefault="002A079F">
      <w:pPr>
        <w:spacing w:after="160" w:line="259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6E7CA9">
        <w:br w:type="page"/>
      </w:r>
    </w:p>
    <w:p w14:paraId="33DBE993" w14:textId="7F577095" w:rsidR="00221CE1" w:rsidRPr="006E7CA9" w:rsidRDefault="00E47126" w:rsidP="00E47126">
      <w:pPr>
        <w:pStyle w:val="Heading1"/>
        <w:spacing w:line="240" w:lineRule="auto"/>
        <w:rPr>
          <w:color w:val="auto"/>
        </w:rPr>
      </w:pPr>
      <w:proofErr w:type="gramStart"/>
      <w:r w:rsidRPr="006E7CA9">
        <w:rPr>
          <w:color w:val="auto"/>
        </w:rPr>
        <w:lastRenderedPageBreak/>
        <w:t xml:space="preserve">1.2  </w:t>
      </w:r>
      <w:r w:rsidR="00221CE1" w:rsidRPr="006E7CA9">
        <w:rPr>
          <w:color w:val="auto"/>
        </w:rPr>
        <w:t>Supplementary</w:t>
      </w:r>
      <w:proofErr w:type="gramEnd"/>
      <w:r w:rsidR="00221CE1" w:rsidRPr="006E7CA9">
        <w:rPr>
          <w:color w:val="auto"/>
        </w:rPr>
        <w:t xml:space="preserve"> </w:t>
      </w:r>
      <w:r w:rsidR="00592C79" w:rsidRPr="006E7CA9">
        <w:rPr>
          <w:color w:val="auto"/>
        </w:rPr>
        <w:t>t</w:t>
      </w:r>
      <w:r w:rsidR="00221CE1" w:rsidRPr="006E7CA9">
        <w:rPr>
          <w:color w:val="auto"/>
        </w:rPr>
        <w:t>ables</w:t>
      </w:r>
    </w:p>
    <w:p w14:paraId="74B1F9D6" w14:textId="77777777" w:rsidR="00221CE1" w:rsidRPr="006E7CA9" w:rsidRDefault="00221CE1" w:rsidP="00E47126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48CDD2D9" w14:textId="58871198" w:rsidR="00221CE1" w:rsidRPr="006E7CA9" w:rsidRDefault="00221CE1" w:rsidP="00E47126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6E7CA9">
        <w:rPr>
          <w:rFonts w:ascii="Times New Roman" w:hAnsi="Times New Roman" w:cs="Times New Roman"/>
          <w:b/>
          <w:bCs/>
          <w:caps/>
          <w:sz w:val="24"/>
          <w:szCs w:val="24"/>
        </w:rPr>
        <w:t>Supplementary Table</w:t>
      </w:r>
      <w:r w:rsidRPr="006E7CA9">
        <w:rPr>
          <w:rFonts w:ascii="Times New Roman" w:hAnsi="Times New Roman" w:cs="Times New Roman"/>
          <w:b/>
          <w:bCs/>
          <w:sz w:val="24"/>
          <w:szCs w:val="24"/>
        </w:rPr>
        <w:t xml:space="preserve"> 1. Comparison of clinical variables in the ITT and ctDNA BEPs</w:t>
      </w:r>
    </w:p>
    <w:tbl>
      <w:tblPr>
        <w:tblStyle w:val="TableGrid"/>
        <w:tblW w:w="10208" w:type="dxa"/>
        <w:tblLook w:val="04A0" w:firstRow="1" w:lastRow="0" w:firstColumn="1" w:lastColumn="0" w:noHBand="0" w:noVBand="1"/>
      </w:tblPr>
      <w:tblGrid>
        <w:gridCol w:w="2808"/>
        <w:gridCol w:w="1779"/>
        <w:gridCol w:w="1847"/>
        <w:gridCol w:w="1928"/>
        <w:gridCol w:w="1846"/>
      </w:tblGrid>
      <w:tr w:rsidR="006E7CA9" w:rsidRPr="006E7CA9" w14:paraId="3F991C80" w14:textId="77777777" w:rsidTr="004F5467">
        <w:trPr>
          <w:trHeight w:val="278"/>
        </w:trPr>
        <w:tc>
          <w:tcPr>
            <w:tcW w:w="2808" w:type="dxa"/>
          </w:tcPr>
          <w:p w14:paraId="362BF1B2" w14:textId="77777777" w:rsidR="00221CE1" w:rsidRPr="006E7CA9" w:rsidRDefault="00221CE1" w:rsidP="00E47126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26" w:type="dxa"/>
            <w:gridSpan w:val="2"/>
          </w:tcPr>
          <w:p w14:paraId="4EE40F28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ITT population</w:t>
            </w:r>
          </w:p>
        </w:tc>
        <w:tc>
          <w:tcPr>
            <w:tcW w:w="3774" w:type="dxa"/>
            <w:gridSpan w:val="2"/>
          </w:tcPr>
          <w:p w14:paraId="1E26550A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BEP</w:t>
            </w:r>
          </w:p>
        </w:tc>
      </w:tr>
      <w:tr w:rsidR="006E7CA9" w:rsidRPr="006E7CA9" w14:paraId="1F4B42C8" w14:textId="77777777" w:rsidTr="004F5467">
        <w:trPr>
          <w:trHeight w:val="547"/>
        </w:trPr>
        <w:tc>
          <w:tcPr>
            <w:tcW w:w="2808" w:type="dxa"/>
          </w:tcPr>
          <w:p w14:paraId="6FE7395B" w14:textId="77777777" w:rsidR="00221CE1" w:rsidRPr="006E7CA9" w:rsidRDefault="00221CE1" w:rsidP="00E47126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Clinical variable, n (%)</w:t>
            </w:r>
          </w:p>
        </w:tc>
        <w:tc>
          <w:tcPr>
            <w:tcW w:w="1779" w:type="dxa"/>
          </w:tcPr>
          <w:p w14:paraId="1490569E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Atezolizumab</w:t>
            </w:r>
          </w:p>
          <w:p w14:paraId="005796F0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(n=406)</w:t>
            </w:r>
          </w:p>
        </w:tc>
        <w:tc>
          <w:tcPr>
            <w:tcW w:w="1846" w:type="dxa"/>
          </w:tcPr>
          <w:p w14:paraId="3B4616C2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Observation</w:t>
            </w:r>
          </w:p>
          <w:p w14:paraId="0AE3D258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(n=403)</w:t>
            </w:r>
          </w:p>
        </w:tc>
        <w:tc>
          <w:tcPr>
            <w:tcW w:w="1928" w:type="dxa"/>
          </w:tcPr>
          <w:p w14:paraId="61092EDE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Atezolizumab</w:t>
            </w:r>
          </w:p>
          <w:p w14:paraId="3857DDA1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(n=212)</w:t>
            </w:r>
          </w:p>
        </w:tc>
        <w:tc>
          <w:tcPr>
            <w:tcW w:w="1846" w:type="dxa"/>
          </w:tcPr>
          <w:p w14:paraId="1DDE414F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Observation</w:t>
            </w:r>
          </w:p>
          <w:p w14:paraId="727C22AD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(n=184)</w:t>
            </w:r>
          </w:p>
        </w:tc>
      </w:tr>
      <w:tr w:rsidR="006E7CA9" w:rsidRPr="006E7CA9" w14:paraId="52D64586" w14:textId="77777777" w:rsidTr="004F5467">
        <w:trPr>
          <w:trHeight w:val="50"/>
        </w:trPr>
        <w:tc>
          <w:tcPr>
            <w:tcW w:w="2808" w:type="dxa"/>
          </w:tcPr>
          <w:p w14:paraId="254DB6EB" w14:textId="2923EB43" w:rsidR="00221CE1" w:rsidRPr="006E7CA9" w:rsidRDefault="00221CE1" w:rsidP="00E47126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Median age </w:t>
            </w:r>
            <w:r w:rsidR="00BB38B7" w:rsidRPr="006E7CA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</w:t>
            </w:r>
            <w:r w:rsidRPr="006E7CA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IQR</w:t>
            </w:r>
            <w:r w:rsidR="00BB38B7" w:rsidRPr="006E7CA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)</w:t>
            </w:r>
            <w:r w:rsidRPr="006E7CA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, years</w:t>
            </w:r>
          </w:p>
        </w:tc>
        <w:tc>
          <w:tcPr>
            <w:tcW w:w="1779" w:type="dxa"/>
          </w:tcPr>
          <w:p w14:paraId="316F1B0E" w14:textId="7BA1F36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67 </w:t>
            </w:r>
            <w:r w:rsidR="00BB38B7"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(</w:t>
            </w: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60-72</w:t>
            </w:r>
            <w:r w:rsidR="00BB38B7"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)</w:t>
            </w:r>
          </w:p>
        </w:tc>
        <w:tc>
          <w:tcPr>
            <w:tcW w:w="1846" w:type="dxa"/>
          </w:tcPr>
          <w:p w14:paraId="0E6DBF15" w14:textId="1A095FF6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66 </w:t>
            </w:r>
            <w:r w:rsidR="00BB38B7"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(</w:t>
            </w: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60-73</w:t>
            </w:r>
            <w:r w:rsidR="00BB38B7"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)</w:t>
            </w:r>
          </w:p>
        </w:tc>
        <w:tc>
          <w:tcPr>
            <w:tcW w:w="1928" w:type="dxa"/>
          </w:tcPr>
          <w:p w14:paraId="234837B0" w14:textId="19AA81FE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66 </w:t>
            </w:r>
            <w:r w:rsidR="00BB38B7"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(</w:t>
            </w: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59.75-72</w:t>
            </w:r>
            <w:r w:rsidR="00BB38B7"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)</w:t>
            </w:r>
          </w:p>
        </w:tc>
        <w:tc>
          <w:tcPr>
            <w:tcW w:w="1846" w:type="dxa"/>
          </w:tcPr>
          <w:p w14:paraId="248D111D" w14:textId="4BBD020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67 </w:t>
            </w:r>
            <w:r w:rsidR="00BB38B7"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(</w:t>
            </w: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61-74</w:t>
            </w:r>
            <w:r w:rsidR="00BB38B7"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)</w:t>
            </w:r>
          </w:p>
        </w:tc>
      </w:tr>
      <w:tr w:rsidR="006E7CA9" w:rsidRPr="006E7CA9" w14:paraId="3D61E18D" w14:textId="77777777" w:rsidTr="004F5467">
        <w:trPr>
          <w:trHeight w:val="278"/>
        </w:trPr>
        <w:tc>
          <w:tcPr>
            <w:tcW w:w="2808" w:type="dxa"/>
          </w:tcPr>
          <w:p w14:paraId="0136042B" w14:textId="77777777" w:rsidR="00221CE1" w:rsidRPr="006E7CA9" w:rsidRDefault="00221CE1" w:rsidP="00E47126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Gender</w:t>
            </w:r>
          </w:p>
        </w:tc>
        <w:tc>
          <w:tcPr>
            <w:tcW w:w="1779" w:type="dxa"/>
          </w:tcPr>
          <w:p w14:paraId="104A9AF9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846" w:type="dxa"/>
          </w:tcPr>
          <w:p w14:paraId="19280286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928" w:type="dxa"/>
          </w:tcPr>
          <w:p w14:paraId="2EF59946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846" w:type="dxa"/>
          </w:tcPr>
          <w:p w14:paraId="1F05D24F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6E7CA9" w:rsidRPr="006E7CA9" w14:paraId="136EC35D" w14:textId="77777777" w:rsidTr="004F5467">
        <w:trPr>
          <w:trHeight w:val="268"/>
        </w:trPr>
        <w:tc>
          <w:tcPr>
            <w:tcW w:w="2808" w:type="dxa"/>
          </w:tcPr>
          <w:p w14:paraId="6F16ACEF" w14:textId="77777777" w:rsidR="00221CE1" w:rsidRPr="006E7CA9" w:rsidRDefault="00221CE1" w:rsidP="00E47126">
            <w:pPr>
              <w:spacing w:after="0" w:line="240" w:lineRule="auto"/>
              <w:ind w:left="330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sz w:val="24"/>
                <w:szCs w:val="24"/>
              </w:rPr>
              <w:t>Male</w:t>
            </w:r>
          </w:p>
        </w:tc>
        <w:tc>
          <w:tcPr>
            <w:tcW w:w="1779" w:type="dxa"/>
          </w:tcPr>
          <w:p w14:paraId="53F532BA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322 (79.3)</w:t>
            </w:r>
          </w:p>
        </w:tc>
        <w:tc>
          <w:tcPr>
            <w:tcW w:w="1846" w:type="dxa"/>
          </w:tcPr>
          <w:p w14:paraId="00A7E49D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316 (78.4)</w:t>
            </w:r>
          </w:p>
        </w:tc>
        <w:tc>
          <w:tcPr>
            <w:tcW w:w="1928" w:type="dxa"/>
          </w:tcPr>
          <w:p w14:paraId="43FA02BF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158 (74.5)</w:t>
            </w:r>
          </w:p>
        </w:tc>
        <w:tc>
          <w:tcPr>
            <w:tcW w:w="1846" w:type="dxa"/>
          </w:tcPr>
          <w:p w14:paraId="69483D91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145 (78.8)</w:t>
            </w:r>
          </w:p>
        </w:tc>
      </w:tr>
      <w:tr w:rsidR="006E7CA9" w:rsidRPr="006E7CA9" w14:paraId="0E1229F8" w14:textId="77777777" w:rsidTr="004F5467">
        <w:trPr>
          <w:trHeight w:val="278"/>
        </w:trPr>
        <w:tc>
          <w:tcPr>
            <w:tcW w:w="2808" w:type="dxa"/>
          </w:tcPr>
          <w:p w14:paraId="1B49788A" w14:textId="77777777" w:rsidR="00221CE1" w:rsidRPr="006E7CA9" w:rsidRDefault="00221CE1" w:rsidP="00E47126">
            <w:pPr>
              <w:spacing w:after="0" w:line="240" w:lineRule="auto"/>
              <w:ind w:left="330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sz w:val="24"/>
                <w:szCs w:val="24"/>
              </w:rPr>
              <w:t>Female</w:t>
            </w:r>
          </w:p>
        </w:tc>
        <w:tc>
          <w:tcPr>
            <w:tcW w:w="1779" w:type="dxa"/>
          </w:tcPr>
          <w:p w14:paraId="6CA210FC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84 (20.7)</w:t>
            </w:r>
          </w:p>
        </w:tc>
        <w:tc>
          <w:tcPr>
            <w:tcW w:w="1846" w:type="dxa"/>
          </w:tcPr>
          <w:p w14:paraId="20727EFF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87 (21.6)</w:t>
            </w:r>
          </w:p>
        </w:tc>
        <w:tc>
          <w:tcPr>
            <w:tcW w:w="1928" w:type="dxa"/>
          </w:tcPr>
          <w:p w14:paraId="637EC265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54 (25.5)</w:t>
            </w:r>
          </w:p>
        </w:tc>
        <w:tc>
          <w:tcPr>
            <w:tcW w:w="1846" w:type="dxa"/>
          </w:tcPr>
          <w:p w14:paraId="10F47AA8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39 (21.2)</w:t>
            </w:r>
          </w:p>
        </w:tc>
      </w:tr>
      <w:tr w:rsidR="006E7CA9" w:rsidRPr="006E7CA9" w14:paraId="377CD91D" w14:textId="77777777" w:rsidTr="004F5467">
        <w:trPr>
          <w:trHeight w:val="268"/>
        </w:trPr>
        <w:tc>
          <w:tcPr>
            <w:tcW w:w="2808" w:type="dxa"/>
          </w:tcPr>
          <w:p w14:paraId="69E0C5A4" w14:textId="77777777" w:rsidR="00221CE1" w:rsidRPr="006E7CA9" w:rsidRDefault="00221CE1" w:rsidP="00E47126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Tumor stage</w:t>
            </w:r>
          </w:p>
        </w:tc>
        <w:tc>
          <w:tcPr>
            <w:tcW w:w="1779" w:type="dxa"/>
            <w:tcBorders>
              <w:bottom w:val="single" w:sz="4" w:space="0" w:color="auto"/>
            </w:tcBorders>
          </w:tcPr>
          <w:p w14:paraId="6F0B0768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6" w:type="dxa"/>
            <w:tcBorders>
              <w:bottom w:val="single" w:sz="4" w:space="0" w:color="auto"/>
            </w:tcBorders>
          </w:tcPr>
          <w:p w14:paraId="15281107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8" w:type="dxa"/>
            <w:tcBorders>
              <w:bottom w:val="single" w:sz="4" w:space="0" w:color="auto"/>
            </w:tcBorders>
          </w:tcPr>
          <w:p w14:paraId="3D21F0EA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7CA9">
              <w:rPr>
                <w:rFonts w:eastAsia="Calibri" w:hAnsi="Calibri"/>
                <w:kern w:val="24"/>
              </w:rPr>
              <w:t> </w:t>
            </w:r>
          </w:p>
        </w:tc>
        <w:tc>
          <w:tcPr>
            <w:tcW w:w="1846" w:type="dxa"/>
            <w:tcBorders>
              <w:bottom w:val="single" w:sz="4" w:space="0" w:color="auto"/>
            </w:tcBorders>
          </w:tcPr>
          <w:p w14:paraId="5A2423C3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7CA9">
              <w:rPr>
                <w:rFonts w:eastAsia="Calibri" w:hAnsi="Calibri"/>
                <w:kern w:val="24"/>
              </w:rPr>
              <w:t> </w:t>
            </w:r>
          </w:p>
        </w:tc>
      </w:tr>
      <w:tr w:rsidR="006E7CA9" w:rsidRPr="006E7CA9" w14:paraId="74FB99EC" w14:textId="77777777" w:rsidTr="004F5467">
        <w:trPr>
          <w:trHeight w:val="278"/>
        </w:trPr>
        <w:tc>
          <w:tcPr>
            <w:tcW w:w="2808" w:type="dxa"/>
            <w:tcBorders>
              <w:right w:val="single" w:sz="4" w:space="0" w:color="auto"/>
            </w:tcBorders>
          </w:tcPr>
          <w:p w14:paraId="4BA20F3E" w14:textId="77777777" w:rsidR="00221CE1" w:rsidRPr="006E7CA9" w:rsidRDefault="00221CE1" w:rsidP="00E47126">
            <w:pPr>
              <w:spacing w:after="0" w:line="240" w:lineRule="auto"/>
              <w:ind w:left="330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sz w:val="24"/>
                <w:szCs w:val="24"/>
              </w:rPr>
              <w:t>&lt;pT2/pT2</w:t>
            </w:r>
          </w:p>
        </w:tc>
        <w:tc>
          <w:tcPr>
            <w:tcW w:w="1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32F91F8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104 (25.6)</w:t>
            </w:r>
          </w:p>
        </w:tc>
        <w:tc>
          <w:tcPr>
            <w:tcW w:w="1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FFA5C4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101 (25.1)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745C4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38 (17.9)</w:t>
            </w:r>
          </w:p>
        </w:tc>
        <w:tc>
          <w:tcPr>
            <w:tcW w:w="1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8C49E4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36 (19.6)</w:t>
            </w:r>
          </w:p>
        </w:tc>
      </w:tr>
      <w:tr w:rsidR="006E7CA9" w:rsidRPr="006E7CA9" w14:paraId="0EDFDD14" w14:textId="77777777" w:rsidTr="004F5467">
        <w:trPr>
          <w:trHeight w:val="278"/>
        </w:trPr>
        <w:tc>
          <w:tcPr>
            <w:tcW w:w="2808" w:type="dxa"/>
            <w:tcBorders>
              <w:right w:val="single" w:sz="4" w:space="0" w:color="auto"/>
            </w:tcBorders>
          </w:tcPr>
          <w:p w14:paraId="734CFABA" w14:textId="77777777" w:rsidR="00221CE1" w:rsidRPr="006E7CA9" w:rsidRDefault="00221CE1" w:rsidP="00E47126">
            <w:pPr>
              <w:spacing w:after="0" w:line="240" w:lineRule="auto"/>
              <w:ind w:left="330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sz w:val="24"/>
                <w:szCs w:val="24"/>
              </w:rPr>
              <w:t>pT3/pT4</w:t>
            </w:r>
          </w:p>
        </w:tc>
        <w:tc>
          <w:tcPr>
            <w:tcW w:w="1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3BA57B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302 (74.4)</w:t>
            </w:r>
          </w:p>
        </w:tc>
        <w:tc>
          <w:tcPr>
            <w:tcW w:w="1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A485FE2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302 (74.9)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35935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174 (82.1)</w:t>
            </w:r>
          </w:p>
        </w:tc>
        <w:tc>
          <w:tcPr>
            <w:tcW w:w="1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D24CFA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148 (80.4)</w:t>
            </w:r>
          </w:p>
        </w:tc>
      </w:tr>
      <w:tr w:rsidR="006E7CA9" w:rsidRPr="006E7CA9" w14:paraId="2EEB54A0" w14:textId="77777777" w:rsidTr="004F5467">
        <w:trPr>
          <w:trHeight w:val="268"/>
        </w:trPr>
        <w:tc>
          <w:tcPr>
            <w:tcW w:w="2808" w:type="dxa"/>
          </w:tcPr>
          <w:p w14:paraId="3D30FBF7" w14:textId="77777777" w:rsidR="00221CE1" w:rsidRPr="006E7CA9" w:rsidRDefault="00221CE1" w:rsidP="00E47126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Nodal status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14:paraId="1B3F194F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6" w:type="dxa"/>
            <w:tcBorders>
              <w:top w:val="single" w:sz="4" w:space="0" w:color="auto"/>
              <w:bottom w:val="single" w:sz="4" w:space="0" w:color="auto"/>
            </w:tcBorders>
          </w:tcPr>
          <w:p w14:paraId="5EBAB8B9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C4D86EC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 </w:t>
            </w:r>
          </w:p>
        </w:tc>
        <w:tc>
          <w:tcPr>
            <w:tcW w:w="184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53DCCED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 </w:t>
            </w:r>
          </w:p>
        </w:tc>
      </w:tr>
      <w:tr w:rsidR="006E7CA9" w:rsidRPr="006E7CA9" w14:paraId="3F3723C4" w14:textId="77777777" w:rsidTr="004F5467">
        <w:trPr>
          <w:trHeight w:val="278"/>
        </w:trPr>
        <w:tc>
          <w:tcPr>
            <w:tcW w:w="2808" w:type="dxa"/>
            <w:tcBorders>
              <w:right w:val="single" w:sz="4" w:space="0" w:color="auto"/>
            </w:tcBorders>
          </w:tcPr>
          <w:p w14:paraId="151A3E44" w14:textId="77777777" w:rsidR="00221CE1" w:rsidRPr="006E7CA9" w:rsidRDefault="00221CE1" w:rsidP="00E47126">
            <w:pPr>
              <w:spacing w:after="0" w:line="240" w:lineRule="auto"/>
              <w:ind w:left="330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sz w:val="24"/>
                <w:szCs w:val="24"/>
              </w:rPr>
              <w:t>Negative</w:t>
            </w:r>
          </w:p>
        </w:tc>
        <w:tc>
          <w:tcPr>
            <w:tcW w:w="1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AD37CC3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194 (47.8)</w:t>
            </w:r>
          </w:p>
        </w:tc>
        <w:tc>
          <w:tcPr>
            <w:tcW w:w="1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E661850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195 (48.4)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BF75DF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109 (51.4)</w:t>
            </w:r>
          </w:p>
        </w:tc>
        <w:tc>
          <w:tcPr>
            <w:tcW w:w="1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19F0C9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85 (46.2)</w:t>
            </w:r>
          </w:p>
        </w:tc>
      </w:tr>
      <w:tr w:rsidR="006E7CA9" w:rsidRPr="006E7CA9" w14:paraId="0231BB3B" w14:textId="77777777" w:rsidTr="004F5467">
        <w:trPr>
          <w:trHeight w:val="268"/>
        </w:trPr>
        <w:tc>
          <w:tcPr>
            <w:tcW w:w="2808" w:type="dxa"/>
            <w:tcBorders>
              <w:right w:val="single" w:sz="4" w:space="0" w:color="auto"/>
            </w:tcBorders>
          </w:tcPr>
          <w:p w14:paraId="4163DA63" w14:textId="77777777" w:rsidR="00221CE1" w:rsidRPr="006E7CA9" w:rsidRDefault="00221CE1" w:rsidP="00E47126">
            <w:pPr>
              <w:spacing w:after="0" w:line="240" w:lineRule="auto"/>
              <w:ind w:left="330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sz w:val="24"/>
                <w:szCs w:val="24"/>
              </w:rPr>
              <w:t>Positive</w:t>
            </w:r>
          </w:p>
        </w:tc>
        <w:tc>
          <w:tcPr>
            <w:tcW w:w="1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EBDED0B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212 (52.2)</w:t>
            </w:r>
          </w:p>
        </w:tc>
        <w:tc>
          <w:tcPr>
            <w:tcW w:w="1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73B9A1C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208 (51.6)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93F937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103 (48.6)</w:t>
            </w:r>
          </w:p>
        </w:tc>
        <w:tc>
          <w:tcPr>
            <w:tcW w:w="1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CC930A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99 (53.8)</w:t>
            </w:r>
          </w:p>
        </w:tc>
      </w:tr>
      <w:tr w:rsidR="006E7CA9" w:rsidRPr="006E7CA9" w14:paraId="06C5C781" w14:textId="77777777" w:rsidTr="004F5467">
        <w:trPr>
          <w:trHeight w:val="557"/>
        </w:trPr>
        <w:tc>
          <w:tcPr>
            <w:tcW w:w="2808" w:type="dxa"/>
          </w:tcPr>
          <w:p w14:paraId="48E87CAE" w14:textId="77777777" w:rsidR="00221CE1" w:rsidRPr="006E7CA9" w:rsidRDefault="00221CE1" w:rsidP="00E47126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Prior neoadjuvant or adjuvant treatment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14:paraId="1A040C89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6" w:type="dxa"/>
            <w:tcBorders>
              <w:top w:val="single" w:sz="4" w:space="0" w:color="auto"/>
              <w:bottom w:val="single" w:sz="4" w:space="0" w:color="auto"/>
            </w:tcBorders>
          </w:tcPr>
          <w:p w14:paraId="2861AEC6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67AB4F3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 </w:t>
            </w:r>
          </w:p>
        </w:tc>
        <w:tc>
          <w:tcPr>
            <w:tcW w:w="184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C7CB201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 </w:t>
            </w:r>
          </w:p>
        </w:tc>
      </w:tr>
      <w:tr w:rsidR="006E7CA9" w:rsidRPr="006E7CA9" w14:paraId="608589EF" w14:textId="77777777" w:rsidTr="004F5467">
        <w:trPr>
          <w:trHeight w:val="268"/>
        </w:trPr>
        <w:tc>
          <w:tcPr>
            <w:tcW w:w="2808" w:type="dxa"/>
            <w:tcBorders>
              <w:right w:val="single" w:sz="4" w:space="0" w:color="auto"/>
            </w:tcBorders>
          </w:tcPr>
          <w:p w14:paraId="6C834C25" w14:textId="77777777" w:rsidR="00221CE1" w:rsidRPr="006E7CA9" w:rsidRDefault="00221CE1" w:rsidP="00E47126">
            <w:pPr>
              <w:spacing w:after="0" w:line="240" w:lineRule="auto"/>
              <w:ind w:left="330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1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0D0EB2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210 (51.7)</w:t>
            </w:r>
          </w:p>
        </w:tc>
        <w:tc>
          <w:tcPr>
            <w:tcW w:w="1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3F981D5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214 (53.1)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F68094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120 (56.6)</w:t>
            </w:r>
          </w:p>
        </w:tc>
        <w:tc>
          <w:tcPr>
            <w:tcW w:w="1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AF6A16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103 (56.0)</w:t>
            </w:r>
          </w:p>
        </w:tc>
      </w:tr>
      <w:tr w:rsidR="006E7CA9" w:rsidRPr="006E7CA9" w14:paraId="50279ED3" w14:textId="77777777" w:rsidTr="004F5467">
        <w:trPr>
          <w:trHeight w:val="278"/>
        </w:trPr>
        <w:tc>
          <w:tcPr>
            <w:tcW w:w="2808" w:type="dxa"/>
            <w:tcBorders>
              <w:right w:val="single" w:sz="4" w:space="0" w:color="auto"/>
            </w:tcBorders>
          </w:tcPr>
          <w:p w14:paraId="7E097BA6" w14:textId="77777777" w:rsidR="00221CE1" w:rsidRPr="006E7CA9" w:rsidRDefault="00221CE1" w:rsidP="00E47126">
            <w:pPr>
              <w:spacing w:after="0" w:line="240" w:lineRule="auto"/>
              <w:ind w:left="330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sz w:val="24"/>
                <w:szCs w:val="24"/>
              </w:rPr>
              <w:t>Yes</w:t>
            </w:r>
          </w:p>
        </w:tc>
        <w:tc>
          <w:tcPr>
            <w:tcW w:w="1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CD989BD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196 (48.3)</w:t>
            </w:r>
          </w:p>
        </w:tc>
        <w:tc>
          <w:tcPr>
            <w:tcW w:w="1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085EA01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189 (46.9)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6F1A1B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92 (43.4)</w:t>
            </w:r>
          </w:p>
        </w:tc>
        <w:tc>
          <w:tcPr>
            <w:tcW w:w="1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494D50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81 (44.0)</w:t>
            </w:r>
          </w:p>
        </w:tc>
      </w:tr>
      <w:tr w:rsidR="006E7CA9" w:rsidRPr="006E7CA9" w14:paraId="058D60A3" w14:textId="77777777" w:rsidTr="004F5467">
        <w:trPr>
          <w:trHeight w:val="547"/>
        </w:trPr>
        <w:tc>
          <w:tcPr>
            <w:tcW w:w="2808" w:type="dxa"/>
          </w:tcPr>
          <w:p w14:paraId="1B04D74D" w14:textId="77777777" w:rsidR="00221CE1" w:rsidRPr="006E7CA9" w:rsidRDefault="00221CE1" w:rsidP="00E47126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ECOG performance status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14:paraId="23C465DD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6" w:type="dxa"/>
            <w:tcBorders>
              <w:top w:val="single" w:sz="4" w:space="0" w:color="auto"/>
              <w:bottom w:val="single" w:sz="4" w:space="0" w:color="auto"/>
            </w:tcBorders>
          </w:tcPr>
          <w:p w14:paraId="40848E4D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853F099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</w:p>
        </w:tc>
        <w:tc>
          <w:tcPr>
            <w:tcW w:w="184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741E225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</w:p>
        </w:tc>
      </w:tr>
      <w:tr w:rsidR="006E7CA9" w:rsidRPr="006E7CA9" w14:paraId="0A500292" w14:textId="77777777" w:rsidTr="004F5467">
        <w:trPr>
          <w:trHeight w:val="278"/>
        </w:trPr>
        <w:tc>
          <w:tcPr>
            <w:tcW w:w="2808" w:type="dxa"/>
          </w:tcPr>
          <w:p w14:paraId="1BC113BA" w14:textId="77777777" w:rsidR="00221CE1" w:rsidRPr="006E7CA9" w:rsidRDefault="00221CE1" w:rsidP="00E47126">
            <w:pPr>
              <w:spacing w:after="0" w:line="240" w:lineRule="auto"/>
              <w:ind w:left="330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14:paraId="591E771F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248 (61.1)</w:t>
            </w:r>
          </w:p>
        </w:tc>
        <w:tc>
          <w:tcPr>
            <w:tcW w:w="1846" w:type="dxa"/>
            <w:tcBorders>
              <w:top w:val="single" w:sz="4" w:space="0" w:color="auto"/>
              <w:bottom w:val="single" w:sz="4" w:space="0" w:color="auto"/>
            </w:tcBorders>
          </w:tcPr>
          <w:p w14:paraId="00CCD514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259 (64.3)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</w:tcPr>
          <w:p w14:paraId="4D171A8F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132 (62.3)</w:t>
            </w:r>
          </w:p>
        </w:tc>
        <w:tc>
          <w:tcPr>
            <w:tcW w:w="1846" w:type="dxa"/>
            <w:tcBorders>
              <w:top w:val="single" w:sz="4" w:space="0" w:color="auto"/>
              <w:bottom w:val="single" w:sz="4" w:space="0" w:color="auto"/>
            </w:tcBorders>
          </w:tcPr>
          <w:p w14:paraId="0A62C5EE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119 (64.7)</w:t>
            </w:r>
          </w:p>
        </w:tc>
      </w:tr>
      <w:tr w:rsidR="006E7CA9" w:rsidRPr="006E7CA9" w14:paraId="79B10626" w14:textId="77777777" w:rsidTr="004F5467">
        <w:trPr>
          <w:trHeight w:val="268"/>
        </w:trPr>
        <w:tc>
          <w:tcPr>
            <w:tcW w:w="2808" w:type="dxa"/>
          </w:tcPr>
          <w:p w14:paraId="3A7F5CFA" w14:textId="77777777" w:rsidR="00221CE1" w:rsidRPr="006E7CA9" w:rsidRDefault="00221CE1" w:rsidP="00E47126">
            <w:pPr>
              <w:spacing w:after="0" w:line="240" w:lineRule="auto"/>
              <w:ind w:left="330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14:paraId="431EB6AA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142 (35.0)</w:t>
            </w:r>
          </w:p>
        </w:tc>
        <w:tc>
          <w:tcPr>
            <w:tcW w:w="1846" w:type="dxa"/>
            <w:tcBorders>
              <w:top w:val="single" w:sz="4" w:space="0" w:color="auto"/>
              <w:bottom w:val="single" w:sz="4" w:space="0" w:color="auto"/>
            </w:tcBorders>
          </w:tcPr>
          <w:p w14:paraId="0C527B6A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130 (32.3)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</w:tcPr>
          <w:p w14:paraId="53555B50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73 (34.4)</w:t>
            </w:r>
          </w:p>
        </w:tc>
        <w:tc>
          <w:tcPr>
            <w:tcW w:w="1846" w:type="dxa"/>
            <w:tcBorders>
              <w:top w:val="single" w:sz="4" w:space="0" w:color="auto"/>
              <w:bottom w:val="single" w:sz="4" w:space="0" w:color="auto"/>
            </w:tcBorders>
          </w:tcPr>
          <w:p w14:paraId="0C9CE2AF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57 (31.0)</w:t>
            </w:r>
          </w:p>
        </w:tc>
      </w:tr>
      <w:tr w:rsidR="006E7CA9" w:rsidRPr="006E7CA9" w14:paraId="0E6DC92F" w14:textId="77777777" w:rsidTr="004F5467">
        <w:trPr>
          <w:trHeight w:val="278"/>
        </w:trPr>
        <w:tc>
          <w:tcPr>
            <w:tcW w:w="2808" w:type="dxa"/>
          </w:tcPr>
          <w:p w14:paraId="1745D0F3" w14:textId="77777777" w:rsidR="00221CE1" w:rsidRPr="006E7CA9" w:rsidRDefault="00221CE1" w:rsidP="00E47126">
            <w:pPr>
              <w:spacing w:after="0" w:line="240" w:lineRule="auto"/>
              <w:ind w:left="330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14:paraId="6C6DB88A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16 (3.9)</w:t>
            </w:r>
          </w:p>
        </w:tc>
        <w:tc>
          <w:tcPr>
            <w:tcW w:w="1846" w:type="dxa"/>
            <w:tcBorders>
              <w:top w:val="single" w:sz="4" w:space="0" w:color="auto"/>
              <w:bottom w:val="single" w:sz="4" w:space="0" w:color="auto"/>
            </w:tcBorders>
          </w:tcPr>
          <w:p w14:paraId="484D8429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14 (3.5)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</w:tcPr>
          <w:p w14:paraId="60D406D0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9 (4.2)</w:t>
            </w:r>
          </w:p>
        </w:tc>
        <w:tc>
          <w:tcPr>
            <w:tcW w:w="1846" w:type="dxa"/>
            <w:tcBorders>
              <w:top w:val="single" w:sz="4" w:space="0" w:color="auto"/>
              <w:bottom w:val="single" w:sz="4" w:space="0" w:color="auto"/>
            </w:tcBorders>
          </w:tcPr>
          <w:p w14:paraId="4116454F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8 (4.3)</w:t>
            </w:r>
          </w:p>
        </w:tc>
      </w:tr>
      <w:tr w:rsidR="006E7CA9" w:rsidRPr="006E7CA9" w14:paraId="50C19E7A" w14:textId="77777777" w:rsidTr="004F5467">
        <w:trPr>
          <w:trHeight w:val="268"/>
        </w:trPr>
        <w:tc>
          <w:tcPr>
            <w:tcW w:w="2808" w:type="dxa"/>
          </w:tcPr>
          <w:p w14:paraId="24CBCF9E" w14:textId="77777777" w:rsidR="00221CE1" w:rsidRPr="006E7CA9" w:rsidRDefault="00221CE1" w:rsidP="00E47126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PD-L1 status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14:paraId="39E89513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6" w:type="dxa"/>
            <w:tcBorders>
              <w:top w:val="single" w:sz="4" w:space="0" w:color="auto"/>
              <w:bottom w:val="single" w:sz="4" w:space="0" w:color="auto"/>
            </w:tcBorders>
          </w:tcPr>
          <w:p w14:paraId="2AABC7FB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B23A601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 </w:t>
            </w:r>
          </w:p>
        </w:tc>
        <w:tc>
          <w:tcPr>
            <w:tcW w:w="184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1A42238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 </w:t>
            </w:r>
          </w:p>
        </w:tc>
      </w:tr>
      <w:tr w:rsidR="006E7CA9" w:rsidRPr="006E7CA9" w14:paraId="419B21CF" w14:textId="77777777" w:rsidTr="004F5467">
        <w:trPr>
          <w:trHeight w:val="278"/>
        </w:trPr>
        <w:tc>
          <w:tcPr>
            <w:tcW w:w="2808" w:type="dxa"/>
            <w:tcBorders>
              <w:right w:val="single" w:sz="4" w:space="0" w:color="auto"/>
            </w:tcBorders>
          </w:tcPr>
          <w:p w14:paraId="2EE989E2" w14:textId="77777777" w:rsidR="00221CE1" w:rsidRPr="006E7CA9" w:rsidRDefault="00221CE1" w:rsidP="00E47126">
            <w:pPr>
              <w:spacing w:after="0" w:line="240" w:lineRule="auto"/>
              <w:ind w:left="330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sz w:val="24"/>
                <w:szCs w:val="24"/>
              </w:rPr>
              <w:t>IC 0/1</w:t>
            </w:r>
          </w:p>
        </w:tc>
        <w:tc>
          <w:tcPr>
            <w:tcW w:w="1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05B7B97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210 (51.7)</w:t>
            </w:r>
          </w:p>
        </w:tc>
        <w:tc>
          <w:tcPr>
            <w:tcW w:w="1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0A13D8C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207 (51.4)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C32111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102 (48.1)</w:t>
            </w:r>
          </w:p>
        </w:tc>
        <w:tc>
          <w:tcPr>
            <w:tcW w:w="1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850A8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83 (45.1)</w:t>
            </w:r>
          </w:p>
        </w:tc>
      </w:tr>
      <w:tr w:rsidR="006E7CA9" w:rsidRPr="006E7CA9" w14:paraId="26A44D7B" w14:textId="77777777" w:rsidTr="004F5467">
        <w:trPr>
          <w:trHeight w:val="278"/>
        </w:trPr>
        <w:tc>
          <w:tcPr>
            <w:tcW w:w="2808" w:type="dxa"/>
            <w:tcBorders>
              <w:right w:val="single" w:sz="4" w:space="0" w:color="auto"/>
            </w:tcBorders>
          </w:tcPr>
          <w:p w14:paraId="776CE7E0" w14:textId="77777777" w:rsidR="00221CE1" w:rsidRPr="006E7CA9" w:rsidRDefault="00221CE1" w:rsidP="00E47126">
            <w:pPr>
              <w:spacing w:after="0" w:line="240" w:lineRule="auto"/>
              <w:ind w:left="330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sz w:val="24"/>
                <w:szCs w:val="24"/>
              </w:rPr>
              <w:t>IC 2/3</w:t>
            </w:r>
          </w:p>
        </w:tc>
        <w:tc>
          <w:tcPr>
            <w:tcW w:w="1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0868DF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196 (48.3)</w:t>
            </w:r>
          </w:p>
        </w:tc>
        <w:tc>
          <w:tcPr>
            <w:tcW w:w="1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5AC0D73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196 (48.6)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8CD7D6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110 (51.9)</w:t>
            </w:r>
          </w:p>
        </w:tc>
        <w:tc>
          <w:tcPr>
            <w:tcW w:w="1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40E529" w14:textId="77777777" w:rsidR="00221CE1" w:rsidRPr="006E7CA9" w:rsidRDefault="00221CE1" w:rsidP="00E471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6E7CA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101 (54.9)</w:t>
            </w:r>
          </w:p>
        </w:tc>
      </w:tr>
    </w:tbl>
    <w:p w14:paraId="083D3DA1" w14:textId="77777777" w:rsidR="00221CE1" w:rsidRPr="006E7CA9" w:rsidRDefault="00221CE1" w:rsidP="00E47126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6E7CA9">
        <w:rPr>
          <w:rFonts w:ascii="Times New Roman" w:hAnsi="Times New Roman" w:cs="Times New Roman"/>
          <w:sz w:val="24"/>
          <w:szCs w:val="24"/>
        </w:rPr>
        <w:t xml:space="preserve">BEP, biomarker-evaluable population; </w:t>
      </w:r>
      <w:proofErr w:type="spellStart"/>
      <w:r w:rsidRPr="006E7CA9">
        <w:rPr>
          <w:rFonts w:ascii="Times New Roman" w:hAnsi="Times New Roman" w:cs="Times New Roman"/>
          <w:sz w:val="24"/>
          <w:szCs w:val="24"/>
        </w:rPr>
        <w:t>ctDNA</w:t>
      </w:r>
      <w:proofErr w:type="spellEnd"/>
      <w:r w:rsidRPr="006E7CA9">
        <w:rPr>
          <w:rFonts w:ascii="Times New Roman" w:hAnsi="Times New Roman" w:cs="Times New Roman"/>
          <w:sz w:val="24"/>
          <w:szCs w:val="24"/>
        </w:rPr>
        <w:t>, circulating tumor DNA; ECOG, Eastern Cooperative Oncology Group; IC, immune cells; IQR, interquartile range; ITT, intention-to-treat; PD-L1, programmed cell death ligand 1; pT, primary tumor.</w:t>
      </w:r>
    </w:p>
    <w:p w14:paraId="30720A14" w14:textId="77777777" w:rsidR="00221CE1" w:rsidRPr="006E7CA9" w:rsidRDefault="00221CE1" w:rsidP="00E47126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6E7CA9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21F96AC6" w14:textId="14FD2AD0" w:rsidR="00221CE1" w:rsidRPr="006E7CA9" w:rsidRDefault="00221CE1" w:rsidP="00E471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E7CA9">
        <w:rPr>
          <w:rFonts w:ascii="Times New Roman" w:hAnsi="Times New Roman" w:cs="Times New Roman"/>
          <w:b/>
          <w:bCs/>
          <w:caps/>
          <w:sz w:val="24"/>
          <w:szCs w:val="24"/>
        </w:rPr>
        <w:lastRenderedPageBreak/>
        <w:t>Supplementary Table</w:t>
      </w:r>
      <w:r w:rsidRPr="006E7CA9">
        <w:rPr>
          <w:rFonts w:ascii="Times New Roman" w:hAnsi="Times New Roman" w:cs="Times New Roman"/>
          <w:b/>
          <w:bCs/>
          <w:sz w:val="24"/>
          <w:szCs w:val="24"/>
        </w:rPr>
        <w:t xml:space="preserve"> 2. DFS and OS analyses of patients monitored and stratified by ctDNA detection (MRD) at the postsurgical time </w:t>
      </w:r>
      <w:proofErr w:type="gramStart"/>
      <w:r w:rsidRPr="006E7CA9">
        <w:rPr>
          <w:rFonts w:ascii="Times New Roman" w:hAnsi="Times New Roman" w:cs="Times New Roman"/>
          <w:b/>
          <w:bCs/>
          <w:sz w:val="24"/>
          <w:szCs w:val="24"/>
        </w:rPr>
        <w:t>point</w:t>
      </w:r>
      <w:proofErr w:type="gramEnd"/>
    </w:p>
    <w:p w14:paraId="748E7F2C" w14:textId="77777777" w:rsidR="00221CE1" w:rsidRPr="006E7CA9" w:rsidRDefault="00221CE1" w:rsidP="00E47126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10669" w:type="dxa"/>
        <w:tblLayout w:type="fixed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2596"/>
        <w:gridCol w:w="1525"/>
        <w:gridCol w:w="1256"/>
        <w:gridCol w:w="1435"/>
        <w:gridCol w:w="1256"/>
        <w:gridCol w:w="1345"/>
        <w:gridCol w:w="1256"/>
      </w:tblGrid>
      <w:tr w:rsidR="006E7CA9" w:rsidRPr="006E7CA9" w14:paraId="56463149" w14:textId="77777777" w:rsidTr="004F5467">
        <w:trPr>
          <w:trHeight w:val="226"/>
        </w:trPr>
        <w:tc>
          <w:tcPr>
            <w:tcW w:w="25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44" w:type="dxa"/>
              <w:bottom w:w="0" w:type="dxa"/>
              <w:right w:w="15" w:type="dxa"/>
            </w:tcMar>
            <w:vAlign w:val="center"/>
            <w:hideMark/>
          </w:tcPr>
          <w:p w14:paraId="7881E8AC" w14:textId="77777777" w:rsidR="00221CE1" w:rsidRPr="006E7CA9" w:rsidRDefault="00221CE1" w:rsidP="00E47126">
            <w:pPr>
              <w:spacing w:after="0" w:line="240" w:lineRule="auto"/>
              <w:ind w:left="-6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b/>
                <w:bCs/>
                <w:kern w:val="24"/>
                <w:sz w:val="18"/>
                <w:szCs w:val="18"/>
              </w:rPr>
              <w:t>DFS</w:t>
            </w:r>
          </w:p>
        </w:tc>
        <w:tc>
          <w:tcPr>
            <w:tcW w:w="27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72" w:type="dxa"/>
              <w:bottom w:w="0" w:type="dxa"/>
              <w:right w:w="15" w:type="dxa"/>
            </w:tcMar>
            <w:vAlign w:val="center"/>
            <w:hideMark/>
          </w:tcPr>
          <w:p w14:paraId="2AC7F7E9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b/>
                <w:bCs/>
                <w:kern w:val="24"/>
                <w:sz w:val="18"/>
                <w:szCs w:val="18"/>
              </w:rPr>
              <w:t>ctDNA (−)</w:t>
            </w:r>
          </w:p>
        </w:tc>
        <w:tc>
          <w:tcPr>
            <w:tcW w:w="26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8" w:space="0" w:color="000000"/>
            </w:tcBorders>
            <w:shd w:val="clear" w:color="auto" w:fill="auto"/>
            <w:tcMar>
              <w:top w:w="15" w:type="dxa"/>
              <w:left w:w="72" w:type="dxa"/>
              <w:bottom w:w="0" w:type="dxa"/>
              <w:right w:w="15" w:type="dxa"/>
            </w:tcMar>
            <w:vAlign w:val="center"/>
            <w:hideMark/>
          </w:tcPr>
          <w:p w14:paraId="547E6F00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b/>
                <w:bCs/>
                <w:kern w:val="24"/>
                <w:sz w:val="18"/>
                <w:szCs w:val="18"/>
              </w:rPr>
              <w:t>ctDNA (+)</w:t>
            </w:r>
          </w:p>
        </w:tc>
        <w:tc>
          <w:tcPr>
            <w:tcW w:w="2601" w:type="dxa"/>
            <w:gridSpan w:val="2"/>
            <w:tcBorders>
              <w:top w:val="single" w:sz="4" w:space="0" w:color="auto"/>
              <w:left w:val="single" w:sz="18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72" w:type="dxa"/>
              <w:bottom w:w="0" w:type="dxa"/>
              <w:right w:w="15" w:type="dxa"/>
            </w:tcMar>
            <w:vAlign w:val="center"/>
            <w:hideMark/>
          </w:tcPr>
          <w:p w14:paraId="1175262C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b/>
                <w:bCs/>
                <w:kern w:val="24"/>
                <w:sz w:val="18"/>
                <w:szCs w:val="18"/>
              </w:rPr>
              <w:t>Observation arm (n=184)</w:t>
            </w:r>
          </w:p>
        </w:tc>
      </w:tr>
      <w:tr w:rsidR="006E7CA9" w:rsidRPr="006E7CA9" w14:paraId="3D07CB58" w14:textId="77777777" w:rsidTr="004F5467">
        <w:trPr>
          <w:trHeight w:val="226"/>
        </w:trPr>
        <w:tc>
          <w:tcPr>
            <w:tcW w:w="25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DDAC69" w14:textId="77777777" w:rsidR="00221CE1" w:rsidRPr="006E7CA9" w:rsidRDefault="00221CE1" w:rsidP="00E4712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72" w:type="dxa"/>
              <w:bottom w:w="0" w:type="dxa"/>
              <w:right w:w="15" w:type="dxa"/>
            </w:tcMar>
            <w:vAlign w:val="center"/>
            <w:hideMark/>
          </w:tcPr>
          <w:p w14:paraId="1C2C31C1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b/>
                <w:bCs/>
                <w:kern w:val="24"/>
                <w:sz w:val="18"/>
                <w:szCs w:val="18"/>
              </w:rPr>
              <w:t>Observation [ref]</w:t>
            </w:r>
          </w:p>
        </w:tc>
        <w:tc>
          <w:tcPr>
            <w:tcW w:w="1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72" w:type="dxa"/>
              <w:bottom w:w="0" w:type="dxa"/>
              <w:right w:w="15" w:type="dxa"/>
            </w:tcMar>
            <w:vAlign w:val="center"/>
            <w:hideMark/>
          </w:tcPr>
          <w:p w14:paraId="667D8B62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b/>
                <w:bCs/>
                <w:kern w:val="24"/>
                <w:sz w:val="18"/>
                <w:szCs w:val="18"/>
              </w:rPr>
              <w:t>Atezolizumab 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72" w:type="dxa"/>
              <w:bottom w:w="0" w:type="dxa"/>
              <w:right w:w="15" w:type="dxa"/>
            </w:tcMar>
            <w:vAlign w:val="center"/>
            <w:hideMark/>
          </w:tcPr>
          <w:p w14:paraId="7959195F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b/>
                <w:bCs/>
                <w:kern w:val="24"/>
                <w:sz w:val="18"/>
                <w:szCs w:val="18"/>
              </w:rPr>
              <w:t>Observation [ref]</w:t>
            </w:r>
          </w:p>
        </w:tc>
        <w:tc>
          <w:tcPr>
            <w:tcW w:w="1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8" w:space="0" w:color="000000"/>
            </w:tcBorders>
            <w:shd w:val="clear" w:color="auto" w:fill="auto"/>
            <w:tcMar>
              <w:top w:w="15" w:type="dxa"/>
              <w:left w:w="72" w:type="dxa"/>
              <w:bottom w:w="0" w:type="dxa"/>
              <w:right w:w="15" w:type="dxa"/>
            </w:tcMar>
            <w:vAlign w:val="center"/>
            <w:hideMark/>
          </w:tcPr>
          <w:p w14:paraId="6A2F4B7E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b/>
                <w:bCs/>
                <w:kern w:val="24"/>
                <w:sz w:val="18"/>
                <w:szCs w:val="18"/>
              </w:rPr>
              <w:t>Atezolizumab</w:t>
            </w:r>
          </w:p>
        </w:tc>
        <w:tc>
          <w:tcPr>
            <w:tcW w:w="1345" w:type="dxa"/>
            <w:tcBorders>
              <w:top w:val="single" w:sz="4" w:space="0" w:color="auto"/>
              <w:left w:val="single" w:sz="18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72" w:type="dxa"/>
              <w:bottom w:w="0" w:type="dxa"/>
              <w:right w:w="15" w:type="dxa"/>
            </w:tcMar>
            <w:vAlign w:val="center"/>
            <w:hideMark/>
          </w:tcPr>
          <w:p w14:paraId="337015E3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b/>
                <w:bCs/>
                <w:kern w:val="24"/>
                <w:sz w:val="18"/>
                <w:szCs w:val="18"/>
              </w:rPr>
              <w:t>ctDNA (−) [ref]</w:t>
            </w:r>
          </w:p>
        </w:tc>
        <w:tc>
          <w:tcPr>
            <w:tcW w:w="1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72" w:type="dxa"/>
              <w:bottom w:w="0" w:type="dxa"/>
              <w:right w:w="15" w:type="dxa"/>
            </w:tcMar>
            <w:vAlign w:val="center"/>
            <w:hideMark/>
          </w:tcPr>
          <w:p w14:paraId="6E047BA1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b/>
                <w:bCs/>
                <w:kern w:val="24"/>
                <w:sz w:val="18"/>
                <w:szCs w:val="18"/>
              </w:rPr>
              <w:t>ctDNA (+)</w:t>
            </w:r>
          </w:p>
        </w:tc>
      </w:tr>
      <w:tr w:rsidR="006E7CA9" w:rsidRPr="006E7CA9" w14:paraId="5AD1A70E" w14:textId="77777777" w:rsidTr="004F5467">
        <w:trPr>
          <w:trHeight w:val="226"/>
        </w:trPr>
        <w:tc>
          <w:tcPr>
            <w:tcW w:w="2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44" w:type="dxa"/>
              <w:bottom w:w="0" w:type="dxa"/>
              <w:right w:w="15" w:type="dxa"/>
            </w:tcMar>
            <w:vAlign w:val="center"/>
            <w:hideMark/>
          </w:tcPr>
          <w:p w14:paraId="6F10D28C" w14:textId="77777777" w:rsidR="00221CE1" w:rsidRPr="006E7CA9" w:rsidRDefault="00221CE1" w:rsidP="00E47126">
            <w:pPr>
              <w:spacing w:after="0" w:line="240" w:lineRule="auto"/>
              <w:ind w:left="-6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b/>
                <w:bCs/>
                <w:kern w:val="24"/>
                <w:sz w:val="18"/>
                <w:szCs w:val="18"/>
              </w:rPr>
              <w:t>Patient with events</w:t>
            </w:r>
          </w:p>
        </w:tc>
        <w:tc>
          <w:tcPr>
            <w:tcW w:w="1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736A2E0E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</w:rPr>
              <w:t>43/118 (36%)</w:t>
            </w:r>
          </w:p>
        </w:tc>
        <w:tc>
          <w:tcPr>
            <w:tcW w:w="1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4B75D030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</w:rPr>
              <w:t>69/149 (46%)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01C09A15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</w:rPr>
              <w:t>60/66 (91%)</w:t>
            </w:r>
          </w:p>
        </w:tc>
        <w:tc>
          <w:tcPr>
            <w:tcW w:w="1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8" w:space="0" w:color="000000"/>
            </w:tcBorders>
            <w:shd w:val="clear" w:color="auto" w:fill="auto"/>
            <w:tcMar>
              <w:top w:w="15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54E3C688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</w:rPr>
              <w:t>47/63 (75%)</w:t>
            </w:r>
          </w:p>
        </w:tc>
        <w:tc>
          <w:tcPr>
            <w:tcW w:w="1345" w:type="dxa"/>
            <w:tcBorders>
              <w:top w:val="single" w:sz="4" w:space="0" w:color="auto"/>
              <w:left w:val="single" w:sz="18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4144445F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</w:rPr>
              <w:t>43/118 (36%)</w:t>
            </w:r>
          </w:p>
        </w:tc>
        <w:tc>
          <w:tcPr>
            <w:tcW w:w="1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72FFCFBE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</w:rPr>
              <w:t>60/66 (91%)</w:t>
            </w:r>
          </w:p>
        </w:tc>
      </w:tr>
      <w:tr w:rsidR="006E7CA9" w:rsidRPr="006E7CA9" w14:paraId="4EBED8BD" w14:textId="77777777" w:rsidTr="004F5467">
        <w:trPr>
          <w:trHeight w:val="226"/>
        </w:trPr>
        <w:tc>
          <w:tcPr>
            <w:tcW w:w="2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44" w:type="dxa"/>
              <w:bottom w:w="0" w:type="dxa"/>
              <w:right w:w="15" w:type="dxa"/>
            </w:tcMar>
            <w:vAlign w:val="center"/>
            <w:hideMark/>
          </w:tcPr>
          <w:p w14:paraId="3802A7D1" w14:textId="77777777" w:rsidR="00221CE1" w:rsidRPr="006E7CA9" w:rsidRDefault="00221CE1" w:rsidP="00E47126">
            <w:pPr>
              <w:spacing w:after="0" w:line="240" w:lineRule="auto"/>
              <w:ind w:left="-60"/>
              <w:rPr>
                <w:rFonts w:ascii="Times New Roman" w:eastAsia="Times New Roman" w:hAnsi="Times New Roman" w:cs="Times New Roman"/>
                <w:b/>
                <w:bCs/>
                <w:kern w:val="24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b/>
                <w:bCs/>
                <w:kern w:val="24"/>
                <w:sz w:val="18"/>
                <w:szCs w:val="18"/>
              </w:rPr>
              <w:t>Median DFS (95% CI), months</w:t>
            </w:r>
          </w:p>
        </w:tc>
        <w:tc>
          <w:tcPr>
            <w:tcW w:w="1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58ECCDB3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</w:rPr>
              <w:t>NR</w:t>
            </w:r>
          </w:p>
        </w:tc>
        <w:tc>
          <w:tcPr>
            <w:tcW w:w="1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0F9C1E87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</w:rPr>
              <w:t>NR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734BD3FE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</w:rPr>
              <w:t>3.0 (2.9-5.5)</w:t>
            </w:r>
          </w:p>
        </w:tc>
        <w:tc>
          <w:tcPr>
            <w:tcW w:w="1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8" w:space="0" w:color="000000"/>
            </w:tcBorders>
            <w:shd w:val="clear" w:color="auto" w:fill="auto"/>
            <w:tcMar>
              <w:top w:w="15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3F10A4E5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</w:rPr>
              <w:t>5.9 (5.6-13.9)</w:t>
            </w:r>
          </w:p>
        </w:tc>
        <w:tc>
          <w:tcPr>
            <w:tcW w:w="1345" w:type="dxa"/>
            <w:tcBorders>
              <w:top w:val="single" w:sz="4" w:space="0" w:color="auto"/>
              <w:left w:val="single" w:sz="18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7C92B523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</w:rPr>
              <w:t>NR</w:t>
            </w:r>
          </w:p>
        </w:tc>
        <w:tc>
          <w:tcPr>
            <w:tcW w:w="1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233BF8A7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</w:rPr>
              <w:t>3.0 (2.9-5.5)</w:t>
            </w:r>
          </w:p>
        </w:tc>
      </w:tr>
      <w:tr w:rsidR="006E7CA9" w:rsidRPr="006E7CA9" w14:paraId="03A4AD08" w14:textId="77777777" w:rsidTr="004F5467">
        <w:trPr>
          <w:trHeight w:val="226"/>
        </w:trPr>
        <w:tc>
          <w:tcPr>
            <w:tcW w:w="2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44" w:type="dxa"/>
              <w:bottom w:w="0" w:type="dxa"/>
              <w:right w:w="15" w:type="dxa"/>
            </w:tcMar>
            <w:vAlign w:val="center"/>
            <w:hideMark/>
          </w:tcPr>
          <w:p w14:paraId="0A8D9BBC" w14:textId="77777777" w:rsidR="00221CE1" w:rsidRPr="006E7CA9" w:rsidRDefault="00221CE1" w:rsidP="00E47126">
            <w:pPr>
              <w:spacing w:after="0" w:line="240" w:lineRule="auto"/>
              <w:ind w:left="-6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b/>
                <w:bCs/>
                <w:kern w:val="24"/>
                <w:sz w:val="18"/>
                <w:szCs w:val="18"/>
              </w:rPr>
              <w:t xml:space="preserve">HR (95% </w:t>
            </w:r>
            <w:proofErr w:type="gramStart"/>
            <w:r w:rsidRPr="006E7CA9">
              <w:rPr>
                <w:rFonts w:ascii="Times New Roman" w:eastAsia="Times New Roman" w:hAnsi="Times New Roman" w:cs="Times New Roman"/>
                <w:b/>
                <w:bCs/>
                <w:kern w:val="24"/>
                <w:sz w:val="18"/>
                <w:szCs w:val="18"/>
              </w:rPr>
              <w:t>CI)</w:t>
            </w:r>
            <w:r w:rsidRPr="006E7CA9">
              <w:rPr>
                <w:rFonts w:ascii="Times New Roman" w:eastAsia="Times New Roman" w:hAnsi="Times New Roman" w:cs="Times New Roman"/>
                <w:b/>
                <w:bCs/>
                <w:kern w:val="24"/>
                <w:position w:val="5"/>
                <w:sz w:val="18"/>
                <w:szCs w:val="18"/>
                <w:vertAlign w:val="superscript"/>
              </w:rPr>
              <w:t>a</w:t>
            </w:r>
            <w:proofErr w:type="gramEnd"/>
          </w:p>
        </w:tc>
        <w:tc>
          <w:tcPr>
            <w:tcW w:w="27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759C434D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</w:rPr>
              <w:t>1.28 (0.88-1.88)</w:t>
            </w:r>
          </w:p>
        </w:tc>
        <w:tc>
          <w:tcPr>
            <w:tcW w:w="26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8" w:space="0" w:color="000000"/>
            </w:tcBorders>
            <w:shd w:val="clear" w:color="auto" w:fill="auto"/>
            <w:tcMar>
              <w:top w:w="15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06CED02C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</w:rPr>
              <w:t>0.56 (0.38-0.83)</w:t>
            </w:r>
          </w:p>
        </w:tc>
        <w:tc>
          <w:tcPr>
            <w:tcW w:w="2601" w:type="dxa"/>
            <w:gridSpan w:val="2"/>
            <w:tcBorders>
              <w:top w:val="single" w:sz="4" w:space="0" w:color="auto"/>
              <w:left w:val="single" w:sz="18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4714CA60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</w:rPr>
              <w:t>5.77 (3.84-8.67)</w:t>
            </w:r>
          </w:p>
        </w:tc>
      </w:tr>
      <w:tr w:rsidR="006E7CA9" w:rsidRPr="006E7CA9" w14:paraId="7D02136C" w14:textId="77777777" w:rsidTr="004F5467">
        <w:trPr>
          <w:trHeight w:val="226"/>
        </w:trPr>
        <w:tc>
          <w:tcPr>
            <w:tcW w:w="2596" w:type="dxa"/>
            <w:tcBorders>
              <w:top w:val="single" w:sz="4" w:space="0" w:color="auto"/>
              <w:left w:val="single" w:sz="4" w:space="0" w:color="auto"/>
              <w:bottom w:val="single" w:sz="24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144" w:type="dxa"/>
              <w:bottom w:w="0" w:type="dxa"/>
              <w:right w:w="15" w:type="dxa"/>
            </w:tcMar>
            <w:vAlign w:val="center"/>
            <w:hideMark/>
          </w:tcPr>
          <w:p w14:paraId="5F8EAB73" w14:textId="77777777" w:rsidR="00221CE1" w:rsidRPr="006E7CA9" w:rsidRDefault="00221CE1" w:rsidP="00E47126">
            <w:pPr>
              <w:spacing w:after="0" w:line="240" w:lineRule="auto"/>
              <w:ind w:left="-6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b/>
                <w:bCs/>
                <w:i/>
                <w:iCs/>
                <w:kern w:val="24"/>
                <w:sz w:val="18"/>
                <w:szCs w:val="18"/>
              </w:rPr>
              <w:t>P</w:t>
            </w:r>
            <w:r w:rsidRPr="006E7CA9">
              <w:rPr>
                <w:rFonts w:ascii="Times New Roman" w:eastAsia="Times New Roman" w:hAnsi="Times New Roman" w:cs="Times New Roman"/>
                <w:b/>
                <w:bCs/>
                <w:kern w:val="24"/>
                <w:sz w:val="18"/>
                <w:szCs w:val="18"/>
              </w:rPr>
              <w:t xml:space="preserve"> value</w:t>
            </w:r>
          </w:p>
        </w:tc>
        <w:tc>
          <w:tcPr>
            <w:tcW w:w="2781" w:type="dxa"/>
            <w:gridSpan w:val="2"/>
            <w:tcBorders>
              <w:top w:val="single" w:sz="4" w:space="0" w:color="auto"/>
              <w:left w:val="single" w:sz="4" w:space="0" w:color="auto"/>
              <w:bottom w:val="single" w:sz="24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7F5446AC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</w:rPr>
              <w:t>0.195</w:t>
            </w:r>
          </w:p>
        </w:tc>
        <w:tc>
          <w:tcPr>
            <w:tcW w:w="2691" w:type="dxa"/>
            <w:gridSpan w:val="2"/>
            <w:tcBorders>
              <w:top w:val="single" w:sz="4" w:space="0" w:color="auto"/>
              <w:left w:val="single" w:sz="4" w:space="0" w:color="auto"/>
              <w:bottom w:val="single" w:sz="24" w:space="0" w:color="000000"/>
              <w:right w:val="single" w:sz="18" w:space="0" w:color="000000"/>
            </w:tcBorders>
            <w:shd w:val="clear" w:color="auto" w:fill="auto"/>
            <w:tcMar>
              <w:top w:w="15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5F2823E7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</w:rPr>
              <w:t>0.003</w:t>
            </w:r>
          </w:p>
        </w:tc>
        <w:tc>
          <w:tcPr>
            <w:tcW w:w="2601" w:type="dxa"/>
            <w:gridSpan w:val="2"/>
            <w:tcBorders>
              <w:top w:val="single" w:sz="4" w:space="0" w:color="auto"/>
              <w:left w:val="single" w:sz="18" w:space="0" w:color="000000"/>
              <w:bottom w:val="single" w:sz="24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21F632A8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</w:rPr>
              <w:t>&lt;0.0001</w:t>
            </w:r>
          </w:p>
        </w:tc>
      </w:tr>
      <w:tr w:rsidR="006E7CA9" w:rsidRPr="006E7CA9" w14:paraId="6928916C" w14:textId="77777777" w:rsidTr="004F5467">
        <w:trPr>
          <w:trHeight w:val="226"/>
        </w:trPr>
        <w:tc>
          <w:tcPr>
            <w:tcW w:w="2596" w:type="dxa"/>
            <w:vMerge w:val="restart"/>
            <w:tcBorders>
              <w:top w:val="single" w:sz="24" w:space="0" w:color="000000"/>
              <w:left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44" w:type="dxa"/>
              <w:bottom w:w="0" w:type="dxa"/>
              <w:right w:w="15" w:type="dxa"/>
            </w:tcMar>
            <w:vAlign w:val="center"/>
            <w:hideMark/>
          </w:tcPr>
          <w:p w14:paraId="53AFFF82" w14:textId="77777777" w:rsidR="00221CE1" w:rsidRPr="006E7CA9" w:rsidRDefault="00221CE1" w:rsidP="00E47126">
            <w:pPr>
              <w:spacing w:after="0" w:line="240" w:lineRule="auto"/>
              <w:ind w:left="-60"/>
              <w:rPr>
                <w:rFonts w:ascii="Times New Roman" w:eastAsia="Times New Roman" w:hAnsi="Times New Roman" w:cs="Times New Roman"/>
                <w:b/>
                <w:bCs/>
                <w:kern w:val="24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b/>
                <w:bCs/>
                <w:kern w:val="24"/>
                <w:sz w:val="18"/>
                <w:szCs w:val="18"/>
              </w:rPr>
              <w:t>OS</w:t>
            </w:r>
          </w:p>
        </w:tc>
        <w:tc>
          <w:tcPr>
            <w:tcW w:w="2781" w:type="dxa"/>
            <w:gridSpan w:val="2"/>
            <w:tcBorders>
              <w:top w:val="single" w:sz="2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21EA0003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kern w:val="24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b/>
                <w:bCs/>
                <w:kern w:val="24"/>
                <w:sz w:val="18"/>
                <w:szCs w:val="18"/>
              </w:rPr>
              <w:t>ctDNA (−)</w:t>
            </w:r>
          </w:p>
        </w:tc>
        <w:tc>
          <w:tcPr>
            <w:tcW w:w="2691" w:type="dxa"/>
            <w:gridSpan w:val="2"/>
            <w:tcBorders>
              <w:top w:val="single" w:sz="24" w:space="0" w:color="000000"/>
              <w:left w:val="single" w:sz="4" w:space="0" w:color="auto"/>
              <w:bottom w:val="single" w:sz="4" w:space="0" w:color="auto"/>
              <w:right w:val="single" w:sz="18" w:space="0" w:color="000000"/>
            </w:tcBorders>
            <w:shd w:val="clear" w:color="auto" w:fill="auto"/>
            <w:tcMar>
              <w:top w:w="15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290F2824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kern w:val="24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b/>
                <w:bCs/>
                <w:kern w:val="24"/>
                <w:sz w:val="18"/>
                <w:szCs w:val="18"/>
              </w:rPr>
              <w:t>ctDNA (+)</w:t>
            </w:r>
          </w:p>
        </w:tc>
        <w:tc>
          <w:tcPr>
            <w:tcW w:w="2601" w:type="dxa"/>
            <w:gridSpan w:val="2"/>
            <w:tcBorders>
              <w:top w:val="single" w:sz="24" w:space="0" w:color="000000"/>
              <w:left w:val="single" w:sz="18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4583B7A2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kern w:val="24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b/>
                <w:bCs/>
                <w:kern w:val="24"/>
                <w:sz w:val="18"/>
                <w:szCs w:val="18"/>
              </w:rPr>
              <w:t>Observation arm (n=184)</w:t>
            </w:r>
          </w:p>
        </w:tc>
      </w:tr>
      <w:tr w:rsidR="006E7CA9" w:rsidRPr="006E7CA9" w14:paraId="63B13415" w14:textId="77777777" w:rsidTr="004F546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71"/>
        </w:trPr>
        <w:tc>
          <w:tcPr>
            <w:tcW w:w="259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5FD8B0" w14:textId="77777777" w:rsidR="00221CE1" w:rsidRPr="006E7CA9" w:rsidRDefault="00221CE1" w:rsidP="00E4712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525" w:type="dxa"/>
            <w:tcBorders>
              <w:left w:val="single" w:sz="4" w:space="0" w:color="auto"/>
            </w:tcBorders>
            <w:shd w:val="clear" w:color="auto" w:fill="auto"/>
            <w:tcMar>
              <w:top w:w="15" w:type="dxa"/>
              <w:left w:w="72" w:type="dxa"/>
              <w:bottom w:w="0" w:type="dxa"/>
              <w:right w:w="15" w:type="dxa"/>
            </w:tcMar>
            <w:vAlign w:val="center"/>
            <w:hideMark/>
          </w:tcPr>
          <w:p w14:paraId="7C08CCD3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b/>
                <w:bCs/>
                <w:kern w:val="24"/>
                <w:sz w:val="18"/>
                <w:szCs w:val="18"/>
              </w:rPr>
              <w:t>Observation [ref]</w:t>
            </w:r>
          </w:p>
        </w:tc>
        <w:tc>
          <w:tcPr>
            <w:tcW w:w="1256" w:type="dxa"/>
            <w:shd w:val="clear" w:color="auto" w:fill="auto"/>
            <w:tcMar>
              <w:top w:w="15" w:type="dxa"/>
              <w:left w:w="72" w:type="dxa"/>
              <w:bottom w:w="0" w:type="dxa"/>
              <w:right w:w="15" w:type="dxa"/>
            </w:tcMar>
            <w:vAlign w:val="center"/>
            <w:hideMark/>
          </w:tcPr>
          <w:p w14:paraId="78A6A246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b/>
                <w:bCs/>
                <w:kern w:val="24"/>
                <w:sz w:val="18"/>
                <w:szCs w:val="18"/>
              </w:rPr>
              <w:t>Atezolizumab</w:t>
            </w:r>
          </w:p>
        </w:tc>
        <w:tc>
          <w:tcPr>
            <w:tcW w:w="1435" w:type="dxa"/>
            <w:shd w:val="clear" w:color="auto" w:fill="auto"/>
            <w:tcMar>
              <w:top w:w="15" w:type="dxa"/>
              <w:left w:w="72" w:type="dxa"/>
              <w:bottom w:w="0" w:type="dxa"/>
              <w:right w:w="15" w:type="dxa"/>
            </w:tcMar>
            <w:vAlign w:val="center"/>
            <w:hideMark/>
          </w:tcPr>
          <w:p w14:paraId="2BAC5FBA" w14:textId="77777777" w:rsidR="00221CE1" w:rsidRPr="006E7CA9" w:rsidRDefault="00221CE1" w:rsidP="00E4712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b/>
                <w:bCs/>
                <w:kern w:val="24"/>
                <w:sz w:val="18"/>
                <w:szCs w:val="18"/>
              </w:rPr>
              <w:t>Observation [ref]</w:t>
            </w:r>
          </w:p>
        </w:tc>
        <w:tc>
          <w:tcPr>
            <w:tcW w:w="1256" w:type="dxa"/>
            <w:tcBorders>
              <w:right w:val="single" w:sz="18" w:space="0" w:color="000000"/>
            </w:tcBorders>
            <w:shd w:val="clear" w:color="auto" w:fill="auto"/>
            <w:tcMar>
              <w:top w:w="15" w:type="dxa"/>
              <w:left w:w="72" w:type="dxa"/>
              <w:bottom w:w="0" w:type="dxa"/>
              <w:right w:w="15" w:type="dxa"/>
            </w:tcMar>
            <w:vAlign w:val="center"/>
            <w:hideMark/>
          </w:tcPr>
          <w:p w14:paraId="0EE125A2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b/>
                <w:bCs/>
                <w:kern w:val="24"/>
                <w:sz w:val="18"/>
                <w:szCs w:val="18"/>
              </w:rPr>
              <w:t>Atezolizumab</w:t>
            </w:r>
          </w:p>
        </w:tc>
        <w:tc>
          <w:tcPr>
            <w:tcW w:w="1345" w:type="dxa"/>
            <w:tcBorders>
              <w:left w:val="single" w:sz="18" w:space="0" w:color="000000"/>
            </w:tcBorders>
            <w:shd w:val="clear" w:color="auto" w:fill="auto"/>
            <w:tcMar>
              <w:top w:w="15" w:type="dxa"/>
              <w:left w:w="72" w:type="dxa"/>
              <w:bottom w:w="0" w:type="dxa"/>
              <w:right w:w="15" w:type="dxa"/>
            </w:tcMar>
            <w:vAlign w:val="center"/>
            <w:hideMark/>
          </w:tcPr>
          <w:p w14:paraId="6E6D8121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b/>
                <w:bCs/>
                <w:kern w:val="24"/>
                <w:sz w:val="18"/>
                <w:szCs w:val="18"/>
              </w:rPr>
              <w:t>ctDNA (−) [ref]</w:t>
            </w:r>
          </w:p>
        </w:tc>
        <w:tc>
          <w:tcPr>
            <w:tcW w:w="1256" w:type="dxa"/>
            <w:shd w:val="clear" w:color="auto" w:fill="auto"/>
            <w:tcMar>
              <w:top w:w="15" w:type="dxa"/>
              <w:left w:w="72" w:type="dxa"/>
              <w:bottom w:w="0" w:type="dxa"/>
              <w:right w:w="15" w:type="dxa"/>
            </w:tcMar>
            <w:vAlign w:val="center"/>
            <w:hideMark/>
          </w:tcPr>
          <w:p w14:paraId="79FFC18D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b/>
                <w:bCs/>
                <w:kern w:val="24"/>
                <w:sz w:val="18"/>
                <w:szCs w:val="18"/>
              </w:rPr>
              <w:t>ctDNA (+)</w:t>
            </w:r>
          </w:p>
        </w:tc>
      </w:tr>
      <w:tr w:rsidR="006E7CA9" w:rsidRPr="006E7CA9" w14:paraId="4563184A" w14:textId="77777777" w:rsidTr="004F546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71"/>
        </w:trPr>
        <w:tc>
          <w:tcPr>
            <w:tcW w:w="2596" w:type="dxa"/>
            <w:shd w:val="clear" w:color="auto" w:fill="auto"/>
            <w:tcMar>
              <w:top w:w="15" w:type="dxa"/>
              <w:left w:w="144" w:type="dxa"/>
              <w:bottom w:w="0" w:type="dxa"/>
              <w:right w:w="15" w:type="dxa"/>
            </w:tcMar>
            <w:vAlign w:val="center"/>
            <w:hideMark/>
          </w:tcPr>
          <w:p w14:paraId="2027FF32" w14:textId="77777777" w:rsidR="00221CE1" w:rsidRPr="006E7CA9" w:rsidRDefault="00221CE1" w:rsidP="00E47126">
            <w:pPr>
              <w:spacing w:after="0" w:line="240" w:lineRule="auto"/>
              <w:ind w:left="-60"/>
              <w:rPr>
                <w:rFonts w:ascii="Times New Roman" w:eastAsia="Times New Roman" w:hAnsi="Times New Roman" w:cs="Times New Roman"/>
                <w:b/>
                <w:bCs/>
                <w:kern w:val="24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b/>
                <w:bCs/>
                <w:kern w:val="24"/>
                <w:sz w:val="18"/>
                <w:szCs w:val="18"/>
              </w:rPr>
              <w:t>Patient with events</w:t>
            </w:r>
          </w:p>
        </w:tc>
        <w:tc>
          <w:tcPr>
            <w:tcW w:w="1525" w:type="dxa"/>
            <w:shd w:val="clear" w:color="auto" w:fill="auto"/>
            <w:tcMar>
              <w:top w:w="15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3975D46A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</w:rPr>
              <w:t>21/118 (18%)</w:t>
            </w:r>
          </w:p>
        </w:tc>
        <w:tc>
          <w:tcPr>
            <w:tcW w:w="1256" w:type="dxa"/>
            <w:shd w:val="clear" w:color="auto" w:fill="auto"/>
            <w:tcMar>
              <w:top w:w="15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7862C9A3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</w:rPr>
              <w:t>33/149 (22%)</w:t>
            </w:r>
          </w:p>
        </w:tc>
        <w:tc>
          <w:tcPr>
            <w:tcW w:w="1435" w:type="dxa"/>
            <w:shd w:val="clear" w:color="auto" w:fill="auto"/>
            <w:tcMar>
              <w:top w:w="15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00DE57F9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</w:rPr>
              <w:t>41/66 (62%)</w:t>
            </w:r>
          </w:p>
        </w:tc>
        <w:tc>
          <w:tcPr>
            <w:tcW w:w="1256" w:type="dxa"/>
            <w:tcBorders>
              <w:right w:val="single" w:sz="18" w:space="0" w:color="000000"/>
            </w:tcBorders>
            <w:shd w:val="clear" w:color="auto" w:fill="auto"/>
            <w:tcMar>
              <w:top w:w="15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6CE19258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</w:rPr>
              <w:t>32/63 (51%)</w:t>
            </w:r>
          </w:p>
        </w:tc>
        <w:tc>
          <w:tcPr>
            <w:tcW w:w="1345" w:type="dxa"/>
            <w:tcBorders>
              <w:left w:val="single" w:sz="18" w:space="0" w:color="000000"/>
            </w:tcBorders>
            <w:shd w:val="clear" w:color="auto" w:fill="auto"/>
            <w:tcMar>
              <w:top w:w="15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24B81E3A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</w:rPr>
              <w:t>21/118 (18%)</w:t>
            </w:r>
          </w:p>
        </w:tc>
        <w:tc>
          <w:tcPr>
            <w:tcW w:w="1256" w:type="dxa"/>
            <w:shd w:val="clear" w:color="auto" w:fill="auto"/>
            <w:tcMar>
              <w:top w:w="15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466C576F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</w:rPr>
              <w:t>41/66 (62%)</w:t>
            </w:r>
          </w:p>
        </w:tc>
      </w:tr>
      <w:tr w:rsidR="006E7CA9" w:rsidRPr="006E7CA9" w14:paraId="2C39A6B3" w14:textId="77777777" w:rsidTr="004F546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04"/>
        </w:trPr>
        <w:tc>
          <w:tcPr>
            <w:tcW w:w="2596" w:type="dxa"/>
            <w:shd w:val="clear" w:color="auto" w:fill="auto"/>
            <w:tcMar>
              <w:top w:w="15" w:type="dxa"/>
              <w:left w:w="144" w:type="dxa"/>
              <w:bottom w:w="0" w:type="dxa"/>
              <w:right w:w="15" w:type="dxa"/>
            </w:tcMar>
            <w:vAlign w:val="center"/>
            <w:hideMark/>
          </w:tcPr>
          <w:p w14:paraId="05A795FE" w14:textId="77777777" w:rsidR="00221CE1" w:rsidRPr="006E7CA9" w:rsidRDefault="00221CE1" w:rsidP="00E47126">
            <w:pPr>
              <w:spacing w:after="0" w:line="240" w:lineRule="auto"/>
              <w:ind w:left="-60"/>
              <w:rPr>
                <w:rFonts w:ascii="Times New Roman" w:eastAsia="Times New Roman" w:hAnsi="Times New Roman" w:cs="Times New Roman"/>
                <w:b/>
                <w:bCs/>
                <w:kern w:val="24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b/>
                <w:bCs/>
                <w:kern w:val="24"/>
                <w:sz w:val="18"/>
                <w:szCs w:val="18"/>
              </w:rPr>
              <w:t>Median OS (95% CI), months</w:t>
            </w:r>
          </w:p>
        </w:tc>
        <w:tc>
          <w:tcPr>
            <w:tcW w:w="1525" w:type="dxa"/>
            <w:shd w:val="clear" w:color="auto" w:fill="auto"/>
            <w:tcMar>
              <w:top w:w="15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0931F337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</w:rPr>
              <w:t>NR</w:t>
            </w:r>
          </w:p>
        </w:tc>
        <w:tc>
          <w:tcPr>
            <w:tcW w:w="1256" w:type="dxa"/>
            <w:shd w:val="clear" w:color="auto" w:fill="auto"/>
            <w:tcMar>
              <w:top w:w="15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5C4C3276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</w:rPr>
              <w:t>NR</w:t>
            </w:r>
          </w:p>
        </w:tc>
        <w:tc>
          <w:tcPr>
            <w:tcW w:w="1435" w:type="dxa"/>
            <w:shd w:val="clear" w:color="auto" w:fill="auto"/>
            <w:tcMar>
              <w:top w:w="15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7238BC85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</w:rPr>
              <w:t>14.1 (10.5-23.0)</w:t>
            </w:r>
          </w:p>
        </w:tc>
        <w:tc>
          <w:tcPr>
            <w:tcW w:w="1256" w:type="dxa"/>
            <w:tcBorders>
              <w:right w:val="single" w:sz="18" w:space="0" w:color="000000"/>
            </w:tcBorders>
            <w:shd w:val="clear" w:color="auto" w:fill="auto"/>
            <w:tcMar>
              <w:top w:w="15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05A52A7D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</w:rPr>
              <w:t>23.1 (18.4-NE)</w:t>
            </w:r>
          </w:p>
        </w:tc>
        <w:tc>
          <w:tcPr>
            <w:tcW w:w="1345" w:type="dxa"/>
            <w:tcBorders>
              <w:left w:val="single" w:sz="18" w:space="0" w:color="000000"/>
            </w:tcBorders>
            <w:shd w:val="clear" w:color="auto" w:fill="auto"/>
            <w:tcMar>
              <w:top w:w="15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2C5BADBE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</w:rPr>
              <w:t>NR</w:t>
            </w:r>
          </w:p>
        </w:tc>
        <w:tc>
          <w:tcPr>
            <w:tcW w:w="1256" w:type="dxa"/>
            <w:shd w:val="clear" w:color="auto" w:fill="auto"/>
            <w:tcMar>
              <w:top w:w="15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54250B91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</w:rPr>
              <w:t>14.1 (10.5-23.0)</w:t>
            </w:r>
          </w:p>
        </w:tc>
      </w:tr>
      <w:tr w:rsidR="006E7CA9" w:rsidRPr="006E7CA9" w14:paraId="44F95E42" w14:textId="77777777" w:rsidTr="004F546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71"/>
        </w:trPr>
        <w:tc>
          <w:tcPr>
            <w:tcW w:w="2596" w:type="dxa"/>
            <w:shd w:val="clear" w:color="auto" w:fill="auto"/>
            <w:tcMar>
              <w:top w:w="15" w:type="dxa"/>
              <w:left w:w="144" w:type="dxa"/>
              <w:bottom w:w="0" w:type="dxa"/>
              <w:right w:w="15" w:type="dxa"/>
            </w:tcMar>
            <w:vAlign w:val="center"/>
            <w:hideMark/>
          </w:tcPr>
          <w:p w14:paraId="3ABCDF85" w14:textId="77777777" w:rsidR="00221CE1" w:rsidRPr="006E7CA9" w:rsidRDefault="00221CE1" w:rsidP="00E47126">
            <w:pPr>
              <w:spacing w:after="0" w:line="240" w:lineRule="auto"/>
              <w:ind w:left="-6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b/>
                <w:bCs/>
                <w:kern w:val="24"/>
                <w:sz w:val="18"/>
                <w:szCs w:val="18"/>
              </w:rPr>
              <w:t xml:space="preserve">HR (95% </w:t>
            </w:r>
            <w:proofErr w:type="gramStart"/>
            <w:r w:rsidRPr="006E7CA9">
              <w:rPr>
                <w:rFonts w:ascii="Times New Roman" w:eastAsia="Times New Roman" w:hAnsi="Times New Roman" w:cs="Times New Roman"/>
                <w:b/>
                <w:bCs/>
                <w:kern w:val="24"/>
                <w:sz w:val="18"/>
                <w:szCs w:val="18"/>
              </w:rPr>
              <w:t>CI)</w:t>
            </w:r>
            <w:r w:rsidRPr="006E7CA9">
              <w:rPr>
                <w:rFonts w:ascii="Times New Roman" w:eastAsia="Times New Roman" w:hAnsi="Times New Roman" w:cs="Times New Roman"/>
                <w:b/>
                <w:bCs/>
                <w:kern w:val="24"/>
                <w:position w:val="5"/>
                <w:sz w:val="18"/>
                <w:szCs w:val="18"/>
                <w:vertAlign w:val="superscript"/>
              </w:rPr>
              <w:t>a</w:t>
            </w:r>
            <w:proofErr w:type="gramEnd"/>
          </w:p>
        </w:tc>
        <w:tc>
          <w:tcPr>
            <w:tcW w:w="2781" w:type="dxa"/>
            <w:gridSpan w:val="2"/>
            <w:shd w:val="clear" w:color="auto" w:fill="auto"/>
            <w:tcMar>
              <w:top w:w="15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7AD7B785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</w:rPr>
              <w:t>1.25 (0.72-2.15)</w:t>
            </w:r>
          </w:p>
        </w:tc>
        <w:tc>
          <w:tcPr>
            <w:tcW w:w="2691" w:type="dxa"/>
            <w:gridSpan w:val="2"/>
            <w:tcBorders>
              <w:right w:val="single" w:sz="18" w:space="0" w:color="000000"/>
            </w:tcBorders>
            <w:shd w:val="clear" w:color="auto" w:fill="auto"/>
            <w:tcMar>
              <w:top w:w="15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40A87116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</w:rPr>
              <w:t>0.66 (0.42-1.05)</w:t>
            </w:r>
          </w:p>
        </w:tc>
        <w:tc>
          <w:tcPr>
            <w:tcW w:w="2601" w:type="dxa"/>
            <w:gridSpan w:val="2"/>
            <w:tcBorders>
              <w:left w:val="single" w:sz="18" w:space="0" w:color="000000"/>
            </w:tcBorders>
            <w:shd w:val="clear" w:color="auto" w:fill="auto"/>
            <w:tcMar>
              <w:top w:w="15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190737EE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</w:rPr>
              <w:t>5.81 (3.41-9.91)</w:t>
            </w:r>
          </w:p>
        </w:tc>
      </w:tr>
      <w:tr w:rsidR="006E7CA9" w:rsidRPr="006E7CA9" w14:paraId="4D0019B3" w14:textId="77777777" w:rsidTr="004F546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71"/>
        </w:trPr>
        <w:tc>
          <w:tcPr>
            <w:tcW w:w="2596" w:type="dxa"/>
            <w:shd w:val="clear" w:color="auto" w:fill="auto"/>
            <w:tcMar>
              <w:top w:w="15" w:type="dxa"/>
              <w:left w:w="144" w:type="dxa"/>
              <w:bottom w:w="0" w:type="dxa"/>
              <w:right w:w="15" w:type="dxa"/>
            </w:tcMar>
            <w:vAlign w:val="center"/>
            <w:hideMark/>
          </w:tcPr>
          <w:p w14:paraId="2DA1D7AE" w14:textId="77777777" w:rsidR="00221CE1" w:rsidRPr="006E7CA9" w:rsidRDefault="00221CE1" w:rsidP="00E47126">
            <w:pPr>
              <w:spacing w:after="0" w:line="240" w:lineRule="auto"/>
              <w:ind w:left="-6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b/>
                <w:bCs/>
                <w:i/>
                <w:iCs/>
                <w:kern w:val="24"/>
                <w:sz w:val="18"/>
                <w:szCs w:val="18"/>
              </w:rPr>
              <w:t>P</w:t>
            </w:r>
            <w:r w:rsidRPr="006E7CA9">
              <w:rPr>
                <w:rFonts w:ascii="Times New Roman" w:eastAsia="Times New Roman" w:hAnsi="Times New Roman" w:cs="Times New Roman"/>
                <w:b/>
                <w:bCs/>
                <w:kern w:val="24"/>
                <w:sz w:val="18"/>
                <w:szCs w:val="18"/>
              </w:rPr>
              <w:t xml:space="preserve"> value</w:t>
            </w:r>
          </w:p>
        </w:tc>
        <w:tc>
          <w:tcPr>
            <w:tcW w:w="2781" w:type="dxa"/>
            <w:gridSpan w:val="2"/>
            <w:shd w:val="clear" w:color="auto" w:fill="auto"/>
            <w:tcMar>
              <w:top w:w="15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34DBEF8D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</w:rPr>
              <w:t>0.432</w:t>
            </w:r>
          </w:p>
        </w:tc>
        <w:tc>
          <w:tcPr>
            <w:tcW w:w="2691" w:type="dxa"/>
            <w:gridSpan w:val="2"/>
            <w:tcBorders>
              <w:right w:val="single" w:sz="18" w:space="0" w:color="000000"/>
            </w:tcBorders>
            <w:shd w:val="clear" w:color="auto" w:fill="auto"/>
            <w:tcMar>
              <w:top w:w="15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7481B6AE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</w:rPr>
              <w:t>0.081</w:t>
            </w:r>
          </w:p>
        </w:tc>
        <w:tc>
          <w:tcPr>
            <w:tcW w:w="2601" w:type="dxa"/>
            <w:gridSpan w:val="2"/>
            <w:tcBorders>
              <w:left w:val="single" w:sz="18" w:space="0" w:color="000000"/>
            </w:tcBorders>
            <w:shd w:val="clear" w:color="auto" w:fill="auto"/>
            <w:tcMar>
              <w:top w:w="15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2F4A35D6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</w:rPr>
              <w:t>&lt;0.0001</w:t>
            </w:r>
          </w:p>
        </w:tc>
      </w:tr>
    </w:tbl>
    <w:p w14:paraId="0ABC526B" w14:textId="4F603A10" w:rsidR="00221CE1" w:rsidRPr="006E7CA9" w:rsidRDefault="003819A8" w:rsidP="00E47126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6E7CA9">
        <w:rPr>
          <w:rFonts w:ascii="Times New Roman" w:eastAsiaTheme="minorEastAsia" w:hAnsi="Times New Roman" w:cs="Times New Roman"/>
          <w:kern w:val="24"/>
          <w:position w:val="7"/>
          <w:sz w:val="24"/>
          <w:szCs w:val="24"/>
          <w:vertAlign w:val="superscript"/>
        </w:rPr>
        <w:t>a</w:t>
      </w:r>
      <w:r w:rsidRPr="006E7CA9">
        <w:rPr>
          <w:rFonts w:ascii="Times New Roman" w:eastAsiaTheme="minorEastAsia" w:hAnsi="Times New Roman" w:cs="Times New Roman"/>
          <w:kern w:val="24"/>
          <w:sz w:val="24"/>
          <w:szCs w:val="24"/>
        </w:rPr>
        <w:t xml:space="preserve">Univariable. </w:t>
      </w:r>
      <w:r w:rsidRPr="006E7CA9">
        <w:rPr>
          <w:rFonts w:ascii="Times New Roman" w:hAnsi="Times New Roman" w:cs="Times New Roman"/>
          <w:sz w:val="24"/>
          <w:szCs w:val="24"/>
        </w:rPr>
        <w:t>CI, confidence interval; ctDNA, circulating tumor DNA; DFS, disease-free survival; MRD, molecular residual disease; NE, not evaluable; NR, not reached; OS, overall survival; ref, reference.</w:t>
      </w:r>
    </w:p>
    <w:p w14:paraId="75B28F69" w14:textId="7F8020C2" w:rsidR="002A079F" w:rsidRPr="006E7CA9" w:rsidRDefault="002A079F">
      <w:pPr>
        <w:spacing w:after="160" w:line="259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6E7CA9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1BDCD7E2" w14:textId="35518837" w:rsidR="00221CE1" w:rsidRPr="006E7CA9" w:rsidRDefault="00221CE1" w:rsidP="00E471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E7CA9">
        <w:rPr>
          <w:rFonts w:ascii="Times New Roman" w:hAnsi="Times New Roman" w:cs="Times New Roman"/>
          <w:b/>
          <w:bCs/>
          <w:caps/>
          <w:sz w:val="24"/>
          <w:szCs w:val="24"/>
        </w:rPr>
        <w:lastRenderedPageBreak/>
        <w:t>Supplementary Table</w:t>
      </w:r>
      <w:r w:rsidRPr="006E7CA9">
        <w:rPr>
          <w:rFonts w:ascii="Times New Roman" w:hAnsi="Times New Roman" w:cs="Times New Roman"/>
          <w:b/>
          <w:bCs/>
          <w:sz w:val="24"/>
          <w:szCs w:val="24"/>
        </w:rPr>
        <w:t xml:space="preserve"> 3. DFS analysis by TMB in ctDNA-positive patients of the IMvigor010 study</w:t>
      </w:r>
    </w:p>
    <w:p w14:paraId="7A03DE19" w14:textId="77777777" w:rsidR="00221CE1" w:rsidRPr="006E7CA9" w:rsidRDefault="00221CE1" w:rsidP="00E47126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8725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2245"/>
        <w:gridCol w:w="1673"/>
        <w:gridCol w:w="1477"/>
        <w:gridCol w:w="1710"/>
        <w:gridCol w:w="1620"/>
      </w:tblGrid>
      <w:tr w:rsidR="006E7CA9" w:rsidRPr="006E7CA9" w14:paraId="5D14C3CC" w14:textId="77777777" w:rsidTr="004F5467">
        <w:trPr>
          <w:trHeight w:val="149"/>
        </w:trPr>
        <w:tc>
          <w:tcPr>
            <w:tcW w:w="22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14:paraId="0252C515" w14:textId="77777777" w:rsidR="00221CE1" w:rsidRPr="006E7CA9" w:rsidRDefault="00221CE1" w:rsidP="00E4712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b/>
                <w:bCs/>
                <w:kern w:val="24"/>
                <w:sz w:val="18"/>
                <w:szCs w:val="18"/>
              </w:rPr>
              <w:t>DFS</w:t>
            </w:r>
          </w:p>
        </w:tc>
        <w:tc>
          <w:tcPr>
            <w:tcW w:w="31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14:paraId="3C5F7126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b/>
                <w:bCs/>
                <w:kern w:val="24"/>
                <w:sz w:val="18"/>
                <w:szCs w:val="18"/>
              </w:rPr>
              <w:t>High TMB</w:t>
            </w:r>
          </w:p>
        </w:tc>
        <w:tc>
          <w:tcPr>
            <w:tcW w:w="33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14:paraId="34849354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b/>
                <w:bCs/>
                <w:kern w:val="24"/>
                <w:sz w:val="18"/>
                <w:szCs w:val="18"/>
              </w:rPr>
              <w:t>Low TMB</w:t>
            </w:r>
          </w:p>
        </w:tc>
      </w:tr>
      <w:tr w:rsidR="006E7CA9" w:rsidRPr="006E7CA9" w14:paraId="040A6118" w14:textId="77777777" w:rsidTr="004F5467">
        <w:trPr>
          <w:trHeight w:val="149"/>
        </w:trPr>
        <w:tc>
          <w:tcPr>
            <w:tcW w:w="224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A8517D" w14:textId="77777777" w:rsidR="00221CE1" w:rsidRPr="006E7CA9" w:rsidRDefault="00221CE1" w:rsidP="00E4712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14:paraId="544ADCDC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b/>
                <w:bCs/>
                <w:kern w:val="24"/>
                <w:sz w:val="18"/>
                <w:szCs w:val="18"/>
              </w:rPr>
              <w:t>Observation [ref]</w:t>
            </w:r>
          </w:p>
        </w:tc>
        <w:tc>
          <w:tcPr>
            <w:tcW w:w="1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14:paraId="5707C375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b/>
                <w:bCs/>
                <w:kern w:val="24"/>
                <w:sz w:val="18"/>
                <w:szCs w:val="18"/>
              </w:rPr>
              <w:t>Atezolizumab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14:paraId="5FE23525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b/>
                <w:bCs/>
                <w:kern w:val="24"/>
                <w:sz w:val="18"/>
                <w:szCs w:val="18"/>
              </w:rPr>
              <w:t>Observation [ref]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14:paraId="041DBDE3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b/>
                <w:bCs/>
                <w:kern w:val="24"/>
                <w:sz w:val="18"/>
                <w:szCs w:val="18"/>
              </w:rPr>
              <w:t>Atezolizumab</w:t>
            </w:r>
          </w:p>
        </w:tc>
      </w:tr>
      <w:tr w:rsidR="006E7CA9" w:rsidRPr="006E7CA9" w14:paraId="5EF8D017" w14:textId="77777777" w:rsidTr="004F5467">
        <w:trPr>
          <w:trHeight w:val="149"/>
        </w:trPr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FEFEF"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14:paraId="1D3B8EF7" w14:textId="77777777" w:rsidR="00221CE1" w:rsidRPr="006E7CA9" w:rsidRDefault="00221CE1" w:rsidP="00E4712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b/>
                <w:bCs/>
                <w:kern w:val="24"/>
                <w:sz w:val="18"/>
                <w:szCs w:val="18"/>
              </w:rPr>
              <w:t>Patients with events</w:t>
            </w:r>
          </w:p>
        </w:tc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FEFE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0E86AE2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</w:rPr>
              <w:t>20/20 (100%)</w:t>
            </w:r>
          </w:p>
        </w:tc>
        <w:tc>
          <w:tcPr>
            <w:tcW w:w="1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FEFE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F5908B7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</w:rPr>
              <w:t>19/27 (70%)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FEFE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5B01930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</w:rPr>
              <w:t>40/46 (87%)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FEFE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FC335EE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</w:rPr>
              <w:t>28/36 (78%)</w:t>
            </w:r>
          </w:p>
        </w:tc>
      </w:tr>
      <w:tr w:rsidR="006E7CA9" w:rsidRPr="006E7CA9" w14:paraId="2B19F302" w14:textId="77777777" w:rsidTr="004F5467">
        <w:trPr>
          <w:trHeight w:val="149"/>
        </w:trPr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14:paraId="0A53DA06" w14:textId="77777777" w:rsidR="00221CE1" w:rsidRPr="006E7CA9" w:rsidRDefault="00221CE1" w:rsidP="00E4712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b/>
                <w:bCs/>
                <w:kern w:val="24"/>
                <w:sz w:val="18"/>
                <w:szCs w:val="18"/>
              </w:rPr>
              <w:t>Median DFS (IQR), months</w:t>
            </w:r>
          </w:p>
        </w:tc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DDFDF96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</w:rPr>
              <w:t>3.8 (2.8-7.9)</w:t>
            </w:r>
          </w:p>
        </w:tc>
        <w:tc>
          <w:tcPr>
            <w:tcW w:w="1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0915B4E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</w:rPr>
              <w:t>13.9 (5.6-NE)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36882B3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</w:rPr>
              <w:t>3.0 (2.9-5.5)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B6ACBD1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</w:rPr>
              <w:t>5.6 (2.9-12.6)</w:t>
            </w:r>
          </w:p>
        </w:tc>
      </w:tr>
      <w:tr w:rsidR="006E7CA9" w:rsidRPr="006E7CA9" w14:paraId="318E5F4E" w14:textId="77777777" w:rsidTr="004F5467">
        <w:trPr>
          <w:trHeight w:val="149"/>
        </w:trPr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FEFEF"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14:paraId="1D8C64A7" w14:textId="77777777" w:rsidR="00221CE1" w:rsidRPr="006E7CA9" w:rsidRDefault="00221CE1" w:rsidP="00E4712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b/>
                <w:bCs/>
                <w:kern w:val="24"/>
                <w:sz w:val="18"/>
                <w:szCs w:val="18"/>
              </w:rPr>
              <w:t xml:space="preserve">HR (95% </w:t>
            </w:r>
            <w:proofErr w:type="gramStart"/>
            <w:r w:rsidRPr="006E7CA9">
              <w:rPr>
                <w:rFonts w:ascii="Times New Roman" w:eastAsia="Times New Roman" w:hAnsi="Times New Roman" w:cs="Times New Roman"/>
                <w:b/>
                <w:bCs/>
                <w:kern w:val="24"/>
                <w:sz w:val="18"/>
                <w:szCs w:val="18"/>
              </w:rPr>
              <w:t>CI)</w:t>
            </w:r>
            <w:r w:rsidRPr="006E7CA9">
              <w:rPr>
                <w:rFonts w:ascii="Times New Roman" w:eastAsia="Times New Roman" w:hAnsi="Times New Roman" w:cs="Times New Roman"/>
                <w:b/>
                <w:bCs/>
                <w:kern w:val="24"/>
                <w:position w:val="4"/>
                <w:sz w:val="18"/>
                <w:szCs w:val="18"/>
                <w:vertAlign w:val="superscript"/>
              </w:rPr>
              <w:t>a</w:t>
            </w:r>
            <w:proofErr w:type="gramEnd"/>
          </w:p>
        </w:tc>
        <w:tc>
          <w:tcPr>
            <w:tcW w:w="31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FEFEF"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14:paraId="2DFE14BD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</w:rPr>
              <w:t>0.31 (0.15-0.62)</w:t>
            </w:r>
          </w:p>
        </w:tc>
        <w:tc>
          <w:tcPr>
            <w:tcW w:w="33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FEFEF"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14:paraId="076E67BD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</w:rPr>
              <w:t>0.73 (0.45-1.19)</w:t>
            </w:r>
          </w:p>
        </w:tc>
      </w:tr>
      <w:tr w:rsidR="006E7CA9" w:rsidRPr="006E7CA9" w14:paraId="397B879A" w14:textId="77777777" w:rsidTr="004F5467">
        <w:trPr>
          <w:trHeight w:val="149"/>
        </w:trPr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14:paraId="3DEAFC2B" w14:textId="77777777" w:rsidR="00221CE1" w:rsidRPr="006E7CA9" w:rsidRDefault="00221CE1" w:rsidP="00E4712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b/>
                <w:bCs/>
                <w:i/>
                <w:iCs/>
                <w:kern w:val="24"/>
                <w:sz w:val="18"/>
                <w:szCs w:val="18"/>
              </w:rPr>
              <w:t>P</w:t>
            </w:r>
            <w:r w:rsidRPr="006E7CA9">
              <w:rPr>
                <w:rFonts w:ascii="Times New Roman" w:eastAsia="Times New Roman" w:hAnsi="Times New Roman" w:cs="Times New Roman"/>
                <w:b/>
                <w:bCs/>
                <w:kern w:val="24"/>
                <w:sz w:val="18"/>
                <w:szCs w:val="18"/>
              </w:rPr>
              <w:t xml:space="preserve"> value</w:t>
            </w:r>
          </w:p>
        </w:tc>
        <w:tc>
          <w:tcPr>
            <w:tcW w:w="31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14:paraId="7AD8C660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</w:rPr>
              <w:t>0.00055</w:t>
            </w:r>
          </w:p>
        </w:tc>
        <w:tc>
          <w:tcPr>
            <w:tcW w:w="33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14:paraId="693F3906" w14:textId="77777777" w:rsidR="00221CE1" w:rsidRPr="006E7CA9" w:rsidRDefault="00221CE1" w:rsidP="00E471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E7CA9">
              <w:rPr>
                <w:rFonts w:ascii="Times New Roman" w:eastAsia="Times New Roman" w:hAnsi="Times New Roman" w:cs="Times New Roman"/>
                <w:kern w:val="24"/>
                <w:sz w:val="18"/>
                <w:szCs w:val="18"/>
              </w:rPr>
              <w:t>0.21</w:t>
            </w:r>
          </w:p>
        </w:tc>
      </w:tr>
    </w:tbl>
    <w:p w14:paraId="534CD90E" w14:textId="2AFA6042" w:rsidR="00221CE1" w:rsidRPr="006E7CA9" w:rsidRDefault="00A45CBD" w:rsidP="00E5416B">
      <w:pPr>
        <w:spacing w:after="0" w:line="240" w:lineRule="auto"/>
      </w:pPr>
      <w:r w:rsidRPr="006E7CA9">
        <w:rPr>
          <w:rFonts w:ascii="Times New Roman" w:hAnsi="Times New Roman" w:cs="Times New Roman"/>
          <w:sz w:val="24"/>
          <w:szCs w:val="24"/>
        </w:rPr>
        <w:t xml:space="preserve">High TMB was defined as ≥10 mutations/Mb. Low TMB was defined as &lt;10 mutations/Mb. </w:t>
      </w:r>
      <w:r w:rsidRPr="006E7CA9">
        <w:rPr>
          <w:rFonts w:ascii="Times New Roman" w:eastAsiaTheme="minorEastAsia" w:hAnsi="Times New Roman" w:cs="Times New Roman"/>
          <w:kern w:val="24"/>
          <w:position w:val="7"/>
          <w:sz w:val="24"/>
          <w:szCs w:val="24"/>
          <w:vertAlign w:val="superscript"/>
        </w:rPr>
        <w:t>a</w:t>
      </w:r>
      <w:r w:rsidRPr="006E7CA9">
        <w:rPr>
          <w:rFonts w:ascii="Times New Roman" w:eastAsiaTheme="minorEastAsia" w:hAnsi="Times New Roman" w:cs="Times New Roman"/>
          <w:kern w:val="24"/>
          <w:sz w:val="24"/>
          <w:szCs w:val="24"/>
        </w:rPr>
        <w:t xml:space="preserve">Univariable. </w:t>
      </w:r>
      <w:r w:rsidRPr="006E7CA9">
        <w:rPr>
          <w:rFonts w:ascii="Times New Roman" w:hAnsi="Times New Roman" w:cs="Times New Roman"/>
          <w:sz w:val="24"/>
          <w:szCs w:val="24"/>
        </w:rPr>
        <w:t>CI, confidence interval; ctDNA, circulating tumor DNA; DFS, disease-free survival; IQR, interquartile range; Mb, megabase; NE, not evaluable; ref, reference; TMB, tumor mutational burden.</w:t>
      </w:r>
    </w:p>
    <w:sectPr w:rsidR="00221CE1" w:rsidRPr="006E7CA9" w:rsidSect="00D756B3">
      <w:headerReference w:type="default" r:id="rId16"/>
      <w:footerReference w:type="default" r:id="rId17"/>
      <w:pgSz w:w="12240" w:h="15840"/>
      <w:pgMar w:top="1440" w:right="1440" w:bottom="1440" w:left="99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5C403CD" w14:textId="77777777" w:rsidR="008B7FFA" w:rsidRDefault="008B7FFA">
      <w:pPr>
        <w:spacing w:after="0" w:line="240" w:lineRule="auto"/>
      </w:pPr>
      <w:r>
        <w:separator/>
      </w:r>
    </w:p>
  </w:endnote>
  <w:endnote w:type="continuationSeparator" w:id="0">
    <w:p w14:paraId="65A039D4" w14:textId="77777777" w:rsidR="008B7FFA" w:rsidRDefault="008B7FF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Times New Roman" w:hAnsi="Times New Roman" w:cs="Times New Roman"/>
      </w:rPr>
      <w:id w:val="-1039741984"/>
      <w:docPartObj>
        <w:docPartGallery w:val="Page Numbers (Bottom of Page)"/>
        <w:docPartUnique/>
      </w:docPartObj>
    </w:sdtPr>
    <w:sdtEndPr>
      <w:rPr>
        <w:noProof/>
        <w:sz w:val="24"/>
        <w:szCs w:val="24"/>
      </w:rPr>
    </w:sdtEndPr>
    <w:sdtContent>
      <w:p w14:paraId="7D46C7B7" w14:textId="1DF7521F" w:rsidR="00757590" w:rsidRPr="009A0E70" w:rsidRDefault="00554C51" w:rsidP="008B0508">
        <w:pPr>
          <w:pStyle w:val="Footer"/>
          <w:jc w:val="right"/>
          <w:rPr>
            <w:rFonts w:ascii="Times New Roman" w:hAnsi="Times New Roman" w:cs="Times New Roman"/>
            <w:sz w:val="24"/>
            <w:szCs w:val="24"/>
          </w:rPr>
        </w:pPr>
        <w:r w:rsidRPr="009A0E70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7F4FFA">
          <w:rPr>
            <w:rFonts w:ascii="Times New Roman" w:hAnsi="Times New Roman" w:cs="Times New Roman"/>
            <w:sz w:val="24"/>
            <w:szCs w:val="24"/>
          </w:rPr>
          <w:instrText xml:space="preserve"> PAGE   \* MERGEFORMAT </w:instrText>
        </w:r>
        <w:r w:rsidRPr="009A0E70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Pr="007F4FFA">
          <w:rPr>
            <w:rFonts w:ascii="Times New Roman" w:hAnsi="Times New Roman" w:cs="Times New Roman"/>
            <w:noProof/>
            <w:sz w:val="24"/>
            <w:szCs w:val="24"/>
          </w:rPr>
          <w:t>2</w:t>
        </w:r>
        <w:r w:rsidRPr="009A0E70">
          <w:rPr>
            <w:rFonts w:ascii="Times New Roman" w:hAnsi="Times New Roman" w:cs="Times New Roman"/>
            <w:noProof/>
            <w:sz w:val="24"/>
            <w:szCs w:val="24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0E4FABE" w14:textId="77777777" w:rsidR="008B7FFA" w:rsidRDefault="008B7FFA">
      <w:pPr>
        <w:spacing w:after="0" w:line="240" w:lineRule="auto"/>
      </w:pPr>
      <w:r>
        <w:separator/>
      </w:r>
    </w:p>
  </w:footnote>
  <w:footnote w:type="continuationSeparator" w:id="0">
    <w:p w14:paraId="5A64D847" w14:textId="77777777" w:rsidR="008B7FFA" w:rsidRDefault="008B7FF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BAD3D3" w14:textId="1130BA1F" w:rsidR="00757590" w:rsidRPr="000E2298" w:rsidRDefault="000E2298" w:rsidP="000E2298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rFonts w:ascii="Times New Roman" w:eastAsia="Times New Roman" w:hAnsi="Times New Roman" w:cs="Times New Roman"/>
        <w:i/>
        <w:color w:val="000000"/>
        <w:sz w:val="24"/>
        <w:szCs w:val="24"/>
      </w:rPr>
    </w:pPr>
    <w:r w:rsidRPr="00913A5F">
      <w:rPr>
        <w:rFonts w:ascii="Times New Roman" w:eastAsia="Times New Roman" w:hAnsi="Times New Roman" w:cs="Times New Roman"/>
        <w:color w:val="000000"/>
        <w:sz w:val="24"/>
        <w:szCs w:val="24"/>
      </w:rPr>
      <w:t xml:space="preserve">Powles et al                                                                               </w:t>
    </w:r>
    <w:r>
      <w:rPr>
        <w:rFonts w:ascii="Times New Roman" w:eastAsia="Times New Roman" w:hAnsi="Times New Roman" w:cs="Times New Roman"/>
        <w:color w:val="000000"/>
        <w:sz w:val="24"/>
        <w:szCs w:val="24"/>
      </w:rPr>
      <w:t xml:space="preserve">       </w:t>
    </w:r>
    <w:r w:rsidRPr="00913A5F">
      <w:rPr>
        <w:rFonts w:ascii="Times New Roman" w:eastAsia="Times New Roman" w:hAnsi="Times New Roman" w:cs="Times New Roman"/>
        <w:color w:val="000000"/>
        <w:sz w:val="24"/>
        <w:szCs w:val="24"/>
      </w:rPr>
      <w:t xml:space="preserve">                   </w:t>
    </w:r>
    <w:r w:rsidRPr="00913A5F">
      <w:rPr>
        <w:rFonts w:ascii="Times New Roman" w:hAnsi="Times New Roman" w:cs="Times New Roman"/>
        <w:i/>
        <w:iCs/>
        <w:sz w:val="24"/>
        <w:szCs w:val="24"/>
      </w:rPr>
      <w:t>Frontiers in Oncology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30D00"/>
    <w:rsid w:val="0000251B"/>
    <w:rsid w:val="0001583B"/>
    <w:rsid w:val="000360DD"/>
    <w:rsid w:val="000504E9"/>
    <w:rsid w:val="0005196A"/>
    <w:rsid w:val="000613B3"/>
    <w:rsid w:val="00070275"/>
    <w:rsid w:val="00077EF4"/>
    <w:rsid w:val="000A0ED8"/>
    <w:rsid w:val="000D2CC0"/>
    <w:rsid w:val="000E2298"/>
    <w:rsid w:val="000F79A9"/>
    <w:rsid w:val="00136A30"/>
    <w:rsid w:val="00143F98"/>
    <w:rsid w:val="001477ED"/>
    <w:rsid w:val="00171785"/>
    <w:rsid w:val="00180929"/>
    <w:rsid w:val="001C5267"/>
    <w:rsid w:val="001D7775"/>
    <w:rsid w:val="001E448A"/>
    <w:rsid w:val="001F16DA"/>
    <w:rsid w:val="00205CCF"/>
    <w:rsid w:val="00221CE1"/>
    <w:rsid w:val="00282691"/>
    <w:rsid w:val="002A079F"/>
    <w:rsid w:val="002A76F3"/>
    <w:rsid w:val="002B7015"/>
    <w:rsid w:val="002D5280"/>
    <w:rsid w:val="002D7D16"/>
    <w:rsid w:val="002E7EDE"/>
    <w:rsid w:val="00311F76"/>
    <w:rsid w:val="003120CC"/>
    <w:rsid w:val="003143D0"/>
    <w:rsid w:val="003244FF"/>
    <w:rsid w:val="003629C3"/>
    <w:rsid w:val="00365986"/>
    <w:rsid w:val="003819A8"/>
    <w:rsid w:val="003A7C90"/>
    <w:rsid w:val="003B3F41"/>
    <w:rsid w:val="003D72DE"/>
    <w:rsid w:val="003E594F"/>
    <w:rsid w:val="003F0862"/>
    <w:rsid w:val="003F0DBB"/>
    <w:rsid w:val="003F4284"/>
    <w:rsid w:val="0042664D"/>
    <w:rsid w:val="00434FCA"/>
    <w:rsid w:val="0046349C"/>
    <w:rsid w:val="004A0C45"/>
    <w:rsid w:val="004B1484"/>
    <w:rsid w:val="004E6241"/>
    <w:rsid w:val="00501D25"/>
    <w:rsid w:val="0051071C"/>
    <w:rsid w:val="0055168B"/>
    <w:rsid w:val="0055287B"/>
    <w:rsid w:val="00554C51"/>
    <w:rsid w:val="00563AEA"/>
    <w:rsid w:val="00571B49"/>
    <w:rsid w:val="00586E46"/>
    <w:rsid w:val="005873AC"/>
    <w:rsid w:val="00592C79"/>
    <w:rsid w:val="005965FF"/>
    <w:rsid w:val="005D34B5"/>
    <w:rsid w:val="005F5B8D"/>
    <w:rsid w:val="006144BF"/>
    <w:rsid w:val="00633365"/>
    <w:rsid w:val="00682DAA"/>
    <w:rsid w:val="00692B11"/>
    <w:rsid w:val="0069371B"/>
    <w:rsid w:val="006A785F"/>
    <w:rsid w:val="006A7E91"/>
    <w:rsid w:val="006D0A90"/>
    <w:rsid w:val="006D0AE3"/>
    <w:rsid w:val="006D5F0D"/>
    <w:rsid w:val="006E7CA9"/>
    <w:rsid w:val="007208E3"/>
    <w:rsid w:val="00761A3A"/>
    <w:rsid w:val="00762EB0"/>
    <w:rsid w:val="00775921"/>
    <w:rsid w:val="007A1986"/>
    <w:rsid w:val="007F4FFA"/>
    <w:rsid w:val="008118AF"/>
    <w:rsid w:val="00821AAD"/>
    <w:rsid w:val="00847C8A"/>
    <w:rsid w:val="008B7FFA"/>
    <w:rsid w:val="008F4F69"/>
    <w:rsid w:val="009761C7"/>
    <w:rsid w:val="00996946"/>
    <w:rsid w:val="009A12A9"/>
    <w:rsid w:val="009A6653"/>
    <w:rsid w:val="009C2218"/>
    <w:rsid w:val="00A20AB3"/>
    <w:rsid w:val="00A45CBD"/>
    <w:rsid w:val="00A61A59"/>
    <w:rsid w:val="00A85A67"/>
    <w:rsid w:val="00A94950"/>
    <w:rsid w:val="00AD609F"/>
    <w:rsid w:val="00AF25C5"/>
    <w:rsid w:val="00B210C5"/>
    <w:rsid w:val="00B30D00"/>
    <w:rsid w:val="00B36810"/>
    <w:rsid w:val="00B42E89"/>
    <w:rsid w:val="00B62120"/>
    <w:rsid w:val="00BA452B"/>
    <w:rsid w:val="00BA5586"/>
    <w:rsid w:val="00BB38B7"/>
    <w:rsid w:val="00BF1338"/>
    <w:rsid w:val="00C33D95"/>
    <w:rsid w:val="00C47D7D"/>
    <w:rsid w:val="00C85262"/>
    <w:rsid w:val="00CA590B"/>
    <w:rsid w:val="00CC32D1"/>
    <w:rsid w:val="00CD1162"/>
    <w:rsid w:val="00CE5C6C"/>
    <w:rsid w:val="00D072D3"/>
    <w:rsid w:val="00D35B61"/>
    <w:rsid w:val="00D44ACE"/>
    <w:rsid w:val="00D538BC"/>
    <w:rsid w:val="00D7508F"/>
    <w:rsid w:val="00D756B3"/>
    <w:rsid w:val="00DA4D7D"/>
    <w:rsid w:val="00DB2335"/>
    <w:rsid w:val="00DC0A2B"/>
    <w:rsid w:val="00E020A9"/>
    <w:rsid w:val="00E02DA8"/>
    <w:rsid w:val="00E47126"/>
    <w:rsid w:val="00E5416B"/>
    <w:rsid w:val="00E56F0A"/>
    <w:rsid w:val="00E66B54"/>
    <w:rsid w:val="00E84D95"/>
    <w:rsid w:val="00EC0655"/>
    <w:rsid w:val="00EC4B54"/>
    <w:rsid w:val="00F068D0"/>
    <w:rsid w:val="00F24B9F"/>
    <w:rsid w:val="00F32DFF"/>
    <w:rsid w:val="00F36A48"/>
    <w:rsid w:val="00F5677D"/>
    <w:rsid w:val="00F94966"/>
    <w:rsid w:val="00FA0410"/>
    <w:rsid w:val="00FA2369"/>
    <w:rsid w:val="00FA2A09"/>
    <w:rsid w:val="00FD2A80"/>
    <w:rsid w:val="00FE40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62810855"/>
  <w15:chartTrackingRefBased/>
  <w15:docId w15:val="{62981DB2-318D-46C1-B7DA-C80FFB6F91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30D00"/>
    <w:pPr>
      <w:spacing w:after="200" w:line="276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221CE1"/>
    <w:pPr>
      <w:spacing w:after="0" w:line="480" w:lineRule="auto"/>
      <w:outlineLvl w:val="0"/>
    </w:pPr>
    <w:rPr>
      <w:rFonts w:ascii="Times New Roman" w:eastAsia="Times New Roman" w:hAnsi="Times New Roman" w:cs="Times New Roman"/>
      <w:b/>
      <w:bCs/>
      <w:color w:val="000000"/>
      <w:sz w:val="24"/>
      <w:szCs w:val="24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21CE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30D0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30D00"/>
  </w:style>
  <w:style w:type="paragraph" w:styleId="Footer">
    <w:name w:val="footer"/>
    <w:basedOn w:val="Normal"/>
    <w:link w:val="FooterChar"/>
    <w:uiPriority w:val="99"/>
    <w:unhideWhenUsed/>
    <w:rsid w:val="00B30D0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30D00"/>
  </w:style>
  <w:style w:type="paragraph" w:styleId="NormalWeb">
    <w:name w:val="Normal (Web)"/>
    <w:basedOn w:val="Normal"/>
    <w:uiPriority w:val="99"/>
    <w:semiHidden/>
    <w:unhideWhenUsed/>
    <w:rsid w:val="0017178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2D528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2D5280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2D5280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D528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D5280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1E448A"/>
    <w:pPr>
      <w:spacing w:after="0" w:line="240" w:lineRule="auto"/>
    </w:pPr>
  </w:style>
  <w:style w:type="table" w:styleId="TableGrid">
    <w:name w:val="Table Grid"/>
    <w:basedOn w:val="TableNormal"/>
    <w:uiPriority w:val="39"/>
    <w:rsid w:val="0063336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Emphasis">
    <w:name w:val="Emphasis"/>
    <w:basedOn w:val="DefaultParagraphFont"/>
    <w:uiPriority w:val="20"/>
    <w:qFormat/>
    <w:rsid w:val="00AF25C5"/>
    <w:rPr>
      <w:i/>
      <w:iCs/>
    </w:rPr>
  </w:style>
  <w:style w:type="paragraph" w:styleId="Title">
    <w:name w:val="Title"/>
    <w:basedOn w:val="Normal"/>
    <w:next w:val="Normal"/>
    <w:link w:val="TitleChar"/>
    <w:qFormat/>
    <w:rsid w:val="00221CE1"/>
    <w:pPr>
      <w:suppressLineNumbers/>
      <w:spacing w:before="240" w:after="360" w:line="240" w:lineRule="auto"/>
      <w:jc w:val="center"/>
    </w:pPr>
    <w:rPr>
      <w:rFonts w:ascii="Times New Roman" w:hAnsi="Times New Roman" w:cs="Times New Roman"/>
      <w:b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221CE1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le"/>
    <w:next w:val="Title"/>
    <w:qFormat/>
    <w:rsid w:val="00221CE1"/>
    <w:pPr>
      <w:spacing w:after="120"/>
    </w:pPr>
    <w:rPr>
      <w:i/>
    </w:rPr>
  </w:style>
  <w:style w:type="character" w:customStyle="1" w:styleId="Heading1Char">
    <w:name w:val="Heading 1 Char"/>
    <w:basedOn w:val="DefaultParagraphFont"/>
    <w:link w:val="Heading1"/>
    <w:uiPriority w:val="9"/>
    <w:rsid w:val="00221CE1"/>
    <w:rPr>
      <w:rFonts w:ascii="Times New Roman" w:eastAsia="Times New Roman" w:hAnsi="Times New Roman" w:cs="Times New Roman"/>
      <w:b/>
      <w:bCs/>
      <w:color w:val="000000"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21CE1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9345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788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85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554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865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24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43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260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295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17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9DB72BF-ECAD-4DB2-93F3-D7745E8EEA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1238</Words>
  <Characters>7057</Characters>
  <Application>Microsoft Office Word</Application>
  <DocSecurity>0</DocSecurity>
  <Lines>58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Emanuela Marcantoni, PhD</dc:creator>
  <cp:keywords/>
  <dc:description/>
  <cp:lastModifiedBy>Uzoamaka Anyanwu</cp:lastModifiedBy>
  <cp:revision>2</cp:revision>
  <dcterms:created xsi:type="dcterms:W3CDTF">2023-07-11T08:46:00Z</dcterms:created>
  <dcterms:modified xsi:type="dcterms:W3CDTF">2023-07-11T08:46:00Z</dcterms:modified>
</cp:coreProperties>
</file>