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b w:val="0"/>
          <w:color w:val="auto"/>
          <w:highlight w:val="none"/>
        </w:rPr>
      </w:pPr>
      <w:r>
        <w:rPr>
          <w:color w:val="auto"/>
          <w:highlight w:val="none"/>
        </w:rPr>
        <w:t>Supplementary Material</w:t>
      </w:r>
    </w:p>
    <w:p>
      <w:pPr>
        <w:pStyle w:val="18"/>
        <w:rPr>
          <w:color w:val="auto"/>
          <w:highlight w:val="none"/>
        </w:rPr>
      </w:pPr>
      <w:r>
        <w:rPr>
          <w:color w:val="auto"/>
          <w:highlight w:val="none"/>
        </w:rPr>
        <w:t xml:space="preserve">Significant dysregulation of lipid metabolism in patients with papillary thyroid carcinoma after thyroidectomy </w:t>
      </w:r>
    </w:p>
    <w:p>
      <w:pPr>
        <w:pStyle w:val="34"/>
        <w:rPr>
          <w:color w:val="auto"/>
          <w:highlight w:val="none"/>
        </w:rPr>
      </w:pPr>
      <w:r>
        <w:rPr>
          <w:color w:val="auto"/>
          <w:highlight w:val="none"/>
          <w:lang w:val="tr-TR"/>
        </w:rPr>
        <w:t>Liang Zhou</w:t>
      </w:r>
      <w:r>
        <w:rPr>
          <w:color w:val="auto"/>
          <w:highlight w:val="none"/>
          <w:vertAlign w:val="superscript"/>
          <w:lang w:val="tr-TR"/>
        </w:rPr>
        <w:t>1†</w:t>
      </w:r>
      <w:r>
        <w:rPr>
          <w:color w:val="auto"/>
          <w:highlight w:val="none"/>
          <w:lang w:val="tr-TR"/>
        </w:rPr>
        <w:t>, Shuo Li</w:t>
      </w:r>
      <w:r>
        <w:rPr>
          <w:color w:val="auto"/>
          <w:highlight w:val="none"/>
          <w:vertAlign w:val="superscript"/>
          <w:lang w:val="tr-TR"/>
        </w:rPr>
        <w:t>2†</w:t>
      </w:r>
      <w:r>
        <w:rPr>
          <w:color w:val="auto"/>
          <w:highlight w:val="none"/>
          <w:lang w:val="tr-TR"/>
        </w:rPr>
        <w:t>, Yuqi Wu</w:t>
      </w:r>
      <w:r>
        <w:rPr>
          <w:color w:val="auto"/>
          <w:highlight w:val="none"/>
          <w:vertAlign w:val="superscript"/>
          <w:lang w:val="tr-TR"/>
        </w:rPr>
        <w:t>2,3</w:t>
      </w:r>
      <w:r>
        <w:rPr>
          <w:color w:val="auto"/>
          <w:highlight w:val="none"/>
          <w:lang w:val="tr-TR"/>
        </w:rPr>
        <w:t>, Qianming Chen</w:t>
      </w:r>
      <w:r>
        <w:rPr>
          <w:color w:val="auto"/>
          <w:highlight w:val="none"/>
          <w:vertAlign w:val="superscript"/>
          <w:lang w:val="tr-TR"/>
        </w:rPr>
        <w:t>4</w:t>
      </w:r>
      <w:r>
        <w:rPr>
          <w:color w:val="auto"/>
          <w:highlight w:val="none"/>
          <w:lang w:val="tr-TR"/>
        </w:rPr>
        <w:t>, Xiaotong Hu</w:t>
      </w:r>
      <w:r>
        <w:rPr>
          <w:color w:val="auto"/>
          <w:highlight w:val="none"/>
          <w:vertAlign w:val="superscript"/>
          <w:lang w:val="tr-TR"/>
        </w:rPr>
        <w:t>5</w:t>
      </w:r>
      <w:r>
        <w:rPr>
          <w:color w:val="auto"/>
          <w:highlight w:val="none"/>
          <w:lang w:val="tr-TR"/>
        </w:rPr>
        <w:t>, Junchang Jiang</w:t>
      </w:r>
      <w:r>
        <w:rPr>
          <w:color w:val="auto"/>
          <w:highlight w:val="none"/>
          <w:vertAlign w:val="superscript"/>
          <w:lang w:val="tr-TR"/>
        </w:rPr>
        <w:t>5</w:t>
      </w:r>
      <w:r>
        <w:rPr>
          <w:color w:val="auto"/>
          <w:highlight w:val="none"/>
          <w:lang w:val="tr-TR"/>
        </w:rPr>
        <w:t>, Yaoyao Shi</w:t>
      </w:r>
      <w:r>
        <w:rPr>
          <w:color w:val="auto"/>
          <w:highlight w:val="none"/>
          <w:vertAlign w:val="superscript"/>
          <w:lang w:val="tr-TR"/>
        </w:rPr>
        <w:t>5</w:t>
      </w:r>
      <w:r>
        <w:rPr>
          <w:color w:val="auto"/>
          <w:highlight w:val="none"/>
          <w:lang w:val="tr-TR"/>
        </w:rPr>
        <w:t>, Dan Shen</w:t>
      </w:r>
      <w:r>
        <w:rPr>
          <w:color w:val="auto"/>
          <w:highlight w:val="none"/>
          <w:vertAlign w:val="superscript"/>
          <w:lang w:val="tr-TR"/>
        </w:rPr>
        <w:t>2*</w:t>
      </w:r>
      <w:r>
        <w:rPr>
          <w:color w:val="auto"/>
          <w:highlight w:val="none"/>
          <w:lang w:val="tr-TR"/>
        </w:rPr>
        <w:t>, Lei Xie</w:t>
      </w:r>
      <w:r>
        <w:rPr>
          <w:color w:val="auto"/>
          <w:highlight w:val="none"/>
          <w:vertAlign w:val="superscript"/>
          <w:lang w:val="tr-TR"/>
        </w:rPr>
        <w:t>1*</w:t>
      </w:r>
    </w:p>
    <w:p>
      <w:pPr>
        <w:spacing w:before="240" w:after="0"/>
        <w:rPr>
          <w:rFonts w:cs="Times New Roman"/>
          <w:b/>
          <w:color w:val="auto"/>
          <w:highlight w:val="none"/>
        </w:rPr>
      </w:pPr>
      <w:r>
        <w:rPr>
          <w:rFonts w:cs="Times New Roman"/>
          <w:b/>
          <w:color w:val="auto"/>
          <w:highlight w:val="none"/>
        </w:rPr>
        <w:t xml:space="preserve">* Co-correspondence: Lei Xie &amp; Dan Shen </w:t>
      </w:r>
      <w:r>
        <w:rPr>
          <w:rFonts w:cs="Times New Roman"/>
          <w:b/>
          <w:color w:val="auto"/>
          <w:highlight w:val="none"/>
        </w:rPr>
        <w:br w:type="textWrapping"/>
      </w:r>
      <w:r>
        <w:rPr>
          <w:rFonts w:cs="Times New Roman"/>
          <w:b/>
          <w:color w:val="auto"/>
          <w:highlight w:val="none"/>
        </w:rPr>
        <w:t>xielsrrsh@zju.edu.cn (L.X.); shendan@dazd.cn (D.S</w:t>
      </w:r>
      <w:r>
        <w:rPr>
          <w:rFonts w:hint="eastAsia" w:cs="Times New Roman"/>
          <w:b/>
          <w:color w:val="auto"/>
          <w:highlight w:val="none"/>
        </w:rPr>
        <w:t>.</w:t>
      </w:r>
      <w:r>
        <w:rPr>
          <w:rFonts w:cs="Times New Roman"/>
          <w:b/>
          <w:color w:val="auto"/>
          <w:highlight w:val="none"/>
        </w:rPr>
        <w:t>)</w:t>
      </w:r>
    </w:p>
    <w:p>
      <w:pPr>
        <w:spacing w:before="240" w:after="0"/>
        <w:rPr>
          <w:rFonts w:cs="Times New Roman"/>
          <w:color w:val="auto"/>
          <w:highlight w:val="none"/>
        </w:rPr>
      </w:pPr>
    </w:p>
    <w:p>
      <w:pPr>
        <w:pStyle w:val="2"/>
        <w:rPr>
          <w:color w:val="auto"/>
          <w:highlight w:val="none"/>
        </w:rPr>
      </w:pPr>
      <w:r>
        <w:rPr>
          <w:color w:val="auto"/>
          <w:highlight w:val="none"/>
        </w:rPr>
        <w:t>Supplementary Figures and Tables</w:t>
      </w:r>
    </w:p>
    <w:p>
      <w:pPr>
        <w:pStyle w:val="4"/>
        <w:rPr>
          <w:color w:val="auto"/>
          <w:highlight w:val="none"/>
        </w:rPr>
      </w:pPr>
      <w:r>
        <w:rPr>
          <w:color w:val="auto"/>
          <w:highlight w:val="none"/>
        </w:rPr>
        <w:t>Supplementary Figures</w:t>
      </w:r>
    </w:p>
    <w:p>
      <w:pPr>
        <w:keepNext/>
        <w:jc w:val="center"/>
        <w:rPr>
          <w:rFonts w:cs="Times New Roman"/>
          <w:color w:val="auto"/>
          <w:szCs w:val="24"/>
          <w:highlight w:val="none"/>
        </w:rPr>
      </w:pPr>
      <w:r>
        <w:rPr>
          <w:rFonts w:cs="Times New Roman"/>
          <w:color w:val="auto"/>
          <w:szCs w:val="24"/>
          <w:highlight w:val="none"/>
        </w:rPr>
        <w:drawing>
          <wp:inline distT="0" distB="0" distL="0" distR="0">
            <wp:extent cx="4173220" cy="4173220"/>
            <wp:effectExtent l="0" t="0" r="0" b="0"/>
            <wp:docPr id="1381676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76276"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248" cy="4191248"/>
                    </a:xfrm>
                    <a:prstGeom prst="rect">
                      <a:avLst/>
                    </a:prstGeom>
                  </pic:spPr>
                </pic:pic>
              </a:graphicData>
            </a:graphic>
          </wp:inline>
        </w:drawing>
      </w:r>
    </w:p>
    <w:p>
      <w:pPr>
        <w:keepNext/>
        <w:rPr>
          <w:rFonts w:cs="Times New Roman"/>
          <w:color w:val="auto"/>
          <w:szCs w:val="24"/>
          <w:highlight w:val="none"/>
        </w:rPr>
      </w:pPr>
      <w:r>
        <w:rPr>
          <w:rFonts w:cs="Times New Roman"/>
          <w:b/>
          <w:color w:val="auto"/>
          <w:szCs w:val="24"/>
          <w:highlight w:val="none"/>
        </w:rPr>
        <w:t xml:space="preserve">Supplementary Figure </w:t>
      </w:r>
      <w:r>
        <w:rPr>
          <w:rFonts w:cs="Times New Roman"/>
          <w:b/>
          <w:color w:val="auto"/>
          <w:szCs w:val="24"/>
          <w:highlight w:val="none"/>
        </w:rPr>
        <w:fldChar w:fldCharType="begin"/>
      </w:r>
      <w:r>
        <w:rPr>
          <w:rFonts w:cs="Times New Roman"/>
          <w:b/>
          <w:color w:val="auto"/>
          <w:szCs w:val="24"/>
          <w:highlight w:val="none"/>
        </w:rPr>
        <w:instrText xml:space="preserve"> SEQ Figure \* ARABIC </w:instrText>
      </w:r>
      <w:r>
        <w:rPr>
          <w:rFonts w:cs="Times New Roman"/>
          <w:b/>
          <w:color w:val="auto"/>
          <w:szCs w:val="24"/>
          <w:highlight w:val="none"/>
        </w:rPr>
        <w:fldChar w:fldCharType="separate"/>
      </w:r>
      <w:r>
        <w:rPr>
          <w:rFonts w:cs="Times New Roman"/>
          <w:b/>
          <w:color w:val="auto"/>
          <w:szCs w:val="24"/>
          <w:highlight w:val="none"/>
        </w:rPr>
        <w:t>1</w:t>
      </w:r>
      <w:r>
        <w:rPr>
          <w:rFonts w:cs="Times New Roman"/>
          <w:b/>
          <w:color w:val="auto"/>
          <w:szCs w:val="24"/>
          <w:highlight w:val="none"/>
        </w:rPr>
        <w:fldChar w:fldCharType="end"/>
      </w:r>
      <w:r>
        <w:rPr>
          <w:rFonts w:cs="Times New Roman"/>
          <w:b/>
          <w:color w:val="auto"/>
          <w:szCs w:val="24"/>
          <w:highlight w:val="none"/>
        </w:rPr>
        <w:t>.</w:t>
      </w:r>
      <w:r>
        <w:rPr>
          <w:rFonts w:cs="Times New Roman"/>
          <w:color w:val="auto"/>
          <w:szCs w:val="24"/>
          <w:highlight w:val="none"/>
        </w:rPr>
        <w:t xml:space="preserve"> </w:t>
      </w:r>
      <w:r>
        <w:rPr>
          <w:rFonts w:cs="Times New Roman"/>
          <w:b/>
          <w:bCs/>
          <w:color w:val="auto"/>
          <w:szCs w:val="24"/>
          <w:highlight w:val="none"/>
        </w:rPr>
        <w:t>OPLS-DA model parameters to discriminate t0 and t1</w:t>
      </w:r>
      <w:r>
        <w:rPr>
          <w:rFonts w:cs="Times New Roman"/>
          <w:color w:val="auto"/>
          <w:szCs w:val="24"/>
          <w:highlight w:val="none"/>
        </w:rPr>
        <w:t xml:space="preserve">. </w:t>
      </w:r>
    </w:p>
    <w:p>
      <w:pPr>
        <w:spacing w:before="0" w:after="200" w:line="276" w:lineRule="auto"/>
        <w:rPr>
          <w:rFonts w:cs="Times New Roman"/>
          <w:color w:val="auto"/>
          <w:szCs w:val="24"/>
          <w:highlight w:val="none"/>
        </w:rPr>
      </w:pPr>
      <w:r>
        <w:rPr>
          <w:rFonts w:cs="Times New Roman"/>
          <w:color w:val="auto"/>
          <w:szCs w:val="24"/>
          <w:highlight w:val="none"/>
        </w:rPr>
        <w:br w:type="page"/>
      </w:r>
    </w:p>
    <w:p>
      <w:pPr>
        <w:keepNext/>
        <w:rPr>
          <w:rFonts w:hint="eastAsia" w:cs="Times New Roman" w:eastAsiaTheme="minorEastAsia"/>
          <w:b/>
          <w:color w:val="auto"/>
          <w:szCs w:val="24"/>
          <w:highlight w:val="none"/>
          <w:lang w:eastAsia="zh-CN"/>
        </w:rPr>
      </w:pPr>
      <w:r>
        <w:rPr>
          <w:rFonts w:hint="eastAsia" w:cs="Times New Roman" w:eastAsiaTheme="minorEastAsia"/>
          <w:b/>
          <w:color w:val="auto"/>
          <w:szCs w:val="24"/>
          <w:highlight w:val="none"/>
          <w:lang w:eastAsia="zh-CN"/>
        </w:rPr>
        <w:drawing>
          <wp:inline distT="0" distB="0" distL="114300" distR="114300">
            <wp:extent cx="6162040" cy="5108575"/>
            <wp:effectExtent l="0" t="0" r="10160" b="12065"/>
            <wp:docPr id="2" name="图片 2" descr="Fig.S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2_00"/>
                    <pic:cNvPicPr>
                      <a:picLocks noChangeAspect="1"/>
                    </pic:cNvPicPr>
                  </pic:nvPicPr>
                  <pic:blipFill>
                    <a:blip r:embed="rId11"/>
                    <a:stretch>
                      <a:fillRect/>
                    </a:stretch>
                  </pic:blipFill>
                  <pic:spPr>
                    <a:xfrm>
                      <a:off x="0" y="0"/>
                      <a:ext cx="6162040" cy="5108575"/>
                    </a:xfrm>
                    <a:prstGeom prst="rect">
                      <a:avLst/>
                    </a:prstGeom>
                  </pic:spPr>
                </pic:pic>
              </a:graphicData>
            </a:graphic>
          </wp:inline>
        </w:drawing>
      </w:r>
    </w:p>
    <w:p>
      <w:pPr>
        <w:keepNext/>
        <w:rPr>
          <w:rFonts w:cs="Times New Roman"/>
          <w:color w:val="auto"/>
          <w:szCs w:val="24"/>
          <w:highlight w:val="none"/>
        </w:rPr>
      </w:pPr>
      <w:r>
        <w:rPr>
          <w:rFonts w:cs="Times New Roman"/>
          <w:b/>
          <w:color w:val="auto"/>
          <w:szCs w:val="24"/>
          <w:highlight w:val="none"/>
        </w:rPr>
        <w:t>Supplementary Figure 2.</w:t>
      </w:r>
      <w:r>
        <w:rPr>
          <w:rFonts w:cs="Times New Roman"/>
          <w:color w:val="auto"/>
          <w:szCs w:val="24"/>
          <w:highlight w:val="none"/>
        </w:rPr>
        <w:t xml:space="preserve"> </w:t>
      </w:r>
      <w:r>
        <w:rPr>
          <w:rFonts w:cs="Times New Roman"/>
          <w:b/>
          <w:bCs/>
          <w:color w:val="auto"/>
          <w:szCs w:val="24"/>
          <w:highlight w:val="none"/>
        </w:rPr>
        <w:t xml:space="preserve">108 </w:t>
      </w:r>
      <w:r>
        <w:rPr>
          <w:rFonts w:hint="eastAsia" w:cs="Times New Roman"/>
          <w:b/>
          <w:bCs/>
          <w:color w:val="auto"/>
          <w:szCs w:val="24"/>
          <w:highlight w:val="none"/>
        </w:rPr>
        <w:t>met</w:t>
      </w:r>
      <w:r>
        <w:rPr>
          <w:rFonts w:cs="Times New Roman"/>
          <w:b/>
          <w:bCs/>
          <w:color w:val="auto"/>
          <w:szCs w:val="24"/>
          <w:highlight w:val="none"/>
        </w:rPr>
        <w:t xml:space="preserve">abolites were significantly changed after total thyroidectomy (T group) at t1. </w:t>
      </w:r>
      <w:r>
        <w:rPr>
          <w:rFonts w:cs="Times New Roman"/>
          <w:color w:val="auto"/>
          <w:szCs w:val="24"/>
          <w:highlight w:val="none"/>
        </w:rPr>
        <w:t>(a). OPLS-DA model parameters to discriminate t0 and t1 in T group (n</w:t>
      </w:r>
      <w:r>
        <w:rPr>
          <w:rFonts w:hint="eastAsia" w:cs="Times New Roman"/>
          <w:color w:val="auto"/>
          <w:szCs w:val="24"/>
          <w:highlight w:val="none"/>
          <w:lang w:val="en-US" w:eastAsia="zh-CN"/>
        </w:rPr>
        <w:t xml:space="preserve"> </w:t>
      </w:r>
      <w:r>
        <w:rPr>
          <w:rFonts w:cs="Times New Roman"/>
          <w:color w:val="auto"/>
          <w:szCs w:val="24"/>
          <w:highlight w:val="none"/>
        </w:rPr>
        <w:t>=</w:t>
      </w:r>
      <w:r>
        <w:rPr>
          <w:rFonts w:hint="eastAsia" w:cs="Times New Roman"/>
          <w:color w:val="auto"/>
          <w:szCs w:val="24"/>
          <w:highlight w:val="none"/>
          <w:lang w:val="en-US" w:eastAsia="zh-CN"/>
        </w:rPr>
        <w:t xml:space="preserve"> </w:t>
      </w:r>
      <w:r>
        <w:rPr>
          <w:rFonts w:cs="Times New Roman"/>
          <w:color w:val="auto"/>
          <w:szCs w:val="24"/>
          <w:highlight w:val="none"/>
        </w:rPr>
        <w:t xml:space="preserve">25). (b). Heatmap of changing profiles in T group between t0 and t1. Metabolite names marked with purple were consistent with those of Figure 2d. (c). Venn plot of changing metabolites between T group (b) and total (Figure 2d). (d). Enrichment analysis of 108 metabolites. </w:t>
      </w:r>
    </w:p>
    <w:p>
      <w:pPr>
        <w:spacing w:before="0" w:after="200" w:line="276" w:lineRule="auto"/>
        <w:rPr>
          <w:rFonts w:cs="Times New Roman"/>
          <w:color w:val="auto"/>
          <w:szCs w:val="24"/>
          <w:highlight w:val="none"/>
        </w:rPr>
      </w:pPr>
      <w:r>
        <w:rPr>
          <w:rFonts w:cs="Times New Roman"/>
          <w:color w:val="auto"/>
          <w:szCs w:val="24"/>
          <w:highlight w:val="none"/>
        </w:rPr>
        <w:br w:type="page"/>
      </w:r>
    </w:p>
    <w:p>
      <w:pPr>
        <w:keepNext/>
        <w:rPr>
          <w:rFonts w:hint="eastAsia" w:cs="Times New Roman" w:eastAsiaTheme="minorEastAsia"/>
          <w:b/>
          <w:color w:val="auto"/>
          <w:szCs w:val="24"/>
          <w:highlight w:val="none"/>
          <w:lang w:eastAsia="zh-CN"/>
        </w:rPr>
      </w:pPr>
      <w:r>
        <w:rPr>
          <w:rFonts w:hint="eastAsia" w:cs="Times New Roman" w:eastAsiaTheme="minorEastAsia"/>
          <w:b/>
          <w:color w:val="auto"/>
          <w:szCs w:val="24"/>
          <w:highlight w:val="none"/>
          <w:lang w:eastAsia="zh-CN"/>
        </w:rPr>
        <w:drawing>
          <wp:inline distT="0" distB="0" distL="114300" distR="114300">
            <wp:extent cx="6174740" cy="4489450"/>
            <wp:effectExtent l="0" t="0" r="12700" b="6350"/>
            <wp:docPr id="3" name="图片 3" descr="Fig.S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3_00"/>
                    <pic:cNvPicPr>
                      <a:picLocks noChangeAspect="1"/>
                    </pic:cNvPicPr>
                  </pic:nvPicPr>
                  <pic:blipFill>
                    <a:blip r:embed="rId12"/>
                    <a:stretch>
                      <a:fillRect/>
                    </a:stretch>
                  </pic:blipFill>
                  <pic:spPr>
                    <a:xfrm>
                      <a:off x="0" y="0"/>
                      <a:ext cx="6174740" cy="4489450"/>
                    </a:xfrm>
                    <a:prstGeom prst="rect">
                      <a:avLst/>
                    </a:prstGeom>
                  </pic:spPr>
                </pic:pic>
              </a:graphicData>
            </a:graphic>
          </wp:inline>
        </w:drawing>
      </w:r>
    </w:p>
    <w:p>
      <w:pPr>
        <w:keepNext/>
        <w:rPr>
          <w:rFonts w:cs="Times New Roman"/>
          <w:color w:val="auto"/>
          <w:szCs w:val="24"/>
          <w:highlight w:val="none"/>
        </w:rPr>
      </w:pPr>
      <w:r>
        <w:rPr>
          <w:rFonts w:cs="Times New Roman"/>
          <w:b/>
          <w:color w:val="auto"/>
          <w:szCs w:val="24"/>
          <w:highlight w:val="none"/>
        </w:rPr>
        <w:t>Supplementary Figure 3.</w:t>
      </w:r>
      <w:r>
        <w:rPr>
          <w:rFonts w:cs="Times New Roman"/>
          <w:color w:val="auto"/>
          <w:szCs w:val="24"/>
          <w:highlight w:val="none"/>
        </w:rPr>
        <w:t xml:space="preserve"> </w:t>
      </w:r>
      <w:r>
        <w:rPr>
          <w:rFonts w:cs="Times New Roman"/>
          <w:b/>
          <w:bCs/>
          <w:color w:val="auto"/>
          <w:szCs w:val="24"/>
          <w:highlight w:val="none"/>
        </w:rPr>
        <w:t xml:space="preserve">90 </w:t>
      </w:r>
      <w:r>
        <w:rPr>
          <w:rFonts w:hint="eastAsia" w:cs="Times New Roman"/>
          <w:b/>
          <w:bCs/>
          <w:color w:val="auto"/>
          <w:szCs w:val="24"/>
          <w:highlight w:val="none"/>
        </w:rPr>
        <w:t>met</w:t>
      </w:r>
      <w:r>
        <w:rPr>
          <w:rFonts w:cs="Times New Roman"/>
          <w:b/>
          <w:bCs/>
          <w:color w:val="auto"/>
          <w:szCs w:val="24"/>
          <w:highlight w:val="none"/>
        </w:rPr>
        <w:t xml:space="preserve">abolites were significantly changed after </w:t>
      </w:r>
      <w:r>
        <w:rPr>
          <w:rFonts w:cs="Times New Roman"/>
          <w:b/>
          <w:bCs/>
          <w:color w:val="auto"/>
          <w:szCs w:val="24"/>
          <w:highlight w:val="none"/>
          <w:lang w:eastAsia="zh-CN"/>
        </w:rPr>
        <w:t>h</w:t>
      </w:r>
      <w:r>
        <w:rPr>
          <w:rFonts w:hint="eastAsia" w:cs="Times New Roman"/>
          <w:b/>
          <w:bCs/>
          <w:color w:val="auto"/>
          <w:szCs w:val="24"/>
          <w:highlight w:val="none"/>
          <w:lang w:eastAsia="zh-CN"/>
        </w:rPr>
        <w:t>emi</w:t>
      </w:r>
      <w:r>
        <w:rPr>
          <w:rFonts w:cs="Times New Roman"/>
          <w:b/>
          <w:bCs/>
          <w:color w:val="auto"/>
          <w:szCs w:val="24"/>
          <w:highlight w:val="none"/>
        </w:rPr>
        <w:t>thyroidectomy (H group) at t1.</w:t>
      </w:r>
      <w:r>
        <w:rPr>
          <w:rFonts w:cs="Times New Roman"/>
          <w:color w:val="auto"/>
          <w:szCs w:val="24"/>
          <w:highlight w:val="none"/>
        </w:rPr>
        <w:t xml:space="preserve"> (a). OPLS-DA model parameters to discriminate t0 and t1 in H group (n</w:t>
      </w:r>
      <w:r>
        <w:rPr>
          <w:rFonts w:hint="eastAsia" w:cs="Times New Roman"/>
          <w:color w:val="auto"/>
          <w:szCs w:val="24"/>
          <w:highlight w:val="none"/>
          <w:lang w:val="en-US" w:eastAsia="zh-CN"/>
        </w:rPr>
        <w:t xml:space="preserve"> </w:t>
      </w:r>
      <w:r>
        <w:rPr>
          <w:rFonts w:cs="Times New Roman"/>
          <w:color w:val="auto"/>
          <w:szCs w:val="24"/>
          <w:highlight w:val="none"/>
        </w:rPr>
        <w:t>=</w:t>
      </w:r>
      <w:r>
        <w:rPr>
          <w:rFonts w:hint="eastAsia" w:cs="Times New Roman"/>
          <w:color w:val="auto"/>
          <w:szCs w:val="24"/>
          <w:highlight w:val="none"/>
          <w:lang w:val="en-US" w:eastAsia="zh-CN"/>
        </w:rPr>
        <w:t xml:space="preserve"> </w:t>
      </w:r>
      <w:r>
        <w:rPr>
          <w:rFonts w:cs="Times New Roman"/>
          <w:color w:val="auto"/>
          <w:szCs w:val="24"/>
          <w:highlight w:val="none"/>
        </w:rPr>
        <w:t xml:space="preserve">25). (b). Heatmap of changing profiles in H group between t0 and t1. Metabolite names marked with purple were consistent with those of Figure 2d. (c). Venn plot of changing metabolites between H group (b) and total (Figure 2d). (d). Enrichment analysis of 90 metabolites. </w:t>
      </w:r>
    </w:p>
    <w:p>
      <w:pPr>
        <w:spacing w:before="0" w:after="200" w:line="276" w:lineRule="auto"/>
        <w:rPr>
          <w:rFonts w:cs="Times New Roman"/>
          <w:color w:val="auto"/>
          <w:szCs w:val="24"/>
          <w:highlight w:val="none"/>
        </w:rPr>
      </w:pPr>
      <w:r>
        <w:rPr>
          <w:rFonts w:cs="Times New Roman"/>
          <w:color w:val="auto"/>
          <w:szCs w:val="24"/>
          <w:highlight w:val="none"/>
        </w:rPr>
        <w:br w:type="page"/>
      </w:r>
    </w:p>
    <w:p>
      <w:pPr>
        <w:keepNext/>
        <w:rPr>
          <w:rFonts w:cs="Times New Roman"/>
          <w:b/>
          <w:color w:val="auto"/>
          <w:szCs w:val="24"/>
          <w:highlight w:val="none"/>
        </w:rPr>
      </w:pPr>
      <w:r>
        <w:rPr>
          <w:rFonts w:cs="Times New Roman"/>
          <w:b/>
          <w:color w:val="auto"/>
          <w:szCs w:val="24"/>
          <w:highlight w:val="none"/>
        </w:rPr>
        <w:drawing>
          <wp:inline distT="0" distB="0" distL="0" distR="0">
            <wp:extent cx="5904230" cy="7077710"/>
            <wp:effectExtent l="0" t="0" r="1270" b="8890"/>
            <wp:docPr id="17069359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35990"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05083" cy="7078611"/>
                    </a:xfrm>
                    <a:prstGeom prst="rect">
                      <a:avLst/>
                    </a:prstGeom>
                  </pic:spPr>
                </pic:pic>
              </a:graphicData>
            </a:graphic>
          </wp:inline>
        </w:drawing>
      </w:r>
    </w:p>
    <w:p>
      <w:pPr>
        <w:keepNext/>
        <w:rPr>
          <w:rFonts w:cs="Times New Roman"/>
          <w:color w:val="auto"/>
          <w:szCs w:val="24"/>
          <w:highlight w:val="none"/>
        </w:rPr>
      </w:pPr>
      <w:r>
        <w:rPr>
          <w:rFonts w:cs="Times New Roman"/>
          <w:b/>
          <w:color w:val="auto"/>
          <w:szCs w:val="24"/>
          <w:highlight w:val="none"/>
        </w:rPr>
        <w:t>Supplementary Figure 4.</w:t>
      </w:r>
      <w:r>
        <w:rPr>
          <w:rFonts w:cs="Times New Roman"/>
          <w:color w:val="auto"/>
          <w:szCs w:val="24"/>
          <w:highlight w:val="none"/>
        </w:rPr>
        <w:t xml:space="preserve"> </w:t>
      </w:r>
      <w:r>
        <w:rPr>
          <w:rFonts w:cs="Times New Roman"/>
          <w:b/>
          <w:bCs/>
          <w:color w:val="auto"/>
          <w:szCs w:val="24"/>
          <w:highlight w:val="none"/>
        </w:rPr>
        <w:t>Metabolic changing profiles of patients with normal thyroid function parameters after thyroidectomy.</w:t>
      </w:r>
      <w:r>
        <w:rPr>
          <w:rFonts w:cs="Times New Roman"/>
          <w:color w:val="auto"/>
          <w:szCs w:val="24"/>
          <w:highlight w:val="none"/>
        </w:rPr>
        <w:t xml:space="preserve"> </w:t>
      </w:r>
    </w:p>
    <w:p>
      <w:pPr>
        <w:spacing w:before="0" w:after="200" w:line="276" w:lineRule="auto"/>
        <w:rPr>
          <w:rFonts w:cs="Times New Roman"/>
          <w:color w:val="auto"/>
          <w:szCs w:val="24"/>
          <w:highlight w:val="none"/>
        </w:rPr>
      </w:pPr>
      <w:r>
        <w:rPr>
          <w:rFonts w:cs="Times New Roman"/>
          <w:color w:val="auto"/>
          <w:szCs w:val="24"/>
          <w:highlight w:val="none"/>
        </w:rPr>
        <w:br w:type="page"/>
      </w:r>
    </w:p>
    <w:p>
      <w:pPr>
        <w:pStyle w:val="4"/>
        <w:rPr>
          <w:color w:val="auto"/>
          <w:highlight w:val="none"/>
        </w:rPr>
      </w:pPr>
      <w:r>
        <w:rPr>
          <w:color w:val="auto"/>
          <w:highlight w:val="none"/>
        </w:rPr>
        <w:t xml:space="preserve">Supplementary </w:t>
      </w:r>
      <w:r>
        <w:rPr>
          <w:rFonts w:hint="eastAsia"/>
          <w:color w:val="auto"/>
          <w:highlight w:val="none"/>
        </w:rPr>
        <w:t>Table</w:t>
      </w:r>
      <w:r>
        <w:rPr>
          <w:color w:val="auto"/>
          <w:highlight w:val="none"/>
        </w:rPr>
        <w:t>s</w:t>
      </w:r>
    </w:p>
    <w:p>
      <w:pPr>
        <w:keepNext/>
        <w:rPr>
          <w:rFonts w:cs="Times New Roman"/>
          <w:color w:val="auto"/>
          <w:szCs w:val="24"/>
          <w:highlight w:val="none"/>
        </w:rPr>
      </w:pPr>
      <w:r>
        <w:rPr>
          <w:rFonts w:cs="Times New Roman"/>
          <w:b/>
          <w:color w:val="auto"/>
          <w:szCs w:val="24"/>
          <w:highlight w:val="none"/>
        </w:rPr>
        <w:t xml:space="preserve">Supplementary Table 1. </w:t>
      </w:r>
      <w:bookmarkStart w:id="0" w:name="_Hlk141363955"/>
      <w:r>
        <w:rPr>
          <w:rFonts w:cs="Times New Roman"/>
          <w:b/>
          <w:color w:val="auto"/>
          <w:szCs w:val="24"/>
          <w:highlight w:val="none"/>
        </w:rPr>
        <w:t xml:space="preserve">Differential distribution of thyroid function levels between patients with hemithyroidectomy (H group) and total thyroidectomy (T group), after </w:t>
      </w:r>
      <w:r>
        <w:rPr>
          <w:rFonts w:hint="eastAsia" w:cs="Times New Roman"/>
          <w:b/>
          <w:color w:val="auto"/>
          <w:szCs w:val="24"/>
          <w:highlight w:val="none"/>
          <w:lang w:eastAsia="zh-CN"/>
        </w:rPr>
        <w:t>sur</w:t>
      </w:r>
      <w:r>
        <w:rPr>
          <w:rFonts w:cs="Times New Roman"/>
          <w:b/>
          <w:color w:val="auto"/>
          <w:szCs w:val="24"/>
          <w:highlight w:val="none"/>
        </w:rPr>
        <w:t>gery and one-month suppressive therapy (t1).</w:t>
      </w:r>
      <w:bookmarkEnd w:id="0"/>
      <w:r>
        <w:rPr>
          <w:rFonts w:cs="Times New Roman"/>
          <w:color w:val="auto"/>
          <w:szCs w:val="24"/>
          <w:highlight w:val="none"/>
        </w:rPr>
        <w:t xml:space="preserve"> </w:t>
      </w:r>
    </w:p>
    <w:tbl>
      <w:tblPr>
        <w:tblStyle w:val="20"/>
        <w:tblpPr w:leftFromText="180" w:rightFromText="180" w:vertAnchor="text" w:horzAnchor="margin" w:tblpY="63"/>
        <w:tblW w:w="4930" w:type="pct"/>
        <w:tblInd w:w="0" w:type="dxa"/>
        <w:tblLayout w:type="autofit"/>
        <w:tblCellMar>
          <w:top w:w="0" w:type="dxa"/>
          <w:left w:w="108" w:type="dxa"/>
          <w:bottom w:w="0" w:type="dxa"/>
          <w:right w:w="108" w:type="dxa"/>
        </w:tblCellMar>
      </w:tblPr>
      <w:tblGrid>
        <w:gridCol w:w="577"/>
        <w:gridCol w:w="2032"/>
        <w:gridCol w:w="1216"/>
        <w:gridCol w:w="1194"/>
        <w:gridCol w:w="1210"/>
        <w:gridCol w:w="1194"/>
        <w:gridCol w:w="1208"/>
        <w:gridCol w:w="1222"/>
      </w:tblGrid>
      <w:tr>
        <w:tblPrEx>
          <w:tblCellMar>
            <w:top w:w="0" w:type="dxa"/>
            <w:left w:w="108" w:type="dxa"/>
            <w:bottom w:w="0" w:type="dxa"/>
            <w:right w:w="108" w:type="dxa"/>
          </w:tblCellMar>
        </w:tblPrEx>
        <w:trPr>
          <w:trHeight w:val="683" w:hRule="atLeast"/>
          <w:tblHeader/>
        </w:trPr>
        <w:tc>
          <w:tcPr>
            <w:tcW w:w="1323" w:type="pct"/>
            <w:gridSpan w:val="2"/>
            <w:tcBorders>
              <w:top w:val="single" w:color="000000" w:sz="12" w:space="0"/>
              <w:left w:val="nil"/>
              <w:bottom w:val="single" w:color="000000" w:sz="4" w:space="0"/>
              <w:right w:val="nil"/>
            </w:tcBorders>
            <w:shd w:val="clear" w:color="auto" w:fill="auto"/>
            <w:vAlign w:val="center"/>
          </w:tcPr>
          <w:p>
            <w:pPr>
              <w:spacing w:before="0" w:after="0"/>
              <w:jc w:val="center"/>
              <w:rPr>
                <w:rFonts w:cs="Times New Roman"/>
                <w:b/>
                <w:bCs/>
                <w:color w:val="auto"/>
                <w:szCs w:val="24"/>
                <w:highlight w:val="none"/>
              </w:rPr>
            </w:pPr>
          </w:p>
        </w:tc>
        <w:tc>
          <w:tcPr>
            <w:tcW w:w="1223" w:type="pct"/>
            <w:gridSpan w:val="2"/>
            <w:tcBorders>
              <w:top w:val="single" w:color="000000" w:sz="12" w:space="0"/>
              <w:left w:val="nil"/>
              <w:bottom w:val="single" w:color="000000" w:sz="4" w:space="0"/>
              <w:right w:val="nil"/>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H group</w:t>
            </w:r>
          </w:p>
          <w:p>
            <w:pPr>
              <w:spacing w:before="0" w:after="0"/>
              <w:jc w:val="center"/>
              <w:rPr>
                <w:rFonts w:cs="Times New Roman"/>
                <w:b/>
                <w:bCs/>
                <w:color w:val="auto"/>
                <w:szCs w:val="24"/>
                <w:highlight w:val="none"/>
              </w:rPr>
            </w:pPr>
            <w:r>
              <w:rPr>
                <w:rFonts w:cs="Times New Roman"/>
                <w:b/>
                <w:bCs/>
                <w:color w:val="auto"/>
                <w:szCs w:val="24"/>
                <w:highlight w:val="none"/>
              </w:rPr>
              <w:t>(n</w:t>
            </w:r>
            <w:r>
              <w:rPr>
                <w:rFonts w:hint="eastAsia" w:cs="Times New Roman"/>
                <w:b/>
                <w:bCs/>
                <w:color w:val="auto"/>
                <w:szCs w:val="24"/>
                <w:highlight w:val="none"/>
                <w:lang w:val="en-US" w:eastAsia="zh-CN"/>
              </w:rPr>
              <w:t xml:space="preserve"> </w:t>
            </w:r>
            <w:r>
              <w:rPr>
                <w:rFonts w:cs="Times New Roman"/>
                <w:b/>
                <w:bCs/>
                <w:color w:val="auto"/>
                <w:szCs w:val="24"/>
                <w:highlight w:val="none"/>
              </w:rPr>
              <w:t>=</w:t>
            </w:r>
            <w:r>
              <w:rPr>
                <w:rFonts w:hint="eastAsia" w:cs="Times New Roman"/>
                <w:b/>
                <w:bCs/>
                <w:color w:val="auto"/>
                <w:szCs w:val="24"/>
                <w:highlight w:val="none"/>
                <w:lang w:val="en-US" w:eastAsia="zh-CN"/>
              </w:rPr>
              <w:t xml:space="preserve"> </w:t>
            </w:r>
            <w:r>
              <w:rPr>
                <w:rFonts w:cs="Times New Roman"/>
                <w:b/>
                <w:bCs/>
                <w:color w:val="auto"/>
                <w:szCs w:val="24"/>
                <w:highlight w:val="none"/>
              </w:rPr>
              <w:t>25)</w:t>
            </w:r>
          </w:p>
        </w:tc>
        <w:tc>
          <w:tcPr>
            <w:tcW w:w="1220" w:type="pct"/>
            <w:gridSpan w:val="2"/>
            <w:tcBorders>
              <w:top w:val="single" w:color="000000" w:sz="12" w:space="0"/>
              <w:left w:val="nil"/>
              <w:bottom w:val="single" w:color="000000" w:sz="4" w:space="0"/>
              <w:right w:val="nil"/>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T group</w:t>
            </w:r>
          </w:p>
          <w:p>
            <w:pPr>
              <w:spacing w:before="0" w:after="0"/>
              <w:jc w:val="center"/>
              <w:rPr>
                <w:rFonts w:cs="Times New Roman"/>
                <w:b/>
                <w:bCs/>
                <w:color w:val="auto"/>
                <w:szCs w:val="24"/>
                <w:highlight w:val="none"/>
              </w:rPr>
            </w:pPr>
            <w:r>
              <w:rPr>
                <w:rFonts w:cs="Times New Roman"/>
                <w:b/>
                <w:bCs/>
                <w:color w:val="auto"/>
                <w:szCs w:val="24"/>
                <w:highlight w:val="none"/>
              </w:rPr>
              <w:t>(n</w:t>
            </w:r>
            <w:r>
              <w:rPr>
                <w:rFonts w:hint="eastAsia" w:cs="Times New Roman"/>
                <w:b/>
                <w:bCs/>
                <w:color w:val="auto"/>
                <w:szCs w:val="24"/>
                <w:highlight w:val="none"/>
                <w:lang w:val="en-US" w:eastAsia="zh-CN"/>
              </w:rPr>
              <w:t xml:space="preserve"> </w:t>
            </w:r>
            <w:r>
              <w:rPr>
                <w:rFonts w:cs="Times New Roman"/>
                <w:b/>
                <w:bCs/>
                <w:color w:val="auto"/>
                <w:szCs w:val="24"/>
                <w:highlight w:val="none"/>
              </w:rPr>
              <w:t>=</w:t>
            </w:r>
            <w:r>
              <w:rPr>
                <w:rFonts w:hint="eastAsia" w:cs="Times New Roman"/>
                <w:b/>
                <w:bCs/>
                <w:color w:val="auto"/>
                <w:szCs w:val="24"/>
                <w:highlight w:val="none"/>
                <w:lang w:val="en-US" w:eastAsia="zh-CN"/>
              </w:rPr>
              <w:t xml:space="preserve"> </w:t>
            </w:r>
            <w:r>
              <w:rPr>
                <w:rFonts w:cs="Times New Roman"/>
                <w:b/>
                <w:bCs/>
                <w:color w:val="auto"/>
                <w:szCs w:val="24"/>
                <w:highlight w:val="none"/>
              </w:rPr>
              <w:t>25)</w:t>
            </w:r>
          </w:p>
        </w:tc>
        <w:tc>
          <w:tcPr>
            <w:tcW w:w="1234" w:type="pct"/>
            <w:gridSpan w:val="2"/>
            <w:tcBorders>
              <w:top w:val="single" w:color="000000" w:sz="12" w:space="0"/>
              <w:left w:val="nil"/>
              <w:bottom w:val="single" w:color="000000" w:sz="8" w:space="0"/>
              <w:right w:val="nil"/>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P-value</w:t>
            </w:r>
          </w:p>
        </w:tc>
      </w:tr>
      <w:tr>
        <w:tblPrEx>
          <w:tblCellMar>
            <w:top w:w="0" w:type="dxa"/>
            <w:left w:w="108" w:type="dxa"/>
            <w:bottom w:w="0" w:type="dxa"/>
            <w:right w:w="108" w:type="dxa"/>
          </w:tblCellMar>
        </w:tblPrEx>
        <w:trPr>
          <w:trHeight w:val="20" w:hRule="atLeast"/>
        </w:trPr>
        <w:tc>
          <w:tcPr>
            <w:tcW w:w="1941" w:type="pct"/>
            <w:gridSpan w:val="3"/>
            <w:tcBorders>
              <w:top w:val="single" w:color="000000" w:sz="4" w:space="0"/>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TSH_degree mIU/L</w:t>
            </w:r>
          </w:p>
        </w:tc>
        <w:tc>
          <w:tcPr>
            <w:tcW w:w="1220" w:type="pct"/>
            <w:gridSpan w:val="2"/>
            <w:tcBorders>
              <w:top w:val="single" w:color="000000" w:sz="4" w:space="0"/>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19"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619"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0-0.1</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10 (40.0%)</w:t>
            </w:r>
          </w:p>
        </w:tc>
        <w:tc>
          <w:tcPr>
            <w:tcW w:w="1234" w:type="pct"/>
            <w:gridSpan w:val="2"/>
            <w:vMerge w:val="restar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&lt;0.001***</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0.1-0.5</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4 (16.0%)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8 (32.0%)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0.5-2.0</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21 (84.0%)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 (8.0%)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2.0-5.0</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 (4.0%)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5.0_above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4 (16.0%)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546" w:type="pct"/>
            <w:gridSpan w:val="4"/>
            <w:tcBorders>
              <w:top w:val="nil"/>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fT3 (1.71-3.71) pg/mL</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34"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Normal</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25 (100%)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22 (88.0%)</w:t>
            </w:r>
          </w:p>
        </w:tc>
        <w:tc>
          <w:tcPr>
            <w:tcW w:w="1234" w:type="pct"/>
            <w:gridSpan w:val="2"/>
            <w:vMerge w:val="restar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0.203</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 (4.0%)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Below</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 (8.0%)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546" w:type="pct"/>
            <w:gridSpan w:val="4"/>
            <w:tcBorders>
              <w:top w:val="nil"/>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tT3 (0.64-1.52) ng/mL</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34"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Normal</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25 (100%)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22 (88.0%)</w:t>
            </w:r>
          </w:p>
        </w:tc>
        <w:tc>
          <w:tcPr>
            <w:tcW w:w="1234" w:type="pct"/>
            <w:gridSpan w:val="2"/>
            <w:vMerge w:val="restar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0.234</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Below</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3 (12.0%)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546" w:type="pct"/>
            <w:gridSpan w:val="4"/>
            <w:tcBorders>
              <w:top w:val="nil"/>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fT4 (0.70-1.48) ng/dL</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34"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Normal</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25 (100%)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20 (80.0%)</w:t>
            </w:r>
          </w:p>
        </w:tc>
        <w:tc>
          <w:tcPr>
            <w:tcW w:w="1234" w:type="pct"/>
            <w:gridSpan w:val="2"/>
            <w:vMerge w:val="restar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0.0622</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 (8.0%)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Below</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3 (12.0%)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546" w:type="pct"/>
            <w:gridSpan w:val="4"/>
            <w:tcBorders>
              <w:top w:val="nil"/>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tT4 (4.87-11.72) μg/dL</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34"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Normal</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25 (100%)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16 (64.0%)</w:t>
            </w:r>
          </w:p>
        </w:tc>
        <w:tc>
          <w:tcPr>
            <w:tcW w:w="1234" w:type="pct"/>
            <w:gridSpan w:val="2"/>
            <w:vMerge w:val="restar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0.0041**</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5 (20.0%)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Below</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4 (16.0%)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546" w:type="pct"/>
            <w:gridSpan w:val="4"/>
            <w:tcBorders>
              <w:top w:val="nil"/>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TgAb (0-4.11) IU/mL</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34"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Normal</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11 (44.0%)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10 (40.0%)</w:t>
            </w:r>
          </w:p>
        </w:tc>
        <w:tc>
          <w:tcPr>
            <w:tcW w:w="1234" w:type="pct"/>
            <w:gridSpan w:val="2"/>
            <w:vMerge w:val="restar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0.551</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13 (52.0%)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15 (60.0%)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Missing</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 (4.0%)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34" w:type="pct"/>
            <w:gridSpan w:val="2"/>
            <w:vMerge w:val="continue"/>
            <w:tcBorders>
              <w:top w:val="nil"/>
              <w:left w:val="nil"/>
              <w:bottom w:val="nil"/>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546" w:type="pct"/>
            <w:gridSpan w:val="4"/>
            <w:tcBorders>
              <w:top w:val="nil"/>
              <w:left w:val="nil"/>
              <w:bottom w:val="nil"/>
              <w:right w:val="nil"/>
            </w:tcBorders>
            <w:shd w:val="clear" w:color="auto" w:fill="auto"/>
            <w:vAlign w:val="center"/>
          </w:tcPr>
          <w:p>
            <w:pPr>
              <w:spacing w:before="24" w:beforeLines="10" w:after="24" w:afterLines="10"/>
              <w:jc w:val="both"/>
              <w:rPr>
                <w:rFonts w:cs="Times New Roman"/>
                <w:b/>
                <w:bCs/>
                <w:color w:val="auto"/>
                <w:szCs w:val="24"/>
                <w:highlight w:val="none"/>
              </w:rPr>
            </w:pPr>
            <w:r>
              <w:rPr>
                <w:rFonts w:cs="Times New Roman"/>
                <w:b/>
                <w:bCs/>
                <w:color w:val="auto"/>
                <w:szCs w:val="24"/>
                <w:highlight w:val="none"/>
              </w:rPr>
              <w:t>TPOAb (0-5.61) IU/mL</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b/>
                <w:bCs/>
                <w:color w:val="auto"/>
                <w:szCs w:val="24"/>
                <w:highlight w:val="none"/>
              </w:rPr>
            </w:pPr>
          </w:p>
        </w:tc>
        <w:tc>
          <w:tcPr>
            <w:tcW w:w="1234"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Normal</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19 (76.0%)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18 (72.0%)</w:t>
            </w:r>
          </w:p>
        </w:tc>
        <w:tc>
          <w:tcPr>
            <w:tcW w:w="1234" w:type="pct"/>
            <w:gridSpan w:val="2"/>
            <w:vMerge w:val="restart"/>
            <w:tcBorders>
              <w:top w:val="nil"/>
              <w:left w:val="nil"/>
              <w:bottom w:val="single" w:color="000000" w:sz="12" w:space="0"/>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0.241</w:t>
            </w:r>
          </w:p>
        </w:tc>
      </w:tr>
      <w:tr>
        <w:tblPrEx>
          <w:tblCellMar>
            <w:top w:w="0" w:type="dxa"/>
            <w:left w:w="108" w:type="dxa"/>
            <w:bottom w:w="0" w:type="dxa"/>
            <w:right w:w="108" w:type="dxa"/>
          </w:tblCellMar>
        </w:tblPrEx>
        <w:trPr>
          <w:trHeight w:val="20" w:hRule="atLeast"/>
        </w:trPr>
        <w:tc>
          <w:tcPr>
            <w:tcW w:w="293"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Above</w:t>
            </w:r>
          </w:p>
        </w:tc>
        <w:tc>
          <w:tcPr>
            <w:tcW w:w="1223"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4 (16.0%)</w:t>
            </w:r>
          </w:p>
        </w:tc>
        <w:tc>
          <w:tcPr>
            <w:tcW w:w="1220" w:type="pct"/>
            <w:gridSpan w:val="2"/>
            <w:tcBorders>
              <w:top w:val="nil"/>
              <w:left w:val="nil"/>
              <w:bottom w:val="nil"/>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7 (28.0%)</w:t>
            </w:r>
          </w:p>
        </w:tc>
        <w:tc>
          <w:tcPr>
            <w:tcW w:w="1234" w:type="pct"/>
            <w:gridSpan w:val="2"/>
            <w:vMerge w:val="continue"/>
            <w:tcBorders>
              <w:top w:val="nil"/>
              <w:left w:val="nil"/>
              <w:bottom w:val="single" w:color="000000" w:sz="12" w:space="0"/>
              <w:right w:val="nil"/>
            </w:tcBorders>
            <w:vAlign w:val="center"/>
          </w:tcPr>
          <w:p>
            <w:pPr>
              <w:spacing w:before="24" w:beforeLines="10" w:after="24" w:afterLines="10"/>
              <w:jc w:val="center"/>
              <w:rPr>
                <w:rFonts w:cs="Times New Roman"/>
                <w:color w:val="auto"/>
                <w:szCs w:val="24"/>
                <w:highlight w:val="none"/>
              </w:rPr>
            </w:pPr>
          </w:p>
        </w:tc>
      </w:tr>
      <w:tr>
        <w:tblPrEx>
          <w:tblCellMar>
            <w:top w:w="0" w:type="dxa"/>
            <w:left w:w="108" w:type="dxa"/>
            <w:bottom w:w="0" w:type="dxa"/>
            <w:right w:w="108" w:type="dxa"/>
          </w:tblCellMar>
        </w:tblPrEx>
        <w:trPr>
          <w:trHeight w:val="20" w:hRule="atLeast"/>
        </w:trPr>
        <w:tc>
          <w:tcPr>
            <w:tcW w:w="293" w:type="pct"/>
            <w:tcBorders>
              <w:top w:val="nil"/>
              <w:left w:val="nil"/>
              <w:bottom w:val="single" w:color="000000" w:sz="12" w:space="0"/>
              <w:right w:val="nil"/>
            </w:tcBorders>
            <w:shd w:val="clear" w:color="auto" w:fill="auto"/>
            <w:vAlign w:val="center"/>
          </w:tcPr>
          <w:p>
            <w:pPr>
              <w:spacing w:before="24" w:beforeLines="10" w:after="24" w:afterLines="10"/>
              <w:jc w:val="center"/>
              <w:rPr>
                <w:rFonts w:cs="Times New Roman"/>
                <w:color w:val="auto"/>
                <w:szCs w:val="24"/>
                <w:highlight w:val="none"/>
              </w:rPr>
            </w:pPr>
          </w:p>
        </w:tc>
        <w:tc>
          <w:tcPr>
            <w:tcW w:w="1031" w:type="pct"/>
            <w:tcBorders>
              <w:top w:val="nil"/>
              <w:left w:val="nil"/>
              <w:bottom w:val="single" w:color="000000" w:sz="12" w:space="0"/>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Missing</w:t>
            </w:r>
          </w:p>
        </w:tc>
        <w:tc>
          <w:tcPr>
            <w:tcW w:w="1223" w:type="pct"/>
            <w:gridSpan w:val="2"/>
            <w:tcBorders>
              <w:top w:val="nil"/>
              <w:left w:val="nil"/>
              <w:bottom w:val="single" w:color="000000" w:sz="12" w:space="0"/>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2 (8.0%)</w:t>
            </w:r>
          </w:p>
        </w:tc>
        <w:tc>
          <w:tcPr>
            <w:tcW w:w="1220" w:type="pct"/>
            <w:gridSpan w:val="2"/>
            <w:tcBorders>
              <w:top w:val="nil"/>
              <w:left w:val="nil"/>
              <w:bottom w:val="single" w:color="000000" w:sz="12" w:space="0"/>
              <w:right w:val="nil"/>
            </w:tcBorders>
            <w:shd w:val="clear" w:color="auto" w:fill="auto"/>
            <w:vAlign w:val="center"/>
          </w:tcPr>
          <w:p>
            <w:pPr>
              <w:spacing w:before="24" w:beforeLines="10" w:after="24" w:afterLines="10"/>
              <w:jc w:val="center"/>
              <w:rPr>
                <w:rFonts w:cs="Times New Roman"/>
                <w:color w:val="auto"/>
                <w:szCs w:val="24"/>
                <w:highlight w:val="none"/>
              </w:rPr>
            </w:pPr>
            <w:r>
              <w:rPr>
                <w:rFonts w:cs="Times New Roman"/>
                <w:color w:val="auto"/>
                <w:szCs w:val="24"/>
                <w:highlight w:val="none"/>
              </w:rPr>
              <w:t>0 (0%)</w:t>
            </w:r>
          </w:p>
        </w:tc>
        <w:tc>
          <w:tcPr>
            <w:tcW w:w="1234" w:type="pct"/>
            <w:gridSpan w:val="2"/>
            <w:vMerge w:val="continue"/>
            <w:tcBorders>
              <w:top w:val="nil"/>
              <w:left w:val="nil"/>
              <w:bottom w:val="single" w:color="000000" w:sz="12" w:space="0"/>
              <w:right w:val="nil"/>
            </w:tcBorders>
            <w:vAlign w:val="center"/>
          </w:tcPr>
          <w:p>
            <w:pPr>
              <w:spacing w:before="24" w:beforeLines="10" w:after="24" w:afterLines="10"/>
              <w:jc w:val="center"/>
              <w:rPr>
                <w:rFonts w:cs="Times New Roman"/>
                <w:color w:val="auto"/>
                <w:szCs w:val="24"/>
                <w:highlight w:val="none"/>
              </w:rPr>
            </w:pPr>
          </w:p>
        </w:tc>
      </w:tr>
    </w:tbl>
    <w:p>
      <w:pPr>
        <w:keepNext/>
        <w:rPr>
          <w:rFonts w:cs="Times New Roman"/>
          <w:color w:val="auto"/>
          <w:szCs w:val="24"/>
          <w:highlight w:val="none"/>
        </w:rPr>
      </w:pPr>
    </w:p>
    <w:p>
      <w:pPr>
        <w:keepNext/>
        <w:rPr>
          <w:rFonts w:cs="Times New Roman"/>
          <w:b/>
          <w:color w:val="auto"/>
          <w:szCs w:val="24"/>
          <w:highlight w:val="none"/>
        </w:rPr>
      </w:pPr>
      <w:r>
        <w:rPr>
          <w:rFonts w:cs="Times New Roman"/>
          <w:b/>
          <w:color w:val="auto"/>
          <w:szCs w:val="24"/>
          <w:highlight w:val="none"/>
        </w:rPr>
        <w:t>Supplementary Table 2. Distribution between post-operative complications and thyroid function parameters.</w:t>
      </w:r>
    </w:p>
    <w:tbl>
      <w:tblPr>
        <w:tblStyle w:val="20"/>
        <w:tblpPr w:leftFromText="180" w:rightFromText="180" w:vertAnchor="text" w:horzAnchor="page" w:tblpX="1333" w:tblpY="83"/>
        <w:tblW w:w="9772" w:type="dxa"/>
        <w:tblInd w:w="0" w:type="dxa"/>
        <w:tblLayout w:type="autofit"/>
        <w:tblCellMar>
          <w:top w:w="0" w:type="dxa"/>
          <w:left w:w="108" w:type="dxa"/>
          <w:bottom w:w="0" w:type="dxa"/>
          <w:right w:w="108" w:type="dxa"/>
        </w:tblCellMar>
      </w:tblPr>
      <w:tblGrid>
        <w:gridCol w:w="307"/>
        <w:gridCol w:w="1111"/>
        <w:gridCol w:w="1559"/>
        <w:gridCol w:w="1658"/>
        <w:gridCol w:w="7"/>
        <w:gridCol w:w="1028"/>
        <w:gridCol w:w="1344"/>
        <w:gridCol w:w="1360"/>
        <w:gridCol w:w="7"/>
        <w:gridCol w:w="1384"/>
        <w:gridCol w:w="7"/>
      </w:tblGrid>
      <w:tr>
        <w:tblPrEx>
          <w:tblCellMar>
            <w:top w:w="0" w:type="dxa"/>
            <w:left w:w="108" w:type="dxa"/>
            <w:bottom w:w="0" w:type="dxa"/>
            <w:right w:w="108" w:type="dxa"/>
          </w:tblCellMar>
        </w:tblPrEx>
        <w:trPr>
          <w:trHeight w:val="295" w:hRule="atLeast"/>
        </w:trPr>
        <w:tc>
          <w:tcPr>
            <w:tcW w:w="1418" w:type="dxa"/>
            <w:gridSpan w:val="2"/>
            <w:vMerge w:val="restart"/>
            <w:tcBorders>
              <w:top w:val="single" w:color="auto" w:sz="12" w:space="0"/>
            </w:tcBorders>
            <w:shd w:val="clear" w:color="auto" w:fill="auto"/>
            <w:vAlign w:val="center"/>
          </w:tcPr>
          <w:p>
            <w:pPr>
              <w:spacing w:before="0" w:after="0"/>
              <w:rPr>
                <w:rFonts w:cs="Times New Roman"/>
                <w:b/>
                <w:color w:val="auto"/>
                <w:szCs w:val="24"/>
                <w:highlight w:val="none"/>
              </w:rPr>
            </w:pPr>
          </w:p>
        </w:tc>
        <w:tc>
          <w:tcPr>
            <w:tcW w:w="3217" w:type="dxa"/>
            <w:gridSpan w:val="2"/>
            <w:tcBorders>
              <w:top w:val="single" w:color="auto" w:sz="12" w:space="0"/>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fT3</w:t>
            </w:r>
          </w:p>
        </w:tc>
        <w:tc>
          <w:tcPr>
            <w:tcW w:w="1035" w:type="dxa"/>
            <w:gridSpan w:val="2"/>
            <w:tcBorders>
              <w:top w:val="single" w:color="auto" w:sz="12" w:space="0"/>
            </w:tcBorders>
            <w:shd w:val="clear" w:color="auto" w:fill="auto"/>
            <w:vAlign w:val="center"/>
          </w:tcPr>
          <w:p>
            <w:pPr>
              <w:spacing w:before="0" w:after="0"/>
              <w:rPr>
                <w:rFonts w:cs="Times New Roman"/>
                <w:b/>
                <w:bCs/>
                <w:color w:val="auto"/>
                <w:szCs w:val="24"/>
                <w:highlight w:val="none"/>
              </w:rPr>
            </w:pPr>
          </w:p>
        </w:tc>
        <w:tc>
          <w:tcPr>
            <w:tcW w:w="2711" w:type="dxa"/>
            <w:gridSpan w:val="3"/>
            <w:tcBorders>
              <w:top w:val="single" w:color="auto" w:sz="12" w:space="0"/>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fT4</w:t>
            </w:r>
          </w:p>
        </w:tc>
        <w:tc>
          <w:tcPr>
            <w:tcW w:w="1391" w:type="dxa"/>
            <w:gridSpan w:val="2"/>
            <w:tcBorders>
              <w:top w:val="single" w:color="auto" w:sz="12" w:space="0"/>
            </w:tcBorders>
            <w:shd w:val="clear" w:color="auto" w:fill="auto"/>
            <w:vAlign w:val="center"/>
          </w:tcPr>
          <w:p>
            <w:pPr>
              <w:spacing w:before="0" w:after="0"/>
              <w:rPr>
                <w:rFonts w:cs="Times New Roman"/>
                <w:b/>
                <w:bCs/>
                <w:color w:val="auto"/>
                <w:szCs w:val="24"/>
                <w:highlight w:val="none"/>
              </w:rPr>
            </w:pPr>
          </w:p>
        </w:tc>
      </w:tr>
      <w:tr>
        <w:tblPrEx>
          <w:tblCellMar>
            <w:top w:w="0" w:type="dxa"/>
            <w:left w:w="108" w:type="dxa"/>
            <w:bottom w:w="0" w:type="dxa"/>
            <w:right w:w="108" w:type="dxa"/>
          </w:tblCellMar>
        </w:tblPrEx>
        <w:trPr>
          <w:gridAfter w:val="1"/>
          <w:wAfter w:w="7" w:type="dxa"/>
          <w:trHeight w:val="535" w:hRule="atLeast"/>
        </w:trPr>
        <w:tc>
          <w:tcPr>
            <w:tcW w:w="1418" w:type="dxa"/>
            <w:gridSpan w:val="2"/>
            <w:vMerge w:val="continue"/>
            <w:tcBorders>
              <w:bottom w:val="single" w:color="auto" w:sz="12" w:space="0"/>
            </w:tcBorders>
            <w:vAlign w:val="center"/>
          </w:tcPr>
          <w:p>
            <w:pPr>
              <w:spacing w:before="0" w:after="0"/>
              <w:rPr>
                <w:rFonts w:cs="Times New Roman"/>
                <w:b/>
                <w:color w:val="auto"/>
                <w:szCs w:val="24"/>
                <w:highlight w:val="none"/>
              </w:rPr>
            </w:pPr>
          </w:p>
        </w:tc>
        <w:tc>
          <w:tcPr>
            <w:tcW w:w="1559" w:type="dxa"/>
            <w:tcBorders>
              <w:bottom w:val="single" w:color="auto" w:sz="12" w:space="0"/>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 xml:space="preserve">Normal </w:t>
            </w:r>
          </w:p>
          <w:p>
            <w:pPr>
              <w:spacing w:before="0" w:after="0"/>
              <w:jc w:val="center"/>
              <w:rPr>
                <w:rFonts w:cs="Times New Roman"/>
                <w:b/>
                <w:bCs/>
                <w:color w:val="auto"/>
                <w:szCs w:val="24"/>
                <w:highlight w:val="none"/>
              </w:rPr>
            </w:pPr>
            <w:r>
              <w:rPr>
                <w:rFonts w:cs="Times New Roman"/>
                <w:b/>
                <w:bCs/>
                <w:color w:val="auto"/>
                <w:szCs w:val="24"/>
                <w:highlight w:val="none"/>
              </w:rPr>
              <w:t>(n</w:t>
            </w:r>
            <w:r>
              <w:rPr>
                <w:rFonts w:hint="eastAsia" w:cs="Times New Roman"/>
                <w:b/>
                <w:bCs/>
                <w:color w:val="auto"/>
                <w:szCs w:val="24"/>
                <w:highlight w:val="none"/>
                <w:lang w:val="en-US" w:eastAsia="zh-CN"/>
              </w:rPr>
              <w:t xml:space="preserve"> </w:t>
            </w:r>
            <w:r>
              <w:rPr>
                <w:rFonts w:cs="Times New Roman"/>
                <w:b/>
                <w:bCs/>
                <w:color w:val="auto"/>
                <w:szCs w:val="24"/>
                <w:highlight w:val="none"/>
              </w:rPr>
              <w:t>=</w:t>
            </w:r>
            <w:r>
              <w:rPr>
                <w:rFonts w:hint="eastAsia" w:cs="Times New Roman"/>
                <w:b/>
                <w:bCs/>
                <w:color w:val="auto"/>
                <w:szCs w:val="24"/>
                <w:highlight w:val="none"/>
                <w:lang w:val="en-US" w:eastAsia="zh-CN"/>
              </w:rPr>
              <w:t xml:space="preserve"> </w:t>
            </w:r>
            <w:r>
              <w:rPr>
                <w:rFonts w:cs="Times New Roman"/>
                <w:b/>
                <w:bCs/>
                <w:color w:val="auto"/>
                <w:szCs w:val="24"/>
                <w:highlight w:val="none"/>
              </w:rPr>
              <w:t>47)</w:t>
            </w:r>
          </w:p>
        </w:tc>
        <w:tc>
          <w:tcPr>
            <w:tcW w:w="1665" w:type="dxa"/>
            <w:gridSpan w:val="2"/>
            <w:tcBorders>
              <w:bottom w:val="single" w:color="auto" w:sz="12" w:space="0"/>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 xml:space="preserve">Abnormal </w:t>
            </w:r>
          </w:p>
          <w:p>
            <w:pPr>
              <w:spacing w:before="0" w:after="0"/>
              <w:jc w:val="center"/>
              <w:rPr>
                <w:rFonts w:cs="Times New Roman"/>
                <w:b/>
                <w:bCs/>
                <w:color w:val="auto"/>
                <w:szCs w:val="24"/>
                <w:highlight w:val="none"/>
              </w:rPr>
            </w:pPr>
            <w:r>
              <w:rPr>
                <w:rFonts w:cs="Times New Roman"/>
                <w:b/>
                <w:bCs/>
                <w:color w:val="auto"/>
                <w:szCs w:val="24"/>
                <w:highlight w:val="none"/>
              </w:rPr>
              <w:t>(n</w:t>
            </w:r>
            <w:r>
              <w:rPr>
                <w:rFonts w:hint="eastAsia" w:cs="Times New Roman"/>
                <w:b/>
                <w:bCs/>
                <w:color w:val="auto"/>
                <w:szCs w:val="24"/>
                <w:highlight w:val="none"/>
                <w:lang w:val="en-US" w:eastAsia="zh-CN"/>
              </w:rPr>
              <w:t xml:space="preserve"> </w:t>
            </w:r>
            <w:r>
              <w:rPr>
                <w:rFonts w:cs="Times New Roman"/>
                <w:b/>
                <w:bCs/>
                <w:color w:val="auto"/>
                <w:szCs w:val="24"/>
                <w:highlight w:val="none"/>
              </w:rPr>
              <w:t>=</w:t>
            </w:r>
            <w:r>
              <w:rPr>
                <w:rFonts w:hint="eastAsia" w:cs="Times New Roman"/>
                <w:b/>
                <w:bCs/>
                <w:color w:val="auto"/>
                <w:szCs w:val="24"/>
                <w:highlight w:val="none"/>
                <w:lang w:val="en-US" w:eastAsia="zh-CN"/>
              </w:rPr>
              <w:t xml:space="preserve"> </w:t>
            </w:r>
            <w:r>
              <w:rPr>
                <w:rFonts w:cs="Times New Roman"/>
                <w:b/>
                <w:bCs/>
                <w:color w:val="auto"/>
                <w:szCs w:val="24"/>
                <w:highlight w:val="none"/>
              </w:rPr>
              <w:t>3)</w:t>
            </w:r>
          </w:p>
        </w:tc>
        <w:tc>
          <w:tcPr>
            <w:tcW w:w="1028" w:type="dxa"/>
            <w:tcBorders>
              <w:bottom w:val="single" w:color="auto" w:sz="12" w:space="0"/>
            </w:tcBorders>
            <w:vAlign w:val="center"/>
          </w:tcPr>
          <w:p>
            <w:pPr>
              <w:spacing w:before="0" w:after="0"/>
              <w:jc w:val="center"/>
              <w:rPr>
                <w:rFonts w:cs="Times New Roman"/>
                <w:b/>
                <w:bCs/>
                <w:color w:val="auto"/>
                <w:szCs w:val="24"/>
                <w:highlight w:val="none"/>
              </w:rPr>
            </w:pPr>
            <w:r>
              <w:rPr>
                <w:rFonts w:cs="Times New Roman"/>
                <w:b/>
                <w:bCs/>
                <w:color w:val="auto"/>
                <w:szCs w:val="24"/>
                <w:highlight w:val="none"/>
              </w:rPr>
              <w:t>P-value</w:t>
            </w:r>
          </w:p>
        </w:tc>
        <w:tc>
          <w:tcPr>
            <w:tcW w:w="1344" w:type="dxa"/>
            <w:tcBorders>
              <w:bottom w:val="single" w:color="auto" w:sz="12" w:space="0"/>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 xml:space="preserve">Normal </w:t>
            </w:r>
          </w:p>
          <w:p>
            <w:pPr>
              <w:spacing w:before="0" w:after="0"/>
              <w:jc w:val="center"/>
              <w:rPr>
                <w:rFonts w:cs="Times New Roman"/>
                <w:b/>
                <w:bCs/>
                <w:color w:val="auto"/>
                <w:szCs w:val="24"/>
                <w:highlight w:val="none"/>
              </w:rPr>
            </w:pPr>
            <w:r>
              <w:rPr>
                <w:rFonts w:cs="Times New Roman"/>
                <w:b/>
                <w:bCs/>
                <w:color w:val="auto"/>
                <w:szCs w:val="24"/>
                <w:highlight w:val="none"/>
              </w:rPr>
              <w:t>(n</w:t>
            </w:r>
            <w:r>
              <w:rPr>
                <w:rFonts w:hint="eastAsia" w:cs="Times New Roman"/>
                <w:b/>
                <w:bCs/>
                <w:color w:val="auto"/>
                <w:szCs w:val="24"/>
                <w:highlight w:val="none"/>
                <w:lang w:val="en-US" w:eastAsia="zh-CN"/>
              </w:rPr>
              <w:t xml:space="preserve"> </w:t>
            </w:r>
            <w:r>
              <w:rPr>
                <w:rFonts w:cs="Times New Roman"/>
                <w:b/>
                <w:bCs/>
                <w:color w:val="auto"/>
                <w:szCs w:val="24"/>
                <w:highlight w:val="none"/>
              </w:rPr>
              <w:t>=</w:t>
            </w:r>
            <w:r>
              <w:rPr>
                <w:rFonts w:hint="eastAsia" w:cs="Times New Roman"/>
                <w:b/>
                <w:bCs/>
                <w:color w:val="auto"/>
                <w:szCs w:val="24"/>
                <w:highlight w:val="none"/>
                <w:lang w:val="en-US" w:eastAsia="zh-CN"/>
              </w:rPr>
              <w:t xml:space="preserve"> </w:t>
            </w:r>
            <w:r>
              <w:rPr>
                <w:rFonts w:cs="Times New Roman"/>
                <w:b/>
                <w:bCs/>
                <w:color w:val="auto"/>
                <w:szCs w:val="24"/>
                <w:highlight w:val="none"/>
              </w:rPr>
              <w:t>45)</w:t>
            </w:r>
          </w:p>
        </w:tc>
        <w:tc>
          <w:tcPr>
            <w:tcW w:w="1360" w:type="dxa"/>
            <w:tcBorders>
              <w:bottom w:val="single" w:color="auto" w:sz="12" w:space="0"/>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Abnormal (n</w:t>
            </w:r>
            <w:r>
              <w:rPr>
                <w:rFonts w:hint="eastAsia" w:cs="Times New Roman"/>
                <w:b/>
                <w:bCs/>
                <w:color w:val="auto"/>
                <w:szCs w:val="24"/>
                <w:highlight w:val="none"/>
                <w:lang w:val="en-US" w:eastAsia="zh-CN"/>
              </w:rPr>
              <w:t xml:space="preserve"> </w:t>
            </w:r>
            <w:r>
              <w:rPr>
                <w:rFonts w:cs="Times New Roman"/>
                <w:b/>
                <w:bCs/>
                <w:color w:val="auto"/>
                <w:szCs w:val="24"/>
                <w:highlight w:val="none"/>
              </w:rPr>
              <w:t>=</w:t>
            </w:r>
            <w:r>
              <w:rPr>
                <w:rFonts w:hint="eastAsia" w:cs="Times New Roman"/>
                <w:b/>
                <w:bCs/>
                <w:color w:val="auto"/>
                <w:szCs w:val="24"/>
                <w:highlight w:val="none"/>
                <w:lang w:val="en-US" w:eastAsia="zh-CN"/>
              </w:rPr>
              <w:t xml:space="preserve"> </w:t>
            </w:r>
            <w:r>
              <w:rPr>
                <w:rFonts w:cs="Times New Roman"/>
                <w:b/>
                <w:bCs/>
                <w:color w:val="auto"/>
                <w:szCs w:val="24"/>
                <w:highlight w:val="none"/>
              </w:rPr>
              <w:t>5)</w:t>
            </w:r>
          </w:p>
        </w:tc>
        <w:tc>
          <w:tcPr>
            <w:tcW w:w="1391" w:type="dxa"/>
            <w:gridSpan w:val="2"/>
            <w:tcBorders>
              <w:bottom w:val="single" w:color="auto" w:sz="12" w:space="0"/>
            </w:tcBorders>
            <w:vAlign w:val="center"/>
          </w:tcPr>
          <w:p>
            <w:pPr>
              <w:spacing w:before="0" w:after="0"/>
              <w:jc w:val="center"/>
              <w:rPr>
                <w:rFonts w:cs="Times New Roman"/>
                <w:b/>
                <w:bCs/>
                <w:color w:val="auto"/>
                <w:szCs w:val="24"/>
                <w:highlight w:val="none"/>
              </w:rPr>
            </w:pPr>
            <w:r>
              <w:rPr>
                <w:rFonts w:cs="Times New Roman"/>
                <w:b/>
                <w:bCs/>
                <w:color w:val="auto"/>
                <w:szCs w:val="24"/>
                <w:highlight w:val="none"/>
              </w:rPr>
              <w:t>P-value</w:t>
            </w:r>
          </w:p>
        </w:tc>
      </w:tr>
      <w:tr>
        <w:tblPrEx>
          <w:tblCellMar>
            <w:top w:w="0" w:type="dxa"/>
            <w:left w:w="108" w:type="dxa"/>
            <w:bottom w:w="0" w:type="dxa"/>
            <w:right w:w="108" w:type="dxa"/>
          </w:tblCellMar>
        </w:tblPrEx>
        <w:trPr>
          <w:gridAfter w:val="1"/>
          <w:wAfter w:w="7" w:type="dxa"/>
          <w:trHeight w:val="280" w:hRule="atLeast"/>
        </w:trPr>
        <w:tc>
          <w:tcPr>
            <w:tcW w:w="1418" w:type="dxa"/>
            <w:gridSpan w:val="2"/>
            <w:tcBorders>
              <w:top w:val="single" w:color="auto" w:sz="12" w:space="0"/>
            </w:tcBorders>
            <w:shd w:val="clear" w:color="auto" w:fill="auto"/>
            <w:noWrap/>
            <w:vAlign w:val="center"/>
          </w:tcPr>
          <w:p>
            <w:pPr>
              <w:spacing w:before="48" w:beforeLines="20" w:after="48" w:afterLines="20"/>
              <w:rPr>
                <w:rFonts w:cs="Times New Roman"/>
                <w:b/>
                <w:bCs/>
                <w:color w:val="auto"/>
                <w:szCs w:val="24"/>
                <w:highlight w:val="none"/>
              </w:rPr>
            </w:pPr>
            <w:r>
              <w:rPr>
                <w:rFonts w:cs="Times New Roman"/>
                <w:b/>
                <w:bCs/>
                <w:color w:val="auto"/>
                <w:szCs w:val="24"/>
                <w:highlight w:val="none"/>
              </w:rPr>
              <w:t>Fatigue</w:t>
            </w:r>
          </w:p>
        </w:tc>
        <w:tc>
          <w:tcPr>
            <w:tcW w:w="1559" w:type="dxa"/>
            <w:tcBorders>
              <w:top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c>
          <w:tcPr>
            <w:tcW w:w="1665" w:type="dxa"/>
            <w:gridSpan w:val="2"/>
            <w:tcBorders>
              <w:top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c>
          <w:tcPr>
            <w:tcW w:w="1028" w:type="dxa"/>
            <w:tcBorders>
              <w:top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c>
          <w:tcPr>
            <w:tcW w:w="1344" w:type="dxa"/>
            <w:tcBorders>
              <w:top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c>
          <w:tcPr>
            <w:tcW w:w="1360" w:type="dxa"/>
            <w:tcBorders>
              <w:top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c>
          <w:tcPr>
            <w:tcW w:w="1391" w:type="dxa"/>
            <w:gridSpan w:val="2"/>
            <w:tcBorders>
              <w:top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r>
      <w:tr>
        <w:tblPrEx>
          <w:tblCellMar>
            <w:top w:w="0" w:type="dxa"/>
            <w:left w:w="108" w:type="dxa"/>
            <w:bottom w:w="0" w:type="dxa"/>
            <w:right w:w="108" w:type="dxa"/>
          </w:tblCellMar>
        </w:tblPrEx>
        <w:trPr>
          <w:gridAfter w:val="1"/>
          <w:wAfter w:w="7" w:type="dxa"/>
          <w:trHeight w:val="280" w:hRule="atLeast"/>
        </w:trPr>
        <w:tc>
          <w:tcPr>
            <w:tcW w:w="307" w:type="dxa"/>
            <w:shd w:val="clear" w:color="auto" w:fill="auto"/>
            <w:noWrap/>
            <w:vAlign w:val="center"/>
          </w:tcPr>
          <w:p>
            <w:pPr>
              <w:spacing w:before="48" w:beforeLines="20" w:after="48" w:afterLines="20"/>
              <w:rPr>
                <w:rFonts w:cs="Times New Roman"/>
                <w:color w:val="auto"/>
                <w:szCs w:val="24"/>
                <w:highlight w:val="none"/>
              </w:rPr>
            </w:pPr>
          </w:p>
        </w:tc>
        <w:tc>
          <w:tcPr>
            <w:tcW w:w="1111" w:type="dxa"/>
            <w:shd w:val="clear" w:color="auto" w:fill="auto"/>
            <w:noWrap/>
            <w:vAlign w:val="center"/>
          </w:tcPr>
          <w:p>
            <w:pPr>
              <w:spacing w:before="48" w:beforeLines="20" w:after="48" w:afterLines="20"/>
              <w:rPr>
                <w:rFonts w:cs="Times New Roman"/>
                <w:color w:val="auto"/>
                <w:szCs w:val="24"/>
                <w:highlight w:val="none"/>
              </w:rPr>
            </w:pPr>
            <w:r>
              <w:rPr>
                <w:rFonts w:cs="Times New Roman"/>
                <w:color w:val="auto"/>
                <w:szCs w:val="24"/>
                <w:highlight w:val="none"/>
              </w:rPr>
              <w:t>Y</w:t>
            </w:r>
          </w:p>
        </w:tc>
        <w:tc>
          <w:tcPr>
            <w:tcW w:w="1559"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11 (23.4%)</w:t>
            </w:r>
          </w:p>
        </w:tc>
        <w:tc>
          <w:tcPr>
            <w:tcW w:w="1665" w:type="dxa"/>
            <w:gridSpan w:val="2"/>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1 (33.3%)</w:t>
            </w:r>
          </w:p>
        </w:tc>
        <w:tc>
          <w:tcPr>
            <w:tcW w:w="1028" w:type="dxa"/>
            <w:vMerge w:val="restart"/>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1.000</w:t>
            </w:r>
          </w:p>
        </w:tc>
        <w:tc>
          <w:tcPr>
            <w:tcW w:w="1344"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9 (20.0%)</w:t>
            </w:r>
          </w:p>
        </w:tc>
        <w:tc>
          <w:tcPr>
            <w:tcW w:w="1360"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3 (60.0%)</w:t>
            </w:r>
          </w:p>
        </w:tc>
        <w:tc>
          <w:tcPr>
            <w:tcW w:w="1391" w:type="dxa"/>
            <w:gridSpan w:val="2"/>
            <w:vMerge w:val="restart"/>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0.047*</w:t>
            </w:r>
          </w:p>
        </w:tc>
      </w:tr>
      <w:tr>
        <w:tblPrEx>
          <w:tblCellMar>
            <w:top w:w="0" w:type="dxa"/>
            <w:left w:w="108" w:type="dxa"/>
            <w:bottom w:w="0" w:type="dxa"/>
            <w:right w:w="108" w:type="dxa"/>
          </w:tblCellMar>
        </w:tblPrEx>
        <w:trPr>
          <w:gridAfter w:val="1"/>
          <w:wAfter w:w="7" w:type="dxa"/>
          <w:trHeight w:val="280" w:hRule="atLeast"/>
        </w:trPr>
        <w:tc>
          <w:tcPr>
            <w:tcW w:w="307" w:type="dxa"/>
            <w:shd w:val="clear" w:color="auto" w:fill="auto"/>
            <w:noWrap/>
            <w:vAlign w:val="center"/>
          </w:tcPr>
          <w:p>
            <w:pPr>
              <w:spacing w:before="48" w:beforeLines="20" w:after="48" w:afterLines="20"/>
              <w:rPr>
                <w:rFonts w:cs="Times New Roman"/>
                <w:color w:val="auto"/>
                <w:szCs w:val="24"/>
                <w:highlight w:val="none"/>
              </w:rPr>
            </w:pPr>
          </w:p>
        </w:tc>
        <w:tc>
          <w:tcPr>
            <w:tcW w:w="1111" w:type="dxa"/>
            <w:shd w:val="clear" w:color="auto" w:fill="auto"/>
            <w:noWrap/>
            <w:vAlign w:val="center"/>
          </w:tcPr>
          <w:p>
            <w:pPr>
              <w:spacing w:before="48" w:beforeLines="20" w:after="48" w:afterLines="20"/>
              <w:rPr>
                <w:rFonts w:cs="Times New Roman"/>
                <w:color w:val="auto"/>
                <w:szCs w:val="24"/>
                <w:highlight w:val="none"/>
              </w:rPr>
            </w:pPr>
            <w:r>
              <w:rPr>
                <w:rFonts w:cs="Times New Roman"/>
                <w:color w:val="auto"/>
                <w:szCs w:val="24"/>
                <w:highlight w:val="none"/>
              </w:rPr>
              <w:t>N</w:t>
            </w:r>
          </w:p>
        </w:tc>
        <w:tc>
          <w:tcPr>
            <w:tcW w:w="1559"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36 (76.6%)</w:t>
            </w:r>
          </w:p>
        </w:tc>
        <w:tc>
          <w:tcPr>
            <w:tcW w:w="1665" w:type="dxa"/>
            <w:gridSpan w:val="2"/>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2 (66.7%)</w:t>
            </w:r>
          </w:p>
        </w:tc>
        <w:tc>
          <w:tcPr>
            <w:tcW w:w="1028" w:type="dxa"/>
            <w:vMerge w:val="continue"/>
            <w:vAlign w:val="center"/>
          </w:tcPr>
          <w:p>
            <w:pPr>
              <w:spacing w:before="48" w:beforeLines="20" w:after="48" w:afterLines="20"/>
              <w:jc w:val="center"/>
              <w:rPr>
                <w:rFonts w:cs="Times New Roman"/>
                <w:color w:val="auto"/>
                <w:szCs w:val="24"/>
                <w:highlight w:val="none"/>
              </w:rPr>
            </w:pPr>
          </w:p>
        </w:tc>
        <w:tc>
          <w:tcPr>
            <w:tcW w:w="1344"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36 (80.0%)</w:t>
            </w:r>
          </w:p>
        </w:tc>
        <w:tc>
          <w:tcPr>
            <w:tcW w:w="1360"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2 (40.0%)</w:t>
            </w:r>
          </w:p>
        </w:tc>
        <w:tc>
          <w:tcPr>
            <w:tcW w:w="1391" w:type="dxa"/>
            <w:gridSpan w:val="2"/>
            <w:vMerge w:val="continue"/>
            <w:vAlign w:val="center"/>
          </w:tcPr>
          <w:p>
            <w:pPr>
              <w:spacing w:before="48" w:beforeLines="20" w:after="48" w:afterLines="20"/>
              <w:jc w:val="center"/>
              <w:rPr>
                <w:rFonts w:cs="Times New Roman"/>
                <w:color w:val="auto"/>
                <w:szCs w:val="24"/>
                <w:highlight w:val="none"/>
              </w:rPr>
            </w:pPr>
          </w:p>
        </w:tc>
      </w:tr>
      <w:tr>
        <w:tblPrEx>
          <w:tblCellMar>
            <w:top w:w="0" w:type="dxa"/>
            <w:left w:w="108" w:type="dxa"/>
            <w:bottom w:w="0" w:type="dxa"/>
            <w:right w:w="108" w:type="dxa"/>
          </w:tblCellMar>
        </w:tblPrEx>
        <w:trPr>
          <w:gridAfter w:val="1"/>
          <w:wAfter w:w="7" w:type="dxa"/>
          <w:trHeight w:val="280" w:hRule="atLeast"/>
        </w:trPr>
        <w:tc>
          <w:tcPr>
            <w:tcW w:w="1418" w:type="dxa"/>
            <w:gridSpan w:val="2"/>
            <w:shd w:val="clear" w:color="auto" w:fill="auto"/>
            <w:noWrap/>
            <w:vAlign w:val="center"/>
          </w:tcPr>
          <w:p>
            <w:pPr>
              <w:spacing w:before="48" w:beforeLines="20" w:after="48" w:afterLines="20"/>
              <w:rPr>
                <w:rFonts w:cs="Times New Roman"/>
                <w:b/>
                <w:bCs/>
                <w:color w:val="auto"/>
                <w:szCs w:val="24"/>
                <w:highlight w:val="none"/>
              </w:rPr>
            </w:pPr>
            <w:r>
              <w:rPr>
                <w:rFonts w:cs="Times New Roman"/>
                <w:b/>
                <w:bCs/>
                <w:color w:val="auto"/>
                <w:szCs w:val="24"/>
                <w:highlight w:val="none"/>
              </w:rPr>
              <w:t>Insomnia</w:t>
            </w:r>
          </w:p>
        </w:tc>
        <w:tc>
          <w:tcPr>
            <w:tcW w:w="1559" w:type="dxa"/>
            <w:shd w:val="clear" w:color="auto" w:fill="auto"/>
            <w:noWrap/>
            <w:vAlign w:val="center"/>
          </w:tcPr>
          <w:p>
            <w:pPr>
              <w:spacing w:before="48" w:beforeLines="20" w:after="48" w:afterLines="20"/>
              <w:jc w:val="center"/>
              <w:rPr>
                <w:rFonts w:cs="Times New Roman"/>
                <w:color w:val="auto"/>
                <w:szCs w:val="24"/>
                <w:highlight w:val="none"/>
              </w:rPr>
            </w:pPr>
          </w:p>
        </w:tc>
        <w:tc>
          <w:tcPr>
            <w:tcW w:w="1665" w:type="dxa"/>
            <w:gridSpan w:val="2"/>
            <w:shd w:val="clear" w:color="auto" w:fill="auto"/>
            <w:noWrap/>
            <w:vAlign w:val="center"/>
          </w:tcPr>
          <w:p>
            <w:pPr>
              <w:spacing w:before="48" w:beforeLines="20" w:after="48" w:afterLines="20"/>
              <w:jc w:val="center"/>
              <w:rPr>
                <w:rFonts w:cs="Times New Roman"/>
                <w:color w:val="auto"/>
                <w:szCs w:val="24"/>
                <w:highlight w:val="none"/>
              </w:rPr>
            </w:pPr>
          </w:p>
        </w:tc>
        <w:tc>
          <w:tcPr>
            <w:tcW w:w="1028" w:type="dxa"/>
            <w:shd w:val="clear" w:color="auto" w:fill="auto"/>
            <w:noWrap/>
            <w:vAlign w:val="center"/>
          </w:tcPr>
          <w:p>
            <w:pPr>
              <w:spacing w:before="48" w:beforeLines="20" w:after="48" w:afterLines="20"/>
              <w:jc w:val="center"/>
              <w:rPr>
                <w:rFonts w:cs="Times New Roman"/>
                <w:color w:val="auto"/>
                <w:szCs w:val="24"/>
                <w:highlight w:val="none"/>
              </w:rPr>
            </w:pPr>
          </w:p>
        </w:tc>
        <w:tc>
          <w:tcPr>
            <w:tcW w:w="1344" w:type="dxa"/>
            <w:shd w:val="clear" w:color="auto" w:fill="auto"/>
            <w:noWrap/>
            <w:vAlign w:val="center"/>
          </w:tcPr>
          <w:p>
            <w:pPr>
              <w:spacing w:before="48" w:beforeLines="20" w:after="48" w:afterLines="20"/>
              <w:jc w:val="center"/>
              <w:rPr>
                <w:rFonts w:cs="Times New Roman"/>
                <w:color w:val="auto"/>
                <w:szCs w:val="24"/>
                <w:highlight w:val="none"/>
              </w:rPr>
            </w:pPr>
          </w:p>
        </w:tc>
        <w:tc>
          <w:tcPr>
            <w:tcW w:w="1360" w:type="dxa"/>
            <w:shd w:val="clear" w:color="auto" w:fill="auto"/>
            <w:noWrap/>
            <w:vAlign w:val="center"/>
          </w:tcPr>
          <w:p>
            <w:pPr>
              <w:spacing w:before="48" w:beforeLines="20" w:after="48" w:afterLines="20"/>
              <w:jc w:val="center"/>
              <w:rPr>
                <w:rFonts w:cs="Times New Roman"/>
                <w:color w:val="auto"/>
                <w:szCs w:val="24"/>
                <w:highlight w:val="none"/>
              </w:rPr>
            </w:pPr>
          </w:p>
        </w:tc>
        <w:tc>
          <w:tcPr>
            <w:tcW w:w="1391" w:type="dxa"/>
            <w:gridSpan w:val="2"/>
            <w:shd w:val="clear" w:color="auto" w:fill="auto"/>
            <w:noWrap/>
            <w:vAlign w:val="center"/>
          </w:tcPr>
          <w:p>
            <w:pPr>
              <w:spacing w:before="48" w:beforeLines="20" w:after="48" w:afterLines="20"/>
              <w:jc w:val="center"/>
              <w:rPr>
                <w:rFonts w:cs="Times New Roman"/>
                <w:color w:val="auto"/>
                <w:szCs w:val="24"/>
                <w:highlight w:val="none"/>
              </w:rPr>
            </w:pPr>
          </w:p>
        </w:tc>
      </w:tr>
      <w:tr>
        <w:tblPrEx>
          <w:tblCellMar>
            <w:top w:w="0" w:type="dxa"/>
            <w:left w:w="108" w:type="dxa"/>
            <w:bottom w:w="0" w:type="dxa"/>
            <w:right w:w="108" w:type="dxa"/>
          </w:tblCellMar>
        </w:tblPrEx>
        <w:trPr>
          <w:gridAfter w:val="1"/>
          <w:wAfter w:w="7" w:type="dxa"/>
          <w:trHeight w:val="280" w:hRule="atLeast"/>
        </w:trPr>
        <w:tc>
          <w:tcPr>
            <w:tcW w:w="307" w:type="dxa"/>
            <w:shd w:val="clear" w:color="auto" w:fill="auto"/>
            <w:noWrap/>
            <w:vAlign w:val="center"/>
          </w:tcPr>
          <w:p>
            <w:pPr>
              <w:spacing w:before="48" w:beforeLines="20" w:after="48" w:afterLines="20"/>
              <w:rPr>
                <w:rFonts w:cs="Times New Roman"/>
                <w:color w:val="auto"/>
                <w:szCs w:val="24"/>
                <w:highlight w:val="none"/>
              </w:rPr>
            </w:pPr>
          </w:p>
        </w:tc>
        <w:tc>
          <w:tcPr>
            <w:tcW w:w="1111" w:type="dxa"/>
            <w:shd w:val="clear" w:color="auto" w:fill="auto"/>
            <w:noWrap/>
            <w:vAlign w:val="center"/>
          </w:tcPr>
          <w:p>
            <w:pPr>
              <w:spacing w:before="48" w:beforeLines="20" w:after="48" w:afterLines="20"/>
              <w:rPr>
                <w:rFonts w:cs="Times New Roman"/>
                <w:color w:val="auto"/>
                <w:szCs w:val="24"/>
                <w:highlight w:val="none"/>
              </w:rPr>
            </w:pPr>
            <w:r>
              <w:rPr>
                <w:rFonts w:cs="Times New Roman"/>
                <w:color w:val="auto"/>
                <w:szCs w:val="24"/>
                <w:highlight w:val="none"/>
              </w:rPr>
              <w:t>Y</w:t>
            </w:r>
          </w:p>
        </w:tc>
        <w:tc>
          <w:tcPr>
            <w:tcW w:w="1559"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9 (19.1%)</w:t>
            </w:r>
          </w:p>
        </w:tc>
        <w:tc>
          <w:tcPr>
            <w:tcW w:w="1665" w:type="dxa"/>
            <w:gridSpan w:val="2"/>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0 (0%)</w:t>
            </w:r>
          </w:p>
        </w:tc>
        <w:tc>
          <w:tcPr>
            <w:tcW w:w="1028" w:type="dxa"/>
            <w:vMerge w:val="restart"/>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0.696</w:t>
            </w:r>
          </w:p>
        </w:tc>
        <w:tc>
          <w:tcPr>
            <w:tcW w:w="1344"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9 (20.0%)</w:t>
            </w:r>
          </w:p>
        </w:tc>
        <w:tc>
          <w:tcPr>
            <w:tcW w:w="1360" w:type="dxa"/>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0 (0%)</w:t>
            </w:r>
          </w:p>
        </w:tc>
        <w:tc>
          <w:tcPr>
            <w:tcW w:w="1391" w:type="dxa"/>
            <w:gridSpan w:val="2"/>
            <w:vMerge w:val="restart"/>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0.269</w:t>
            </w:r>
          </w:p>
        </w:tc>
      </w:tr>
      <w:tr>
        <w:tblPrEx>
          <w:tblCellMar>
            <w:top w:w="0" w:type="dxa"/>
            <w:left w:w="108" w:type="dxa"/>
            <w:bottom w:w="0" w:type="dxa"/>
            <w:right w:w="108" w:type="dxa"/>
          </w:tblCellMar>
        </w:tblPrEx>
        <w:trPr>
          <w:gridAfter w:val="1"/>
          <w:wAfter w:w="7" w:type="dxa"/>
          <w:trHeight w:val="295" w:hRule="atLeast"/>
        </w:trPr>
        <w:tc>
          <w:tcPr>
            <w:tcW w:w="307" w:type="dxa"/>
            <w:tcBorders>
              <w:bottom w:val="single" w:color="auto" w:sz="12" w:space="0"/>
            </w:tcBorders>
            <w:shd w:val="clear" w:color="auto" w:fill="auto"/>
            <w:noWrap/>
            <w:vAlign w:val="center"/>
          </w:tcPr>
          <w:p>
            <w:pPr>
              <w:spacing w:before="48" w:beforeLines="20" w:after="48" w:afterLines="20"/>
              <w:rPr>
                <w:rFonts w:cs="Times New Roman"/>
                <w:color w:val="auto"/>
                <w:szCs w:val="24"/>
                <w:highlight w:val="none"/>
              </w:rPr>
            </w:pPr>
          </w:p>
        </w:tc>
        <w:tc>
          <w:tcPr>
            <w:tcW w:w="1111" w:type="dxa"/>
            <w:tcBorders>
              <w:bottom w:val="single" w:color="auto" w:sz="12" w:space="0"/>
            </w:tcBorders>
            <w:shd w:val="clear" w:color="auto" w:fill="auto"/>
            <w:noWrap/>
            <w:vAlign w:val="center"/>
          </w:tcPr>
          <w:p>
            <w:pPr>
              <w:spacing w:before="48" w:beforeLines="20" w:after="48" w:afterLines="20"/>
              <w:rPr>
                <w:rFonts w:cs="Times New Roman"/>
                <w:color w:val="auto"/>
                <w:szCs w:val="24"/>
                <w:highlight w:val="none"/>
              </w:rPr>
            </w:pPr>
            <w:r>
              <w:rPr>
                <w:rFonts w:cs="Times New Roman"/>
                <w:color w:val="auto"/>
                <w:szCs w:val="24"/>
                <w:highlight w:val="none"/>
              </w:rPr>
              <w:t>N</w:t>
            </w:r>
          </w:p>
        </w:tc>
        <w:tc>
          <w:tcPr>
            <w:tcW w:w="1559" w:type="dxa"/>
            <w:tcBorders>
              <w:bottom w:val="single" w:color="auto" w:sz="12" w:space="0"/>
            </w:tcBorders>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38 (80.9%)</w:t>
            </w:r>
          </w:p>
        </w:tc>
        <w:tc>
          <w:tcPr>
            <w:tcW w:w="1665" w:type="dxa"/>
            <w:gridSpan w:val="2"/>
            <w:tcBorders>
              <w:bottom w:val="single" w:color="auto" w:sz="12" w:space="0"/>
            </w:tcBorders>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3 (100%)</w:t>
            </w:r>
          </w:p>
        </w:tc>
        <w:tc>
          <w:tcPr>
            <w:tcW w:w="1028" w:type="dxa"/>
            <w:vMerge w:val="continue"/>
            <w:tcBorders>
              <w:bottom w:val="single" w:color="auto" w:sz="12" w:space="0"/>
            </w:tcBorders>
            <w:vAlign w:val="center"/>
          </w:tcPr>
          <w:p>
            <w:pPr>
              <w:spacing w:before="48" w:beforeLines="20" w:after="48" w:afterLines="20"/>
              <w:jc w:val="center"/>
              <w:rPr>
                <w:rFonts w:cs="Times New Roman"/>
                <w:color w:val="auto"/>
                <w:szCs w:val="24"/>
                <w:highlight w:val="none"/>
              </w:rPr>
            </w:pPr>
          </w:p>
        </w:tc>
        <w:tc>
          <w:tcPr>
            <w:tcW w:w="1344" w:type="dxa"/>
            <w:tcBorders>
              <w:bottom w:val="single" w:color="auto" w:sz="12" w:space="0"/>
            </w:tcBorders>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36 (80.0%)</w:t>
            </w:r>
          </w:p>
        </w:tc>
        <w:tc>
          <w:tcPr>
            <w:tcW w:w="1360" w:type="dxa"/>
            <w:tcBorders>
              <w:bottom w:val="single" w:color="auto" w:sz="12" w:space="0"/>
            </w:tcBorders>
            <w:shd w:val="clear" w:color="auto" w:fill="auto"/>
            <w:noWrap/>
            <w:vAlign w:val="center"/>
          </w:tcPr>
          <w:p>
            <w:pPr>
              <w:spacing w:before="48" w:beforeLines="20" w:after="48" w:afterLines="20"/>
              <w:jc w:val="center"/>
              <w:rPr>
                <w:rFonts w:cs="Times New Roman"/>
                <w:color w:val="auto"/>
                <w:szCs w:val="24"/>
                <w:highlight w:val="none"/>
              </w:rPr>
            </w:pPr>
            <w:r>
              <w:rPr>
                <w:rFonts w:cs="Times New Roman"/>
                <w:color w:val="auto"/>
                <w:szCs w:val="24"/>
                <w:highlight w:val="none"/>
              </w:rPr>
              <w:t>5 (100%)</w:t>
            </w:r>
          </w:p>
        </w:tc>
        <w:tc>
          <w:tcPr>
            <w:tcW w:w="1391" w:type="dxa"/>
            <w:gridSpan w:val="2"/>
            <w:vMerge w:val="continue"/>
            <w:vAlign w:val="center"/>
          </w:tcPr>
          <w:p>
            <w:pPr>
              <w:spacing w:before="48" w:beforeLines="20" w:after="48" w:afterLines="20"/>
              <w:rPr>
                <w:rFonts w:cs="Times New Roman"/>
                <w:color w:val="auto"/>
                <w:szCs w:val="24"/>
                <w:highlight w:val="none"/>
              </w:rPr>
            </w:pPr>
          </w:p>
        </w:tc>
      </w:tr>
      <w:tr>
        <w:tblPrEx>
          <w:tblCellMar>
            <w:top w:w="0" w:type="dxa"/>
            <w:left w:w="108" w:type="dxa"/>
            <w:bottom w:w="0" w:type="dxa"/>
            <w:right w:w="108" w:type="dxa"/>
          </w:tblCellMar>
        </w:tblPrEx>
        <w:trPr>
          <w:trHeight w:val="280" w:hRule="atLeast"/>
        </w:trPr>
        <w:tc>
          <w:tcPr>
            <w:tcW w:w="9772" w:type="dxa"/>
            <w:gridSpan w:val="11"/>
            <w:tcBorders>
              <w:top w:val="single" w:color="auto" w:sz="12" w:space="0"/>
            </w:tcBorders>
            <w:shd w:val="clear" w:color="auto" w:fill="auto"/>
            <w:noWrap/>
          </w:tcPr>
          <w:p>
            <w:pPr>
              <w:spacing w:before="0" w:after="0"/>
              <w:jc w:val="both"/>
              <w:rPr>
                <w:rFonts w:cs="Times New Roman"/>
                <w:color w:val="auto"/>
                <w:szCs w:val="24"/>
                <w:highlight w:val="none"/>
              </w:rPr>
            </w:pPr>
            <w:r>
              <w:rPr>
                <w:rFonts w:cs="Times New Roman"/>
                <w:color w:val="auto"/>
                <w:szCs w:val="24"/>
                <w:highlight w:val="none"/>
              </w:rPr>
              <w:t>Abbreviation: Y, yes; N, no.</w:t>
            </w:r>
          </w:p>
        </w:tc>
      </w:tr>
    </w:tbl>
    <w:p>
      <w:pPr>
        <w:spacing w:before="0" w:after="200" w:line="276" w:lineRule="auto"/>
        <w:rPr>
          <w:rFonts w:cs="Times New Roman"/>
          <w:b/>
          <w:color w:val="auto"/>
          <w:szCs w:val="24"/>
          <w:highlight w:val="none"/>
        </w:rPr>
      </w:pPr>
      <w:r>
        <w:rPr>
          <w:rFonts w:cs="Times New Roman"/>
          <w:b/>
          <w:color w:val="auto"/>
          <w:szCs w:val="24"/>
          <w:highlight w:val="none"/>
        </w:rPr>
        <w:br w:type="page"/>
      </w:r>
    </w:p>
    <w:p>
      <w:pPr>
        <w:keepNext/>
        <w:rPr>
          <w:rFonts w:cs="Times New Roman"/>
          <w:b/>
          <w:color w:val="auto"/>
          <w:szCs w:val="24"/>
          <w:highlight w:val="none"/>
        </w:rPr>
      </w:pPr>
      <w:r>
        <w:rPr>
          <w:rFonts w:cs="Times New Roman"/>
          <w:b/>
          <w:color w:val="auto"/>
          <w:szCs w:val="24"/>
          <w:highlight w:val="none"/>
        </w:rPr>
        <w:t xml:space="preserve">Supplementary Table 3. </w:t>
      </w:r>
      <w:bookmarkStart w:id="1" w:name="_Hlk141364548"/>
      <w:r>
        <w:rPr>
          <w:rFonts w:cs="Times New Roman"/>
          <w:b/>
          <w:color w:val="auto"/>
          <w:szCs w:val="24"/>
          <w:highlight w:val="none"/>
        </w:rPr>
        <w:t xml:space="preserve">List of signature metabolites </w:t>
      </w:r>
      <w:r>
        <w:rPr>
          <w:rFonts w:hint="eastAsia" w:cs="Times New Roman"/>
          <w:b/>
          <w:color w:val="auto"/>
          <w:szCs w:val="24"/>
          <w:highlight w:val="none"/>
          <w:lang w:eastAsia="zh-CN"/>
        </w:rPr>
        <w:t>cont</w:t>
      </w:r>
      <w:r>
        <w:rPr>
          <w:rFonts w:cs="Times New Roman"/>
          <w:b/>
          <w:color w:val="auto"/>
          <w:szCs w:val="24"/>
          <w:highlight w:val="none"/>
        </w:rPr>
        <w:t>ributed to discriminating t0 with t1, for all enrolled patients (n = 50).</w:t>
      </w:r>
      <w:bookmarkEnd w:id="1"/>
    </w:p>
    <w:tbl>
      <w:tblPr>
        <w:tblStyle w:val="20"/>
        <w:tblW w:w="4942" w:type="pct"/>
        <w:tblInd w:w="0" w:type="dxa"/>
        <w:tblLayout w:type="fixed"/>
        <w:tblCellMar>
          <w:top w:w="0" w:type="dxa"/>
          <w:left w:w="0" w:type="dxa"/>
          <w:bottom w:w="0" w:type="dxa"/>
          <w:right w:w="0" w:type="dxa"/>
        </w:tblCellMar>
      </w:tblPr>
      <w:tblGrid>
        <w:gridCol w:w="4548"/>
        <w:gridCol w:w="2136"/>
        <w:gridCol w:w="1902"/>
        <w:gridCol w:w="1107"/>
      </w:tblGrid>
      <w:tr>
        <w:tblPrEx>
          <w:tblCellMar>
            <w:top w:w="0" w:type="dxa"/>
            <w:left w:w="0" w:type="dxa"/>
            <w:bottom w:w="0" w:type="dxa"/>
            <w:right w:w="0" w:type="dxa"/>
          </w:tblCellMar>
        </w:tblPrEx>
        <w:trPr>
          <w:trHeight w:val="20" w:hRule="atLeast"/>
          <w:tblHeader/>
        </w:trPr>
        <w:tc>
          <w:tcPr>
            <w:tcW w:w="2346" w:type="pct"/>
            <w:tcBorders>
              <w:top w:val="single" w:color="auto" w:sz="12" w:space="0"/>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
                <w:bCs/>
                <w:color w:val="auto"/>
                <w:szCs w:val="24"/>
                <w:highlight w:val="none"/>
              </w:rPr>
            </w:pPr>
            <w:r>
              <w:rPr>
                <w:rFonts w:cs="Times New Roman"/>
                <w:b/>
                <w:bCs/>
                <w:color w:val="auto"/>
                <w:szCs w:val="24"/>
                <w:highlight w:val="none"/>
              </w:rPr>
              <w:t>Compound_name</w:t>
            </w:r>
          </w:p>
        </w:tc>
        <w:tc>
          <w:tcPr>
            <w:tcW w:w="1102" w:type="pct"/>
            <w:tcBorders>
              <w:top w:val="single" w:color="auto" w:sz="12" w:space="0"/>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
                <w:bCs/>
                <w:color w:val="auto"/>
                <w:szCs w:val="24"/>
                <w:highlight w:val="none"/>
              </w:rPr>
            </w:pPr>
            <w:r>
              <w:rPr>
                <w:rFonts w:cs="Times New Roman"/>
                <w:b/>
                <w:bCs/>
                <w:color w:val="auto"/>
                <w:szCs w:val="24"/>
                <w:highlight w:val="none"/>
              </w:rPr>
              <w:t>HMDB_ID</w:t>
            </w:r>
          </w:p>
        </w:tc>
        <w:tc>
          <w:tcPr>
            <w:tcW w:w="981" w:type="pct"/>
            <w:tcBorders>
              <w:top w:val="single" w:color="auto" w:sz="12" w:space="0"/>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
                <w:bCs/>
                <w:color w:val="auto"/>
                <w:szCs w:val="24"/>
                <w:highlight w:val="none"/>
              </w:rPr>
            </w:pPr>
            <w:r>
              <w:rPr>
                <w:rFonts w:cs="Times New Roman"/>
                <w:b/>
                <w:bCs/>
                <w:color w:val="auto"/>
                <w:szCs w:val="24"/>
                <w:highlight w:val="none"/>
              </w:rPr>
              <w:t>SUPER_META_PATHWAY</w:t>
            </w:r>
          </w:p>
        </w:tc>
        <w:tc>
          <w:tcPr>
            <w:tcW w:w="571" w:type="pct"/>
            <w:tcBorders>
              <w:top w:val="single" w:color="auto" w:sz="12" w:space="0"/>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
                <w:bCs/>
                <w:color w:val="auto"/>
                <w:szCs w:val="24"/>
                <w:highlight w:val="none"/>
              </w:rPr>
            </w:pPr>
            <w:r>
              <w:rPr>
                <w:rFonts w:cs="Times New Roman"/>
                <w:b/>
                <w:bCs/>
                <w:color w:val="auto"/>
                <w:szCs w:val="24"/>
                <w:highlight w:val="none"/>
              </w:rPr>
              <w:t>OPLS</w:t>
            </w:r>
            <w:bookmarkStart w:id="4" w:name="_GoBack"/>
            <w:bookmarkEnd w:id="4"/>
            <w:r>
              <w:rPr>
                <w:rFonts w:cs="Times New Roman"/>
                <w:b/>
                <w:bCs/>
                <w:color w:val="auto"/>
                <w:szCs w:val="24"/>
                <w:highlight w:val="none"/>
              </w:rPr>
              <w:t>-DA_VIP</w:t>
            </w:r>
          </w:p>
        </w:tc>
      </w:tr>
      <w:tr>
        <w:tblPrEx>
          <w:tblCellMar>
            <w:top w:w="0" w:type="dxa"/>
            <w:left w:w="0" w:type="dxa"/>
            <w:bottom w:w="0" w:type="dxa"/>
            <w:right w:w="0" w:type="dxa"/>
          </w:tblCellMar>
        </w:tblPrEx>
        <w:trPr>
          <w:trHeight w:val="20" w:hRule="atLeast"/>
        </w:trPr>
        <w:tc>
          <w:tcPr>
            <w:tcW w:w="2346" w:type="pct"/>
            <w:tcBorders>
              <w:top w:val="single" w:color="auto" w:sz="12" w:space="0"/>
              <w:left w:val="nil"/>
              <w:bottom w:val="nil"/>
              <w:right w:val="nil"/>
            </w:tcBorders>
            <w:shd w:val="clear" w:color="auto" w:fill="auto"/>
            <w:noWrap/>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gentisate</w:t>
            </w:r>
          </w:p>
        </w:tc>
        <w:tc>
          <w:tcPr>
            <w:tcW w:w="1102" w:type="pct"/>
            <w:tcBorders>
              <w:top w:val="single" w:color="auto" w:sz="12" w:space="0"/>
              <w:left w:val="nil"/>
              <w:bottom w:val="nil"/>
              <w:right w:val="nil"/>
            </w:tcBorders>
            <w:shd w:val="clear" w:color="auto" w:fill="auto"/>
            <w:noWrap/>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HMDB0000152</w:t>
            </w:r>
          </w:p>
        </w:tc>
        <w:tc>
          <w:tcPr>
            <w:tcW w:w="981" w:type="pct"/>
            <w:tcBorders>
              <w:top w:val="single" w:color="auto" w:sz="12" w:space="0"/>
              <w:left w:val="nil"/>
              <w:bottom w:val="nil"/>
              <w:right w:val="nil"/>
            </w:tcBorders>
            <w:shd w:val="clear" w:color="auto" w:fill="auto"/>
            <w:noWrap/>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Amino Acid</w:t>
            </w:r>
          </w:p>
        </w:tc>
        <w:tc>
          <w:tcPr>
            <w:tcW w:w="571" w:type="pct"/>
            <w:tcBorders>
              <w:top w:val="single" w:color="auto" w:sz="12" w:space="0"/>
              <w:left w:val="nil"/>
              <w:bottom w:val="nil"/>
              <w:right w:val="nil"/>
            </w:tcBorders>
            <w:shd w:val="clear" w:color="auto" w:fill="auto"/>
            <w:noWrap/>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maltotriose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HMDB0001262</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Carbohydrate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2.17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docosadienoate (22:2n6)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HMDB0061714</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2.14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docosatrienoate (22:3n3)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HMDB0002823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2.31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N-linoleoyltaurine*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N-oleoyltaurine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estrone 3-sulfate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HMDB0001425</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caprate (10:0)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HMDB0000511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3-hydroxydodecanedioate*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HMDB0000413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3.25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10-undecenoate (11:1n1)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HMDB0033724</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2.43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tridecenedioate (C13:1-DC)*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2.96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tetradecadienedioate (C14:2-DC)*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2.67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glycerol</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HMDB0000131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2.83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1-stearoyl-GPS (18:0)*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HMDB0061698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tetrahydrocortisol sulfate (1)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cis-4-decenoate (10:1n6)*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HMDB0004980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2.97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hexadecadienoate (16:2n6)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HMDB0000477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2.43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adrenate (22:4n6)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HMDB0002226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2.08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caprylate (8:0)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HMDB0000482</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2.16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(2 or 3)-decenoate (10:1n7 or n8)</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3.04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docosapentaenoate (n3 DPA; 22:5n3)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HMDB0006528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2.30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oleate/vaccenate (18:1)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HMDB0000207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cortolone glucuronide (1)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hexanoylglutamine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2.31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caproate (6:0)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HMDB0000535</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nisinate (24:6n3)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HMDB0002007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2.62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3-hydroxysebacate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HMDB0000350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2.50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3b-hydroxy-5-cholenoic acid</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HMDB0000308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dodecadienoate (12:2)*</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3.12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3-hydroxyhexanoate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HMDB0061652</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trans-2-hexenoylglycine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palmitoleate (16:1n7)</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HMDB0003229</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arachidonate (20:4n6)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HMDB0001043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docosahexaenoate (DHA; 22:6n3)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HMDB0002183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dihomo-linolenate (20:3n3 or 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HMDB0002925</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heneicosapentaenoate (21:5n3)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2.40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dihomo-linoleate (20:2n6)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HMDB0005060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branched chain 14:0 dicarboxylic acid</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2.21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3-hydroxylaurate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HMDB0000387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3.35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eicosenoate (20:1)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HMDB0002231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3-hydroxymyristate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HMDB0061656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3.03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decadienedioic acid (C10:2-DC)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1.77 </w:t>
            </w:r>
          </w:p>
        </w:tc>
      </w:tr>
      <w:tr>
        <w:tblPrEx>
          <w:tblCellMar>
            <w:top w:w="0" w:type="dxa"/>
            <w:left w:w="0" w:type="dxa"/>
            <w:bottom w:w="0" w:type="dxa"/>
            <w:right w:w="0" w:type="dxa"/>
          </w:tblCellMar>
        </w:tblPrEx>
        <w:trPr>
          <w:trHeight w:val="20" w:hRule="atLeast"/>
        </w:trPr>
        <w:tc>
          <w:tcPr>
            <w:tcW w:w="2346" w:type="pct"/>
            <w:tcBorders>
              <w:top w:val="single" w:color="auto" w:sz="12" w:space="0"/>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cholate</w:t>
            </w:r>
          </w:p>
        </w:tc>
        <w:tc>
          <w:tcPr>
            <w:tcW w:w="1102" w:type="pct"/>
            <w:tcBorders>
              <w:top w:val="single" w:color="auto" w:sz="12" w:space="0"/>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HMDB0000619</w:t>
            </w:r>
          </w:p>
        </w:tc>
        <w:tc>
          <w:tcPr>
            <w:tcW w:w="981" w:type="pct"/>
            <w:tcBorders>
              <w:top w:val="single" w:color="auto" w:sz="12" w:space="0"/>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single" w:color="auto" w:sz="12" w:space="0"/>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myristate (14:0)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HMDB0000806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hexadecanedioate (C16-DC)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HMDB0000672</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stearidonate (18:4n3)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HMDB0006547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2.16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isoursodeoxycholate sulfate (1)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linoleate (18:2n6)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HMDB0000673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isoursodeoxycholate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HMDB0000686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tetradecadienoate (14:2)*</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HMDB0000560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3.28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5-dodecenoate (12:1n7)</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HMDB0000529</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3.28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hexadecenedioate (C16:1-DC)*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dodecenedioate (C12:1-DC)*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HMDB0000933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2.33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N-linoleoylglycine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hexanoylglycine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HMDB0000701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erucate (22:1n9)</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HMDB0002068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docosapentaenoate (n6 DPA; 22:5n6)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HMDB0001976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2.16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3-hydroxydecanoate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HMDB0002203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3.01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tetradecanedioate (C14-DC)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HMDB0000872</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10-heptadecenoate (17:1n7)</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HMDB0060038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2.04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10-nonadecenoate (19:1n9)</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HMDB0013622</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2.08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myristoleate (14:1n5)</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HMDB0002000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2.70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linolenate [alpha or gamma; (18:3n3 or 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HMDB0003073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3-hydroxyoctanoate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HMDB0001954</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2.44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dodecanedioate (C12-DC)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HMDB0000623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margarate (17:0)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HMDB0002259</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2-hydroxydecanoate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HMDB0094656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(16 or 17)-methylstearate (a19:0 or i19:0)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HMDB0037397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16-hydroxypalmitate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HMDB0006294</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guanosine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HMDB0000133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Nucleotide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hypoxanthine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HMDB0000157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Nucleotide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3.07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inosine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HMDB0000195</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Nucleotide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branched-chain, straight-chain, or cyclopropyl 12:1 fatty acid*</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Others</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3.37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valylglycine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HMDB0029127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Peptide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3-hydroxyoleate*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1.71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mannitol/sorbitol</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HMDB0000765</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Carbohydrate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1.64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3-hydroxyoctanoylcarnitine (1)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HMDB0061634</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3.01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3-hydroxyoctanoylcarnitine (2)</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3.23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3-hydroxybutyrylcarnitine (2)</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HMDB0013127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hexanoylcarnitine (C6)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HMDB0000756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3.30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acetylcarnitine (C2)</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HMDB0000201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1.68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adenosine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HMDB0000050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Nucleotide</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stearoyl ethanolamide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HMDB0013078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octadecenedioylcarnitine (C18:1-DC)*</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3-hydroxydecanoylcarnitine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HMDB0061636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3.36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3-hydroxyoleoylcarnitine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3.01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myristoylcarnitine (C14)</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HMDB0254979</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2.73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decanoylcarnitine (C10)</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HMDB0000651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3.79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laurylcarnitine (C12)</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HMDB0002250</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3.79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octanoylcarnitine (C8)</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HMDB0000791</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3.69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nonanoylcarnitine (C9)</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HMDB0013288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3.88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nervonoylcarnitine (C24:1)*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HMDB0006509</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cis-4-decenoylcarnitine (C10:1)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HMDB0240585</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3.30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undecenoylcarnitine (C11:1)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2.49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3-decenoylcarnitine</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3.12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palmitoleoylcarnitine (C16:1)*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HMDB0013207</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2.35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5-dodecenoylcarnitine (C12:1)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HMDB0013326</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3.63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myristoleoylcarnitine (C14:1)*</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HMDB0240588</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3.60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linolenoylcarnitine (C18:3)*</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1.55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docosahexaenoylcarnitine (C22:6)*</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1.81 </w:t>
            </w:r>
          </w:p>
        </w:tc>
      </w:tr>
      <w:tr>
        <w:tblPrEx>
          <w:tblCellMar>
            <w:top w:w="0" w:type="dxa"/>
            <w:left w:w="0" w:type="dxa"/>
            <w:bottom w:w="0" w:type="dxa"/>
            <w:right w:w="0" w:type="dxa"/>
          </w:tblCellMar>
        </w:tblPrEx>
        <w:trPr>
          <w:trHeight w:val="20" w:hRule="atLeast"/>
        </w:trPr>
        <w:tc>
          <w:tcPr>
            <w:tcW w:w="2346"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1-stearoyl-2-arachidonoyl-GPS (18:0/20:4)</w:t>
            </w:r>
          </w:p>
        </w:tc>
        <w:tc>
          <w:tcPr>
            <w:tcW w:w="1102"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HMDB0012383</w:t>
            </w:r>
          </w:p>
        </w:tc>
        <w:tc>
          <w:tcPr>
            <w:tcW w:w="98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nil"/>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2.08 </w:t>
            </w:r>
          </w:p>
        </w:tc>
      </w:tr>
      <w:tr>
        <w:tblPrEx>
          <w:tblCellMar>
            <w:top w:w="0" w:type="dxa"/>
            <w:left w:w="0" w:type="dxa"/>
            <w:bottom w:w="0" w:type="dxa"/>
            <w:right w:w="0" w:type="dxa"/>
          </w:tblCellMar>
        </w:tblPrEx>
        <w:trPr>
          <w:trHeight w:val="20" w:hRule="atLeast"/>
        </w:trPr>
        <w:tc>
          <w:tcPr>
            <w:tcW w:w="2346" w:type="pct"/>
            <w:tcBorders>
              <w:top w:val="nil"/>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ind w:left="266" w:leftChars="111"/>
              <w:jc w:val="both"/>
              <w:rPr>
                <w:rFonts w:cs="Times New Roman"/>
                <w:bCs/>
                <w:color w:val="auto"/>
                <w:szCs w:val="24"/>
                <w:highlight w:val="none"/>
              </w:rPr>
            </w:pPr>
            <w:r>
              <w:rPr>
                <w:rFonts w:cs="Times New Roman"/>
                <w:bCs/>
                <w:color w:val="auto"/>
                <w:szCs w:val="24"/>
                <w:highlight w:val="none"/>
              </w:rPr>
              <w:t>1-stearoyl-2-oleoyl-GPS (18:0/18:1)</w:t>
            </w:r>
          </w:p>
        </w:tc>
        <w:tc>
          <w:tcPr>
            <w:tcW w:w="1102" w:type="pct"/>
            <w:tcBorders>
              <w:top w:val="nil"/>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HMDB0010163</w:t>
            </w:r>
          </w:p>
        </w:tc>
        <w:tc>
          <w:tcPr>
            <w:tcW w:w="981" w:type="pct"/>
            <w:tcBorders>
              <w:top w:val="nil"/>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bCs/>
                <w:color w:val="auto"/>
                <w:szCs w:val="24"/>
                <w:highlight w:val="none"/>
              </w:rPr>
              <w:t>Lipid</w:t>
            </w:r>
          </w:p>
        </w:tc>
        <w:tc>
          <w:tcPr>
            <w:tcW w:w="571" w:type="pct"/>
            <w:tcBorders>
              <w:top w:val="nil"/>
              <w:left w:val="nil"/>
              <w:bottom w:val="single" w:color="auto" w:sz="12" w:space="0"/>
              <w:right w:val="nil"/>
            </w:tcBorders>
            <w:shd w:val="clear" w:color="auto" w:fill="auto"/>
            <w:tcMar>
              <w:top w:w="15" w:type="dxa"/>
              <w:left w:w="15" w:type="dxa"/>
              <w:bottom w:w="0" w:type="dxa"/>
              <w:right w:w="15" w:type="dxa"/>
            </w:tcMar>
            <w:vAlign w:val="center"/>
          </w:tcPr>
          <w:p>
            <w:pPr>
              <w:spacing w:before="0" w:after="0" w:line="240" w:lineRule="atLeast"/>
              <w:jc w:val="center"/>
              <w:rPr>
                <w:rFonts w:cs="Times New Roman"/>
                <w:bCs/>
                <w:color w:val="auto"/>
                <w:szCs w:val="24"/>
                <w:highlight w:val="none"/>
              </w:rPr>
            </w:pPr>
            <w:r>
              <w:rPr>
                <w:rFonts w:cs="Times New Roman"/>
                <w:color w:val="auto"/>
                <w:highlight w:val="none"/>
              </w:rPr>
              <w:t xml:space="preserve">1.92 </w:t>
            </w:r>
          </w:p>
        </w:tc>
      </w:tr>
    </w:tbl>
    <w:p>
      <w:pPr>
        <w:spacing w:before="240"/>
        <w:rPr>
          <w:rFonts w:cs="Times New Roman"/>
          <w:b/>
          <w:color w:val="auto"/>
          <w:szCs w:val="24"/>
          <w:highlight w:val="none"/>
        </w:rPr>
      </w:pPr>
      <w:r>
        <w:rPr>
          <w:rFonts w:cs="Times New Roman"/>
          <w:b/>
          <w:color w:val="auto"/>
          <w:szCs w:val="24"/>
          <w:highlight w:val="none"/>
        </w:rPr>
        <w:t xml:space="preserve"> </w:t>
      </w:r>
    </w:p>
    <w:p>
      <w:pPr>
        <w:spacing w:before="0" w:after="200" w:line="276" w:lineRule="auto"/>
        <w:rPr>
          <w:rFonts w:cs="Times New Roman"/>
          <w:b/>
          <w:color w:val="auto"/>
          <w:szCs w:val="24"/>
          <w:highlight w:val="none"/>
        </w:rPr>
      </w:pPr>
      <w:r>
        <w:rPr>
          <w:rFonts w:cs="Times New Roman"/>
          <w:b/>
          <w:color w:val="auto"/>
          <w:szCs w:val="24"/>
          <w:highlight w:val="none"/>
        </w:rPr>
        <w:br w:type="page"/>
      </w:r>
    </w:p>
    <w:p>
      <w:pPr>
        <w:spacing w:before="240"/>
        <w:rPr>
          <w:rFonts w:cs="Times New Roman"/>
          <w:b/>
          <w:color w:val="auto"/>
          <w:szCs w:val="24"/>
          <w:highlight w:val="none"/>
        </w:rPr>
      </w:pPr>
      <w:r>
        <w:rPr>
          <w:rFonts w:cs="Times New Roman"/>
          <w:b/>
          <w:color w:val="auto"/>
          <w:szCs w:val="24"/>
          <w:highlight w:val="none"/>
        </w:rPr>
        <w:t xml:space="preserve">Supplementary Table 4. </w:t>
      </w:r>
      <w:bookmarkStart w:id="2" w:name="_Hlk141364630"/>
      <w:r>
        <w:rPr>
          <w:rFonts w:cs="Times New Roman"/>
          <w:b/>
          <w:color w:val="auto"/>
          <w:szCs w:val="24"/>
          <w:highlight w:val="none"/>
        </w:rPr>
        <w:t xml:space="preserve">List of key metabolites </w:t>
      </w:r>
      <w:r>
        <w:rPr>
          <w:rFonts w:hint="eastAsia" w:cs="Times New Roman"/>
          <w:b/>
          <w:color w:val="auto"/>
          <w:szCs w:val="24"/>
          <w:highlight w:val="none"/>
          <w:lang w:eastAsia="zh-CN"/>
        </w:rPr>
        <w:t>cont</w:t>
      </w:r>
      <w:r>
        <w:rPr>
          <w:rFonts w:cs="Times New Roman"/>
          <w:b/>
          <w:color w:val="auto"/>
          <w:szCs w:val="24"/>
          <w:highlight w:val="none"/>
        </w:rPr>
        <w:t xml:space="preserve">ributed to discriminating t0 with t1, for patients with total thyroidectomy (T group, n = 25). </w:t>
      </w:r>
      <w:bookmarkEnd w:id="2"/>
    </w:p>
    <w:tbl>
      <w:tblPr>
        <w:tblStyle w:val="20"/>
        <w:tblW w:w="9691" w:type="dxa"/>
        <w:tblInd w:w="0" w:type="dxa"/>
        <w:tblLayout w:type="fixed"/>
        <w:tblCellMar>
          <w:top w:w="0" w:type="dxa"/>
          <w:left w:w="108" w:type="dxa"/>
          <w:bottom w:w="0" w:type="dxa"/>
          <w:right w:w="108" w:type="dxa"/>
        </w:tblCellMar>
      </w:tblPr>
      <w:tblGrid>
        <w:gridCol w:w="3544"/>
        <w:gridCol w:w="2013"/>
        <w:gridCol w:w="2632"/>
        <w:gridCol w:w="1502"/>
      </w:tblGrid>
      <w:tr>
        <w:tblPrEx>
          <w:tblCellMar>
            <w:top w:w="0" w:type="dxa"/>
            <w:left w:w="108" w:type="dxa"/>
            <w:bottom w:w="0" w:type="dxa"/>
            <w:right w:w="108" w:type="dxa"/>
          </w:tblCellMar>
        </w:tblPrEx>
        <w:trPr>
          <w:trHeight w:val="310" w:hRule="atLeast"/>
          <w:tblHeader/>
        </w:trPr>
        <w:tc>
          <w:tcPr>
            <w:tcW w:w="3544" w:type="dxa"/>
            <w:tcBorders>
              <w:top w:val="single" w:color="auto" w:sz="12" w:space="0"/>
              <w:left w:val="nil"/>
              <w:bottom w:val="single" w:color="auto" w:sz="12" w:space="0"/>
              <w:right w:val="nil"/>
            </w:tcBorders>
            <w:shd w:val="clear" w:color="auto" w:fill="auto"/>
            <w:vAlign w:val="center"/>
          </w:tcPr>
          <w:p>
            <w:pPr>
              <w:spacing w:before="0" w:after="0"/>
              <w:ind w:left="175" w:leftChars="73"/>
              <w:jc w:val="center"/>
              <w:rPr>
                <w:rFonts w:cs="Times New Roman"/>
                <w:b/>
                <w:bCs/>
                <w:color w:val="auto"/>
                <w:szCs w:val="24"/>
                <w:highlight w:val="none"/>
              </w:rPr>
            </w:pPr>
            <w:r>
              <w:rPr>
                <w:rFonts w:cs="Times New Roman"/>
                <w:b/>
                <w:bCs/>
                <w:color w:val="auto"/>
                <w:szCs w:val="24"/>
                <w:highlight w:val="none"/>
              </w:rPr>
              <w:t>Compound_name</w:t>
            </w:r>
          </w:p>
        </w:tc>
        <w:tc>
          <w:tcPr>
            <w:tcW w:w="2013" w:type="dxa"/>
            <w:tcBorders>
              <w:top w:val="single" w:color="auto" w:sz="12" w:space="0"/>
              <w:left w:val="nil"/>
              <w:bottom w:val="single" w:color="auto" w:sz="12" w:space="0"/>
              <w:right w:val="nil"/>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HMDB_ID</w:t>
            </w:r>
          </w:p>
        </w:tc>
        <w:tc>
          <w:tcPr>
            <w:tcW w:w="2632" w:type="dxa"/>
            <w:tcBorders>
              <w:top w:val="single" w:color="auto" w:sz="12" w:space="0"/>
              <w:left w:val="nil"/>
              <w:bottom w:val="single" w:color="auto" w:sz="12" w:space="0"/>
              <w:right w:val="nil"/>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SUPER_META_</w:t>
            </w:r>
          </w:p>
          <w:p>
            <w:pPr>
              <w:spacing w:before="0" w:after="0"/>
              <w:jc w:val="center"/>
              <w:rPr>
                <w:rFonts w:cs="Times New Roman"/>
                <w:b/>
                <w:bCs/>
                <w:color w:val="auto"/>
                <w:szCs w:val="24"/>
                <w:highlight w:val="none"/>
              </w:rPr>
            </w:pPr>
            <w:r>
              <w:rPr>
                <w:rFonts w:cs="Times New Roman"/>
                <w:b/>
                <w:bCs/>
                <w:color w:val="auto"/>
                <w:szCs w:val="24"/>
                <w:highlight w:val="none"/>
              </w:rPr>
              <w:t>PATHWAY</w:t>
            </w:r>
          </w:p>
        </w:tc>
        <w:tc>
          <w:tcPr>
            <w:tcW w:w="1502" w:type="dxa"/>
            <w:tcBorders>
              <w:top w:val="single" w:color="auto" w:sz="12" w:space="0"/>
              <w:left w:val="nil"/>
              <w:bottom w:val="single" w:color="auto" w:sz="12" w:space="0"/>
              <w:right w:val="nil"/>
            </w:tcBorders>
            <w:shd w:val="clear" w:color="auto" w:fill="auto"/>
            <w:vAlign w:val="center"/>
          </w:tcPr>
          <w:p>
            <w:pPr>
              <w:spacing w:before="0" w:after="0"/>
              <w:jc w:val="center"/>
              <w:rPr>
                <w:rFonts w:cs="Times New Roman"/>
                <w:b/>
                <w:bCs/>
                <w:color w:val="auto"/>
                <w:szCs w:val="24"/>
                <w:highlight w:val="none"/>
              </w:rPr>
            </w:pPr>
            <w:r>
              <w:rPr>
                <w:rFonts w:cs="Times New Roman"/>
                <w:b/>
                <w:bCs/>
                <w:color w:val="auto"/>
                <w:szCs w:val="24"/>
                <w:highlight w:val="none"/>
              </w:rPr>
              <w:t>OPLS-DA_VIP</w:t>
            </w:r>
          </w:p>
        </w:tc>
      </w:tr>
      <w:tr>
        <w:tblPrEx>
          <w:tblCellMar>
            <w:top w:w="0" w:type="dxa"/>
            <w:left w:w="108" w:type="dxa"/>
            <w:bottom w:w="0" w:type="dxa"/>
            <w:right w:w="108" w:type="dxa"/>
          </w:tblCellMar>
        </w:tblPrEx>
        <w:trPr>
          <w:trHeight w:val="280" w:hRule="atLeast"/>
        </w:trPr>
        <w:tc>
          <w:tcPr>
            <w:tcW w:w="3544" w:type="dxa"/>
            <w:tcBorders>
              <w:top w:val="single" w:color="auto" w:sz="12" w:space="0"/>
              <w:left w:val="nil"/>
              <w:bottom w:val="nil"/>
              <w:right w:val="nil"/>
            </w:tcBorders>
            <w:shd w:val="clear" w:color="auto" w:fill="auto"/>
            <w:noWrap/>
            <w:vAlign w:val="center"/>
          </w:tcPr>
          <w:p>
            <w:pPr>
              <w:spacing w:before="0" w:after="0"/>
              <w:ind w:left="175" w:leftChars="73"/>
              <w:rPr>
                <w:rFonts w:cs="Times New Roman"/>
                <w:color w:val="auto"/>
                <w:szCs w:val="24"/>
                <w:highlight w:val="none"/>
              </w:rPr>
            </w:pPr>
            <w:r>
              <w:rPr>
                <w:rFonts w:cs="Times New Roman"/>
                <w:color w:val="auto"/>
                <w:szCs w:val="24"/>
                <w:highlight w:val="none"/>
              </w:rPr>
              <w:t>gentisate</w:t>
            </w:r>
          </w:p>
        </w:tc>
        <w:tc>
          <w:tcPr>
            <w:tcW w:w="2013" w:type="dxa"/>
            <w:tcBorders>
              <w:top w:val="single" w:color="auto" w:sz="12" w:space="0"/>
              <w:left w:val="nil"/>
              <w:bottom w:val="nil"/>
              <w:right w:val="nil"/>
            </w:tcBorders>
            <w:shd w:val="clear" w:color="auto" w:fill="auto"/>
            <w:noWrap/>
            <w:vAlign w:val="center"/>
          </w:tcPr>
          <w:p>
            <w:pPr>
              <w:spacing w:before="0" w:after="0"/>
              <w:jc w:val="center"/>
              <w:rPr>
                <w:rFonts w:cs="Times New Roman"/>
                <w:color w:val="auto"/>
                <w:szCs w:val="24"/>
                <w:highlight w:val="none"/>
              </w:rPr>
            </w:pPr>
            <w:r>
              <w:rPr>
                <w:rFonts w:cs="Times New Roman"/>
                <w:color w:val="auto"/>
                <w:szCs w:val="24"/>
                <w:highlight w:val="none"/>
              </w:rPr>
              <w:t>HMDB0000152</w:t>
            </w:r>
          </w:p>
        </w:tc>
        <w:tc>
          <w:tcPr>
            <w:tcW w:w="2632" w:type="dxa"/>
            <w:tcBorders>
              <w:top w:val="single" w:color="auto" w:sz="12" w:space="0"/>
              <w:left w:val="nil"/>
              <w:bottom w:val="nil"/>
              <w:right w:val="nil"/>
            </w:tcBorders>
            <w:shd w:val="clear" w:color="auto" w:fill="auto"/>
            <w:noWrap/>
            <w:vAlign w:val="center"/>
          </w:tcPr>
          <w:p>
            <w:pPr>
              <w:spacing w:before="0" w:after="0"/>
              <w:jc w:val="center"/>
              <w:rPr>
                <w:rFonts w:cs="Times New Roman"/>
                <w:color w:val="auto"/>
                <w:szCs w:val="24"/>
                <w:highlight w:val="none"/>
              </w:rPr>
            </w:pPr>
            <w:r>
              <w:rPr>
                <w:rFonts w:cs="Times New Roman"/>
                <w:color w:val="auto"/>
                <w:szCs w:val="24"/>
                <w:highlight w:val="none"/>
              </w:rPr>
              <w:t>Amino Acid</w:t>
            </w:r>
          </w:p>
        </w:tc>
        <w:tc>
          <w:tcPr>
            <w:tcW w:w="1502" w:type="dxa"/>
            <w:tcBorders>
              <w:top w:val="single" w:color="auto" w:sz="12" w:space="0"/>
              <w:left w:val="nil"/>
              <w:bottom w:val="nil"/>
              <w:right w:val="nil"/>
            </w:tcBorders>
            <w:shd w:val="clear" w:color="auto" w:fill="auto"/>
            <w:noWrap/>
            <w:vAlign w:val="center"/>
          </w:tcPr>
          <w:p>
            <w:pPr>
              <w:spacing w:before="0" w:after="0"/>
              <w:jc w:val="center"/>
              <w:rPr>
                <w:rFonts w:cs="Times New Roman"/>
                <w:color w:val="auto"/>
                <w:szCs w:val="24"/>
                <w:highlight w:val="none"/>
              </w:rPr>
            </w:pPr>
            <w:r>
              <w:rPr>
                <w:rFonts w:cs="Times New Roman"/>
                <w:color w:val="auto"/>
                <w:highlight w:val="none"/>
              </w:rPr>
              <w:t xml:space="preserve">1.67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maltotriose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HMDB0001262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Carbohydrate</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2.27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delta-CEHC*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Cofactors and Vitamins</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1.66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delta-CEHC glucuronide*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Cofactors and Vitamins</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1.86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docosadienoate (22:2n6)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HMDB0061714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2.27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docosatrienoate (22:3n3)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HMDB0002823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2.61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N-linoleoyltaurine*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N-oleoyltaurine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estrone 3-sulfate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HMDB0001425</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caprate (10:0)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HMDB0000511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3-hydroxydodecanedioate*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HMDB0000413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3.29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10-undecenoate (11:1n1)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HMDB0033724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tridecenedioate (C13:1-DC)*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2.94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palmitate (16:0)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HMDB0000220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tetradecadienedioate (C14:2-DC)*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2.91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glycerol</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HMDB0000131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2.63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1-stearoyl-GPS (18:0)*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HMDB0061698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N-palmitoylglycine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HMDB0013034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tetrahydrocortisol sulfate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cis-4-decenoate (10:1n6)*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HMDB0004980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2.80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hexadecadienoate (16:2n6)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HMDB0000477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2.54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eicosapentaenoate (EPA; 20:5n3)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HMDB0001999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adrenate (22:4n6)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HMDB0002226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caprylate (8:0)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HMDB0000482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2.06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(2 or 3)-decenoate (10:1n7 or n8)</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2.94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docosapentaenoate (n3 DPA; 22:5n3)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HMDB0006528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2.52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oleate/vaccenate (18:1)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HMDB0000207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cortolone glucuronide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hexanoylglutamine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2.42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caproate (6:0)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HMDB0000535</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nisinate (24:6n3)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HMDB0002007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2.43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3-hydroxysebacate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HMDB0000350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2.63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3b-hydroxy-5-cholenoic acid</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HMDB0000308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dodecadienoate (12:2)*</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2.89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tauroursodeoxycholic acid sulfate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3-hydroxyhexanoate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HMDB0061652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palmitoleate (16:1n7)</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HMDB0003229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arachidonate (20:4n6)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HMDB0001043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docosahexaenoate (DHA; 22:6n3)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HMDB0002183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13-HODE + 9-HODE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HMDB0004667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dihomo-linolenate (20:3n3 or 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HMDB0002925</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heneicosapentaenoate (21:5n3)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1.95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dihomo-linoleate (20:2n6)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HMDB0005060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branched chain 14:0 dicarboxylic acid</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1.79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3-hydroxylaurate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HMDB0000387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3.30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eicosenoate (20:1)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HMDB0002231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2.05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3-hydroxymyristate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HMDB0061656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3.10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decadienedioic acid (C10:2-DC)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1.98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cholate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HMDB0000619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1.71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myristate (14:0)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HMDB0000806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hexadecanedioate (C16-DC)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HMDB0000672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1.94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stearidonate (18:4n3)</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HMDB0006547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isoursodeoxycholate sulfate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1.72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linoleate (18:2n6)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HMDB0000673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1.89 </w:t>
            </w:r>
          </w:p>
        </w:tc>
      </w:tr>
      <w:tr>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lithocholate sulfate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tetradecadienoate (14:2)*</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HMDB0000560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3.23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5-dodecenoate (12:1n7)</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HMDB0000529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3.18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dodecenedioate (C12:1-DC)*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HMDB0000933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N-linoleoylglycine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12-HETE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HMDB0006111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hexanoylglycine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HMDB0000701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2.05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erucate (22:1n9)</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HMDB0002068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docosapentaenoate (n6 DPA; 22:5n6)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HMDB0001976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3-hydroxydecanoate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HMDB0002203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3.05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tetradecanedioate (C14-DC)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HMDB0000872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2.08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3-hydroxystearate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HMDB0010737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10-heptadecenoate (17:1n7)</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HMDB0060038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10-nonadecenoate (19:1n9)</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HMDB0013622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myristoleate (14:1n5)</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HMDB0002000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2.67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linolenate [alpha or gamma; (18:3n3 or 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HMDB0003073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1.98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3-hydroxyoctanoate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HMDB0001954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2.41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nonadecanoate (19:0)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HMDB0000772</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dodecanedioate (C12-DC)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HMDB0000623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1.99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margarate (17:0)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HMDB0002259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2-hydroxydecanoate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HMDB0094656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1.79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(16 or 17)-methylstearate (a19:0 or i19:0)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HMDB0037397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1.74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16-hydroxypalmitate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HMDB0006294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guanosine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HMDB0000133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Nucleotide</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hypoxanthine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HMDB0000157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Nucleotide</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2.43 </w:t>
            </w:r>
          </w:p>
        </w:tc>
      </w:tr>
      <w:tr>
        <w:tblPrEx>
          <w:tblCellMar>
            <w:top w:w="0" w:type="dxa"/>
            <w:left w:w="108" w:type="dxa"/>
            <w:bottom w:w="0" w:type="dxa"/>
            <w:right w:w="108" w:type="dxa"/>
          </w:tblCellMar>
        </w:tblPrEx>
        <w:trPr>
          <w:trHeight w:val="52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branched-chain, straight-chain, or cyclopropyl 12:1 fatty acid*</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Others</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3.32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3-hydroxyoleate*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3-hydroxybutyrate (BHBA)</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HMDB0000011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3-hydroxyoctanoylcarnitine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HMDB0061634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2.88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3-hydroxyoctanoylcarnitine (2)</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3.13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hexanoylcarnitine (C6)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HMDB0000756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3.14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acetylcarnitine (C2)</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HMDB0000201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1.76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N6-methyladenosine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HMDB0004044</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Nucleotide</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indoleacetylcarnitine*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Amino Acid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1.51 </w:t>
            </w:r>
          </w:p>
        </w:tc>
      </w:tr>
      <w:tr>
        <w:tblPrEx>
          <w:tblCellMar>
            <w:top w:w="0" w:type="dxa"/>
            <w:left w:w="108" w:type="dxa"/>
            <w:bottom w:w="0" w:type="dxa"/>
            <w:right w:w="108" w:type="dxa"/>
          </w:tblCellMar>
        </w:tblPrEx>
        <w:trPr>
          <w:trHeight w:val="52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linoleoyl-docosahexaenoyl-glycerol (18:2/22:6) [1]*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octadecenedioylcarnitine (C18:1-DC)*</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3-hydroxydecanoylcarnitine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HMDB0061636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3.12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3-hydroxyoleoylcarnitine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2.85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myristoylcarnitine (C14)</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HMDB0254979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2.64 </w:t>
            </w:r>
          </w:p>
        </w:tc>
      </w:tr>
      <w:tr>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decanoylcarnitine (C10)</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HMDB0000651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3.50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laurylcarnitine (C12)</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HMDB0002250</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3.47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octanoylcarnitine (C8)</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HMDB0000791</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3.37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nonanoylcarnitine (C9)</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HMDB0013288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3.59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eicosenoylcarnitine (C20:1)*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1.59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nervonoylcarnitine (C24:1)*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HMDB0006509</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1.61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cis-4-decenoylcarnitine (C10:1)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HMDB0240585</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2.95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undecenoylcarnitine (C11:1)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2.18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3-decenoylcarnitine</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2.73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palmitoleoylcarnitine (C16:1)*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HMDB0013207</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2.23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5-dodecenoylcarnitine (C12:1)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HMDB0013326</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3.26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myristoleoylcarnitine (C14:1)*</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HMDB0240588</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3.36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docosahexaenoylcarnitine (C22:6)*</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1.81 </w:t>
            </w:r>
          </w:p>
        </w:tc>
      </w:tr>
      <w:tr>
        <w:tblPrEx>
          <w:tblCellMar>
            <w:top w:w="0" w:type="dxa"/>
            <w:left w:w="108" w:type="dxa"/>
            <w:bottom w:w="0" w:type="dxa"/>
            <w:right w:w="108" w:type="dxa"/>
          </w:tblCellMar>
        </w:tblPrEx>
        <w:trPr>
          <w:trHeight w:val="280" w:hRule="atLeast"/>
        </w:trPr>
        <w:tc>
          <w:tcPr>
            <w:tcW w:w="3544" w:type="dxa"/>
            <w:tcBorders>
              <w:top w:val="nil"/>
              <w:left w:val="nil"/>
              <w:bottom w:val="nil"/>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1-stearoyl-2-arachidonoyl-GPS (18:0/20:4)</w:t>
            </w:r>
          </w:p>
        </w:tc>
        <w:tc>
          <w:tcPr>
            <w:tcW w:w="2013"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HMDB0012383</w:t>
            </w:r>
          </w:p>
        </w:tc>
        <w:tc>
          <w:tcPr>
            <w:tcW w:w="263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nil"/>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1.88 </w:t>
            </w:r>
          </w:p>
        </w:tc>
      </w:tr>
      <w:tr>
        <w:tblPrEx>
          <w:tblCellMar>
            <w:top w:w="0" w:type="dxa"/>
            <w:left w:w="108" w:type="dxa"/>
            <w:bottom w:w="0" w:type="dxa"/>
            <w:right w:w="108" w:type="dxa"/>
          </w:tblCellMar>
        </w:tblPrEx>
        <w:trPr>
          <w:trHeight w:val="295" w:hRule="atLeast"/>
        </w:trPr>
        <w:tc>
          <w:tcPr>
            <w:tcW w:w="3544" w:type="dxa"/>
            <w:tcBorders>
              <w:top w:val="nil"/>
              <w:left w:val="nil"/>
              <w:bottom w:val="single" w:color="auto" w:sz="12" w:space="0"/>
              <w:right w:val="nil"/>
            </w:tcBorders>
            <w:shd w:val="clear" w:color="auto" w:fill="auto"/>
            <w:vAlign w:val="center"/>
          </w:tcPr>
          <w:p>
            <w:pPr>
              <w:spacing w:before="0" w:after="0"/>
              <w:ind w:left="175" w:leftChars="73"/>
              <w:rPr>
                <w:rFonts w:cs="Times New Roman"/>
                <w:color w:val="auto"/>
                <w:szCs w:val="24"/>
                <w:highlight w:val="none"/>
              </w:rPr>
            </w:pPr>
            <w:r>
              <w:rPr>
                <w:rFonts w:cs="Times New Roman"/>
                <w:color w:val="auto"/>
                <w:szCs w:val="24"/>
                <w:highlight w:val="none"/>
              </w:rPr>
              <w:t>1-stearoyl-2-oleoyl-GPS (18:0/18:1)</w:t>
            </w:r>
          </w:p>
        </w:tc>
        <w:tc>
          <w:tcPr>
            <w:tcW w:w="2013" w:type="dxa"/>
            <w:tcBorders>
              <w:top w:val="nil"/>
              <w:left w:val="nil"/>
              <w:bottom w:val="single" w:color="auto" w:sz="12" w:space="0"/>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HMDB0010163</w:t>
            </w:r>
          </w:p>
        </w:tc>
        <w:tc>
          <w:tcPr>
            <w:tcW w:w="2632" w:type="dxa"/>
            <w:tcBorders>
              <w:top w:val="nil"/>
              <w:left w:val="nil"/>
              <w:bottom w:val="single" w:color="auto" w:sz="12" w:space="0"/>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szCs w:val="24"/>
                <w:highlight w:val="none"/>
              </w:rPr>
              <w:t>Lipid</w:t>
            </w:r>
          </w:p>
        </w:tc>
        <w:tc>
          <w:tcPr>
            <w:tcW w:w="1502" w:type="dxa"/>
            <w:tcBorders>
              <w:top w:val="nil"/>
              <w:left w:val="nil"/>
              <w:bottom w:val="single" w:color="auto" w:sz="12" w:space="0"/>
              <w:right w:val="nil"/>
            </w:tcBorders>
            <w:shd w:val="clear" w:color="auto" w:fill="auto"/>
            <w:vAlign w:val="center"/>
          </w:tcPr>
          <w:p>
            <w:pPr>
              <w:spacing w:before="0" w:after="0"/>
              <w:jc w:val="center"/>
              <w:rPr>
                <w:rFonts w:cs="Times New Roman"/>
                <w:color w:val="auto"/>
                <w:szCs w:val="24"/>
                <w:highlight w:val="none"/>
              </w:rPr>
            </w:pPr>
            <w:r>
              <w:rPr>
                <w:rFonts w:cs="Times New Roman"/>
                <w:color w:val="auto"/>
                <w:highlight w:val="none"/>
              </w:rPr>
              <w:t xml:space="preserve">1.96 </w:t>
            </w:r>
          </w:p>
        </w:tc>
      </w:tr>
    </w:tbl>
    <w:p>
      <w:pPr>
        <w:spacing w:before="240"/>
        <w:rPr>
          <w:rFonts w:cs="Times New Roman"/>
          <w:b/>
          <w:color w:val="auto"/>
          <w:szCs w:val="24"/>
          <w:highlight w:val="none"/>
        </w:rPr>
      </w:pPr>
    </w:p>
    <w:p>
      <w:pPr>
        <w:spacing w:before="0" w:after="200" w:line="276" w:lineRule="auto"/>
        <w:rPr>
          <w:rFonts w:cs="Times New Roman"/>
          <w:b/>
          <w:color w:val="auto"/>
          <w:szCs w:val="24"/>
          <w:highlight w:val="none"/>
        </w:rPr>
      </w:pPr>
      <w:r>
        <w:rPr>
          <w:rFonts w:cs="Times New Roman"/>
          <w:b/>
          <w:color w:val="auto"/>
          <w:szCs w:val="24"/>
          <w:highlight w:val="none"/>
        </w:rPr>
        <w:br w:type="page"/>
      </w:r>
    </w:p>
    <w:p>
      <w:pPr>
        <w:spacing w:before="240"/>
        <w:rPr>
          <w:rFonts w:cs="Times New Roman"/>
          <w:b/>
          <w:color w:val="auto"/>
          <w:szCs w:val="24"/>
          <w:highlight w:val="none"/>
        </w:rPr>
      </w:pPr>
      <w:r>
        <w:rPr>
          <w:rFonts w:cs="Times New Roman"/>
          <w:b/>
          <w:color w:val="auto"/>
          <w:szCs w:val="24"/>
          <w:highlight w:val="none"/>
        </w:rPr>
        <w:t xml:space="preserve">Supplementary Table 5. </w:t>
      </w:r>
      <w:bookmarkStart w:id="3" w:name="_Hlk141364672"/>
      <w:r>
        <w:rPr>
          <w:rFonts w:cs="Times New Roman"/>
          <w:b/>
          <w:color w:val="auto"/>
          <w:szCs w:val="24"/>
          <w:highlight w:val="none"/>
        </w:rPr>
        <w:t xml:space="preserve">List of </w:t>
      </w:r>
      <w:r>
        <w:rPr>
          <w:rFonts w:hint="eastAsia" w:cs="Times New Roman"/>
          <w:b/>
          <w:color w:val="auto"/>
          <w:szCs w:val="24"/>
          <w:highlight w:val="none"/>
          <w:lang w:eastAsia="zh-CN"/>
        </w:rPr>
        <w:t>di</w:t>
      </w:r>
      <w:r>
        <w:rPr>
          <w:rFonts w:cs="Times New Roman"/>
          <w:b/>
          <w:color w:val="auto"/>
          <w:szCs w:val="24"/>
          <w:highlight w:val="none"/>
        </w:rPr>
        <w:t xml:space="preserve">fferential metabolites </w:t>
      </w:r>
      <w:r>
        <w:rPr>
          <w:rFonts w:hint="eastAsia" w:cs="Times New Roman"/>
          <w:b/>
          <w:color w:val="auto"/>
          <w:szCs w:val="24"/>
          <w:highlight w:val="none"/>
          <w:lang w:eastAsia="zh-CN"/>
        </w:rPr>
        <w:t>cont</w:t>
      </w:r>
      <w:r>
        <w:rPr>
          <w:rFonts w:cs="Times New Roman"/>
          <w:b/>
          <w:color w:val="auto"/>
          <w:szCs w:val="24"/>
          <w:highlight w:val="none"/>
        </w:rPr>
        <w:t xml:space="preserve">ributed to discriminating t0 with t1, for patients with hemithyroidectomy (H group, n = 25). </w:t>
      </w:r>
      <w:bookmarkEnd w:id="3"/>
    </w:p>
    <w:tbl>
      <w:tblPr>
        <w:tblStyle w:val="20"/>
        <w:tblW w:w="9634" w:type="dxa"/>
        <w:tblInd w:w="0" w:type="dxa"/>
        <w:tblLayout w:type="autofit"/>
        <w:tblCellMar>
          <w:top w:w="0" w:type="dxa"/>
          <w:left w:w="108" w:type="dxa"/>
          <w:bottom w:w="0" w:type="dxa"/>
          <w:right w:w="108" w:type="dxa"/>
        </w:tblCellMar>
      </w:tblPr>
      <w:tblGrid>
        <w:gridCol w:w="4395"/>
        <w:gridCol w:w="1800"/>
        <w:gridCol w:w="1963"/>
        <w:gridCol w:w="1476"/>
      </w:tblGrid>
      <w:tr>
        <w:tblPrEx>
          <w:tblCellMar>
            <w:top w:w="0" w:type="dxa"/>
            <w:left w:w="108" w:type="dxa"/>
            <w:bottom w:w="0" w:type="dxa"/>
            <w:right w:w="108" w:type="dxa"/>
          </w:tblCellMar>
        </w:tblPrEx>
        <w:trPr>
          <w:trHeight w:val="310" w:hRule="atLeast"/>
          <w:tblHeader/>
        </w:trPr>
        <w:tc>
          <w:tcPr>
            <w:tcW w:w="4395" w:type="dxa"/>
            <w:tcBorders>
              <w:top w:val="single" w:color="auto" w:sz="12" w:space="0"/>
              <w:left w:val="nil"/>
              <w:bottom w:val="single" w:color="auto" w:sz="12" w:space="0"/>
              <w:right w:val="nil"/>
            </w:tcBorders>
            <w:shd w:val="clear" w:color="auto" w:fill="auto"/>
            <w:vAlign w:val="center"/>
          </w:tcPr>
          <w:p>
            <w:pPr>
              <w:spacing w:before="0" w:after="0"/>
              <w:jc w:val="center"/>
              <w:rPr>
                <w:b/>
                <w:bCs/>
                <w:color w:val="auto"/>
                <w:highlight w:val="none"/>
              </w:rPr>
            </w:pPr>
            <w:r>
              <w:rPr>
                <w:b/>
                <w:bCs/>
                <w:color w:val="auto"/>
                <w:highlight w:val="none"/>
              </w:rPr>
              <w:t>Compound_name</w:t>
            </w:r>
          </w:p>
        </w:tc>
        <w:tc>
          <w:tcPr>
            <w:tcW w:w="1800" w:type="dxa"/>
            <w:tcBorders>
              <w:top w:val="single" w:color="auto" w:sz="12" w:space="0"/>
              <w:left w:val="nil"/>
              <w:bottom w:val="single" w:color="auto" w:sz="12" w:space="0"/>
              <w:right w:val="nil"/>
            </w:tcBorders>
            <w:shd w:val="clear" w:color="auto" w:fill="auto"/>
            <w:vAlign w:val="center"/>
          </w:tcPr>
          <w:p>
            <w:pPr>
              <w:spacing w:before="0" w:after="0"/>
              <w:jc w:val="center"/>
              <w:rPr>
                <w:b/>
                <w:bCs/>
                <w:color w:val="auto"/>
                <w:highlight w:val="none"/>
              </w:rPr>
            </w:pPr>
            <w:r>
              <w:rPr>
                <w:b/>
                <w:bCs/>
                <w:color w:val="auto"/>
                <w:highlight w:val="none"/>
              </w:rPr>
              <w:t>HMDB_ID</w:t>
            </w:r>
          </w:p>
        </w:tc>
        <w:tc>
          <w:tcPr>
            <w:tcW w:w="1963" w:type="dxa"/>
            <w:tcBorders>
              <w:top w:val="single" w:color="auto" w:sz="12" w:space="0"/>
              <w:left w:val="nil"/>
              <w:bottom w:val="single" w:color="auto" w:sz="12" w:space="0"/>
              <w:right w:val="nil"/>
            </w:tcBorders>
            <w:shd w:val="clear" w:color="auto" w:fill="auto"/>
            <w:vAlign w:val="center"/>
          </w:tcPr>
          <w:p>
            <w:pPr>
              <w:spacing w:before="0" w:after="0"/>
              <w:jc w:val="center"/>
              <w:rPr>
                <w:b/>
                <w:bCs/>
                <w:color w:val="auto"/>
                <w:highlight w:val="none"/>
              </w:rPr>
            </w:pPr>
            <w:r>
              <w:rPr>
                <w:b/>
                <w:bCs/>
                <w:color w:val="auto"/>
                <w:highlight w:val="none"/>
              </w:rPr>
              <w:t>SUPER_META_</w:t>
            </w:r>
          </w:p>
          <w:p>
            <w:pPr>
              <w:spacing w:before="0" w:after="0"/>
              <w:jc w:val="center"/>
              <w:rPr>
                <w:b/>
                <w:bCs/>
                <w:color w:val="auto"/>
                <w:highlight w:val="none"/>
              </w:rPr>
            </w:pPr>
            <w:r>
              <w:rPr>
                <w:b/>
                <w:bCs/>
                <w:color w:val="auto"/>
                <w:highlight w:val="none"/>
              </w:rPr>
              <w:t>PATHWAY</w:t>
            </w:r>
          </w:p>
        </w:tc>
        <w:tc>
          <w:tcPr>
            <w:tcW w:w="1476" w:type="dxa"/>
            <w:tcBorders>
              <w:top w:val="single" w:color="auto" w:sz="12" w:space="0"/>
              <w:left w:val="nil"/>
              <w:bottom w:val="single" w:color="auto" w:sz="12" w:space="0"/>
              <w:right w:val="nil"/>
            </w:tcBorders>
            <w:shd w:val="clear" w:color="auto" w:fill="auto"/>
            <w:vAlign w:val="center"/>
          </w:tcPr>
          <w:p>
            <w:pPr>
              <w:spacing w:before="0" w:after="0"/>
              <w:jc w:val="center"/>
              <w:rPr>
                <w:b/>
                <w:bCs/>
                <w:color w:val="auto"/>
                <w:highlight w:val="none"/>
              </w:rPr>
            </w:pPr>
            <w:r>
              <w:rPr>
                <w:b/>
                <w:bCs/>
                <w:color w:val="auto"/>
                <w:highlight w:val="none"/>
              </w:rPr>
              <w:t>OPLS-DA_VIP</w:t>
            </w:r>
          </w:p>
        </w:tc>
      </w:tr>
      <w:tr>
        <w:tblPrEx>
          <w:tblCellMar>
            <w:top w:w="0" w:type="dxa"/>
            <w:left w:w="108" w:type="dxa"/>
            <w:bottom w:w="0" w:type="dxa"/>
            <w:right w:w="108" w:type="dxa"/>
          </w:tblCellMar>
        </w:tblPrEx>
        <w:trPr>
          <w:trHeight w:val="280" w:hRule="atLeast"/>
        </w:trPr>
        <w:tc>
          <w:tcPr>
            <w:tcW w:w="4395" w:type="dxa"/>
            <w:tcBorders>
              <w:top w:val="single" w:color="auto" w:sz="12" w:space="0"/>
              <w:left w:val="nil"/>
              <w:bottom w:val="nil"/>
              <w:right w:val="nil"/>
            </w:tcBorders>
            <w:shd w:val="clear" w:color="auto" w:fill="auto"/>
            <w:noWrap/>
            <w:vAlign w:val="center"/>
          </w:tcPr>
          <w:p>
            <w:pPr>
              <w:spacing w:before="0" w:after="0"/>
              <w:jc w:val="both"/>
              <w:rPr>
                <w:color w:val="auto"/>
                <w:highlight w:val="none"/>
              </w:rPr>
            </w:pPr>
            <w:r>
              <w:rPr>
                <w:color w:val="auto"/>
                <w:highlight w:val="none"/>
              </w:rPr>
              <w:t>1-methyl-5-imidazolelactate</w:t>
            </w:r>
          </w:p>
        </w:tc>
        <w:tc>
          <w:tcPr>
            <w:tcW w:w="1800" w:type="dxa"/>
            <w:tcBorders>
              <w:top w:val="single" w:color="auto" w:sz="12" w:space="0"/>
              <w:left w:val="nil"/>
              <w:bottom w:val="nil"/>
              <w:right w:val="nil"/>
            </w:tcBorders>
            <w:shd w:val="clear" w:color="auto" w:fill="auto"/>
            <w:noWrap/>
            <w:vAlign w:val="center"/>
          </w:tcPr>
          <w:p>
            <w:pPr>
              <w:spacing w:before="0" w:after="0"/>
              <w:jc w:val="center"/>
              <w:rPr>
                <w:color w:val="auto"/>
                <w:highlight w:val="none"/>
              </w:rPr>
            </w:pPr>
          </w:p>
        </w:tc>
        <w:tc>
          <w:tcPr>
            <w:tcW w:w="1963" w:type="dxa"/>
            <w:tcBorders>
              <w:top w:val="single" w:color="auto" w:sz="12" w:space="0"/>
              <w:left w:val="nil"/>
              <w:bottom w:val="nil"/>
              <w:right w:val="nil"/>
            </w:tcBorders>
            <w:shd w:val="clear" w:color="auto" w:fill="auto"/>
            <w:noWrap/>
            <w:vAlign w:val="center"/>
          </w:tcPr>
          <w:p>
            <w:pPr>
              <w:spacing w:before="0" w:after="0"/>
              <w:jc w:val="center"/>
              <w:rPr>
                <w:color w:val="auto"/>
                <w:highlight w:val="none"/>
              </w:rPr>
            </w:pPr>
            <w:r>
              <w:rPr>
                <w:color w:val="auto"/>
                <w:highlight w:val="none"/>
              </w:rPr>
              <w:t>Amino Acid</w:t>
            </w:r>
          </w:p>
        </w:tc>
        <w:tc>
          <w:tcPr>
            <w:tcW w:w="1476" w:type="dxa"/>
            <w:tcBorders>
              <w:top w:val="single" w:color="auto" w:sz="12" w:space="0"/>
              <w:left w:val="nil"/>
              <w:bottom w:val="nil"/>
              <w:right w:val="nil"/>
            </w:tcBorders>
            <w:shd w:val="clear" w:color="auto" w:fill="auto"/>
            <w:noWrap/>
            <w:vAlign w:val="center"/>
          </w:tcPr>
          <w:p>
            <w:pPr>
              <w:spacing w:before="0" w:after="0"/>
              <w:jc w:val="center"/>
              <w:rPr>
                <w:color w:val="auto"/>
                <w:highlight w:val="none"/>
              </w:rPr>
            </w:pPr>
            <w:r>
              <w:rPr>
                <w:rFonts w:cs="Times New Roman"/>
                <w:color w:val="auto"/>
                <w:highlight w:val="none"/>
              </w:rPr>
              <w:t xml:space="preserve">1.59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gentisate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HMDB0000152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Amino Acid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3-methylhistidine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HMDB0000479</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Amino Acid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maltotriose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HMDB0001262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Carbohydrate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1.78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docosadienoate (22:2n6)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HMDB0061714</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docosatrienoate (22:3n3)</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HMDB0002823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N-linoleoyltaurine*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1.91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estrone 3-sulfate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HMDB0001425</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3-hydroxydodecanedioate*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HMDB0000413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2.65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10-undecenoate (11:1n1)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HMDB0033724</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2.37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tridecenedioate (C13:1-DC)*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2.66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tetradecadienedioate (C14:2-DC)*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2.22 </w:t>
            </w:r>
          </w:p>
        </w:tc>
      </w:tr>
      <w:tr>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glycerol</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HMDB0000131</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2.98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1-stearoyl-GPS (18:0)*</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HMDB0061698</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N-linoleoylserine*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tetrahydrocortisol sulfate (1)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1.83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cis-4-decenoate (10:1n6)*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HMDB0004980</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2.80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hexadecadienoate (16:2n6)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HMDB0000477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2.06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adrenate (22:4n6)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HMDB0002226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caprylate (8:0)</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HMDB0000482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1.96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(2 or 3)-decenoate (10:1n7 or n8)</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2.71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docosapentaenoate (n3 DPA; 22:5n3)</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HMDB0006528</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1.73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cortolone glucuronide (1)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hexanoylglutamine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caproate (6:0)</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HMDB0000535</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nisinate (24:6n3)</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HMDB0002007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3.29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3-hydroxysebacate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HMDB0000350</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2.04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dodecadienoate (12:2)*</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3.07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3-hydroxyhexanoate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HMDB0061652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1.91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trans-2-hexenoylglycine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heneicosapentaenoate (21:5n3)</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2.88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branched chain 14:0 dicarboxylic acid</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2.67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3-hydroxylaurate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HMDB0000387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2.89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3-hydroxymyristate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HMDB0061656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2.44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decadienedioic acid (C10:2-DC)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hexadecanedioate (C16-DC)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HMDB0000672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stearidonate (18:4n3)</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HMDB0006547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1.90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isoursodeoxycholate sulfate (1)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isoursodeoxycholate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HMDB0000686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1.72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tetradecadienoate (14:2)*</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HMDB0000560</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2.85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5-dodecenoate (12:1n7)</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HMDB0000529</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2.89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hexadecenedioate (C16:1-DC)*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1.72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dodecenedioate (C12:1-DC)*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HMDB0000933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2.10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N-linoleoylglycine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hexanoylglycine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HMDB0000701</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docosapentaenoate (n6 DPA; 22:5n6)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HMDB0001976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1.76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3-hydroxydecanoate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HMDB0002203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2.48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tetradecanedioate (C14-DC)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HMDB0000872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10-heptadecenoate (17:1n7)</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HMDB0060038</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1.64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10-nonadecenoate (19:1n9)</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HMDB0013622</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myristoleate (14:1n5)</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HMDB0002000</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2.20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linolenate [alpha or gamma; (18:3n3 or 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HMDB0003073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3-hydroxyoctanoate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HMDB0001954</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2.22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dodecanedioate (C12-DC)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HMDB0000623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(16 or 17)-methylstearate (a19:0 or i19:0)</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HMDB0037397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16-hydroxypalmitate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HMDB0006294</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guanosine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HMDB0000133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Nucleotide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2.07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hypoxanthine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HMDB0000157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Nucleotide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3.29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inosine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HMDB0000195</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Nucleotide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2.62 </w:t>
            </w:r>
          </w:p>
        </w:tc>
      </w:tr>
      <w:tr>
        <w:tblPrEx>
          <w:tblCellMar>
            <w:top w:w="0" w:type="dxa"/>
            <w:left w:w="108" w:type="dxa"/>
            <w:bottom w:w="0" w:type="dxa"/>
            <w:right w:w="108" w:type="dxa"/>
          </w:tblCellMar>
        </w:tblPrEx>
        <w:trPr>
          <w:trHeight w:val="52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branched-chain, straight-chain, or cyclopropyl 12:1 fatty acid*</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Others</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2.78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valylglycine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HMDB0029127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Peptide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1.76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pyruvate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Carbohydrate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mannitol/sorbitol</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HMDB0000765</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Carbohydrate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2.29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3-hydroxyoctanoylcarnitine (1)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HMDB0061634</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2.79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3-hydroxyoctanoylcarnitine (2)</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3.00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3-hydroxybutyrylcarnitine (2)</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HMDB0013127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1.87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hexanoylcarnitine (C6)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HMDB0000756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3.23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butyrylcarnitine (C4)</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HMDB0002013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cysteine-glutathione disulfide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HMDB0000656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Amino Acid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adenosine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HMDB0000050</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Nucleotide</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methylurea</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Amino Acid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1.52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octadecenedioylcarnitine (C18:1-DC)*</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3-hydroxydecanoylcarnitine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HMDB0061636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3.29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3-hydroxyoleoylcarnitine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2.92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myristoylcarnitine (C14)</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HMDB0254979</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2.54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decanoylcarnitine (C10)</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HMDB0000651</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3.84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laurylcarnitine (C12)</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HMDB0002250</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3.83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octanoylcarnitine (C8)</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HMDB0000791</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3.76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nonanoylcarnitine (C9)</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HMDB0013288</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3.89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cis-4-decenoylcarnitine (C10:1)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HMDB0240585</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3.43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undecenoylcarnitine (C11:1)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2.65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3-decenoylcarnitine</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3.28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palmitoleoylcarnitine (C16:1)*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HMDB0013207</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2.25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5-dodecenoylcarnitine (C12:1)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HMDB0013326</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3.71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myristoleoylcarnitine (C14:1)*</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HMDB0240588</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3.50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linolenoylcarnitine (C18:3)*</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1.68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docosahexaenoylcarnitine (C22:6)*</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1.80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1,2-dilinoleoyl-GPE (18:2/18:2)*</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HMDB0009093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1.66 </w:t>
            </w:r>
          </w:p>
        </w:tc>
      </w:tr>
      <w:tr>
        <w:tblPrEx>
          <w:tblCellMar>
            <w:top w:w="0" w:type="dxa"/>
            <w:left w:w="108" w:type="dxa"/>
            <w:bottom w:w="0" w:type="dxa"/>
            <w:right w:w="108" w:type="dxa"/>
          </w:tblCellMar>
        </w:tblPrEx>
        <w:trPr>
          <w:trHeight w:val="280" w:hRule="atLeast"/>
        </w:trPr>
        <w:tc>
          <w:tcPr>
            <w:tcW w:w="4395" w:type="dxa"/>
            <w:tcBorders>
              <w:top w:val="nil"/>
              <w:left w:val="nil"/>
              <w:bottom w:val="nil"/>
              <w:right w:val="nil"/>
            </w:tcBorders>
            <w:shd w:val="clear" w:color="auto" w:fill="auto"/>
            <w:vAlign w:val="center"/>
          </w:tcPr>
          <w:p>
            <w:pPr>
              <w:spacing w:before="0" w:after="0"/>
              <w:jc w:val="both"/>
              <w:rPr>
                <w:color w:val="auto"/>
                <w:highlight w:val="none"/>
              </w:rPr>
            </w:pPr>
            <w:r>
              <w:rPr>
                <w:color w:val="auto"/>
                <w:highlight w:val="none"/>
              </w:rPr>
              <w:t>1-stearoyl-2-arachidonoyl-GPS (18:0/20:4)</w:t>
            </w:r>
          </w:p>
        </w:tc>
        <w:tc>
          <w:tcPr>
            <w:tcW w:w="1800"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HMDB0012383</w:t>
            </w:r>
          </w:p>
        </w:tc>
        <w:tc>
          <w:tcPr>
            <w:tcW w:w="1963" w:type="dxa"/>
            <w:tcBorders>
              <w:top w:val="nil"/>
              <w:left w:val="nil"/>
              <w:bottom w:val="nil"/>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nil"/>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2.35 </w:t>
            </w:r>
          </w:p>
        </w:tc>
      </w:tr>
      <w:tr>
        <w:tblPrEx>
          <w:tblCellMar>
            <w:top w:w="0" w:type="dxa"/>
            <w:left w:w="108" w:type="dxa"/>
            <w:bottom w:w="0" w:type="dxa"/>
            <w:right w:w="108" w:type="dxa"/>
          </w:tblCellMar>
        </w:tblPrEx>
        <w:trPr>
          <w:trHeight w:val="295" w:hRule="atLeast"/>
        </w:trPr>
        <w:tc>
          <w:tcPr>
            <w:tcW w:w="4395" w:type="dxa"/>
            <w:tcBorders>
              <w:top w:val="nil"/>
              <w:left w:val="nil"/>
              <w:bottom w:val="single" w:color="auto" w:sz="12" w:space="0"/>
              <w:right w:val="nil"/>
            </w:tcBorders>
            <w:shd w:val="clear" w:color="auto" w:fill="auto"/>
            <w:vAlign w:val="center"/>
          </w:tcPr>
          <w:p>
            <w:pPr>
              <w:spacing w:before="0" w:after="0"/>
              <w:jc w:val="both"/>
              <w:rPr>
                <w:color w:val="auto"/>
                <w:highlight w:val="none"/>
              </w:rPr>
            </w:pPr>
            <w:r>
              <w:rPr>
                <w:color w:val="auto"/>
                <w:highlight w:val="none"/>
              </w:rPr>
              <w:t>1-stearoyl-2-oleoyl-GPS (18:0/18:1)</w:t>
            </w:r>
          </w:p>
        </w:tc>
        <w:tc>
          <w:tcPr>
            <w:tcW w:w="1800" w:type="dxa"/>
            <w:tcBorders>
              <w:top w:val="nil"/>
              <w:left w:val="nil"/>
              <w:bottom w:val="single" w:color="auto" w:sz="12" w:space="0"/>
              <w:right w:val="nil"/>
            </w:tcBorders>
            <w:shd w:val="clear" w:color="auto" w:fill="auto"/>
            <w:vAlign w:val="center"/>
          </w:tcPr>
          <w:p>
            <w:pPr>
              <w:spacing w:before="0" w:after="0"/>
              <w:jc w:val="center"/>
              <w:rPr>
                <w:color w:val="auto"/>
                <w:highlight w:val="none"/>
              </w:rPr>
            </w:pPr>
            <w:r>
              <w:rPr>
                <w:color w:val="auto"/>
                <w:highlight w:val="none"/>
              </w:rPr>
              <w:t>HMDB0010163</w:t>
            </w:r>
          </w:p>
        </w:tc>
        <w:tc>
          <w:tcPr>
            <w:tcW w:w="1963" w:type="dxa"/>
            <w:tcBorders>
              <w:top w:val="nil"/>
              <w:left w:val="nil"/>
              <w:bottom w:val="single" w:color="auto" w:sz="12" w:space="0"/>
              <w:right w:val="nil"/>
            </w:tcBorders>
            <w:shd w:val="clear" w:color="auto" w:fill="auto"/>
            <w:vAlign w:val="center"/>
          </w:tcPr>
          <w:p>
            <w:pPr>
              <w:spacing w:before="0" w:after="0"/>
              <w:jc w:val="center"/>
              <w:rPr>
                <w:color w:val="auto"/>
                <w:highlight w:val="none"/>
              </w:rPr>
            </w:pPr>
            <w:r>
              <w:rPr>
                <w:color w:val="auto"/>
                <w:highlight w:val="none"/>
              </w:rPr>
              <w:t>Lipid</w:t>
            </w:r>
          </w:p>
        </w:tc>
        <w:tc>
          <w:tcPr>
            <w:tcW w:w="1476" w:type="dxa"/>
            <w:tcBorders>
              <w:top w:val="nil"/>
              <w:left w:val="nil"/>
              <w:bottom w:val="single" w:color="auto" w:sz="12" w:space="0"/>
              <w:right w:val="nil"/>
            </w:tcBorders>
            <w:shd w:val="clear" w:color="auto" w:fill="auto"/>
            <w:vAlign w:val="center"/>
          </w:tcPr>
          <w:p>
            <w:pPr>
              <w:spacing w:before="0" w:after="0"/>
              <w:jc w:val="center"/>
              <w:rPr>
                <w:color w:val="auto"/>
                <w:highlight w:val="none"/>
              </w:rPr>
            </w:pPr>
            <w:r>
              <w:rPr>
                <w:rFonts w:cs="Times New Roman"/>
                <w:color w:val="auto"/>
                <w:highlight w:val="none"/>
              </w:rPr>
              <w:t xml:space="preserve">1.81 </w:t>
            </w:r>
          </w:p>
        </w:tc>
      </w:tr>
    </w:tbl>
    <w:p>
      <w:pPr>
        <w:spacing w:before="240"/>
        <w:rPr>
          <w:color w:val="auto"/>
          <w:highlight w:val="none"/>
        </w:rPr>
      </w:pPr>
    </w:p>
    <w:p>
      <w:pPr>
        <w:spacing w:before="0" w:after="200" w:line="276" w:lineRule="auto"/>
        <w:rPr>
          <w:color w:val="auto"/>
          <w:highlight w:val="none"/>
        </w:rPr>
      </w:pPr>
      <w:r>
        <w:rPr>
          <w:color w:val="auto"/>
          <w:highlight w:val="none"/>
        </w:rPr>
        <w:br w:type="page"/>
      </w:r>
    </w:p>
    <w:p>
      <w:pPr>
        <w:spacing w:before="240"/>
        <w:rPr>
          <w:rFonts w:cs="Times New Roman"/>
          <w:b/>
          <w:color w:val="auto"/>
          <w:szCs w:val="24"/>
          <w:highlight w:val="none"/>
        </w:rPr>
      </w:pPr>
      <w:r>
        <w:rPr>
          <w:rFonts w:cs="Times New Roman"/>
          <w:b/>
          <w:color w:val="auto"/>
          <w:szCs w:val="24"/>
          <w:highlight w:val="none"/>
        </w:rPr>
        <w:t>Supplementary Table 6. Summary of signature metabolites found in this study associated with thyroid carcinoma or cancer-related renal diseases, according to the literature research.</w:t>
      </w:r>
    </w:p>
    <w:tbl>
      <w:tblPr>
        <w:tblStyle w:val="21"/>
        <w:tblW w:w="99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7"/>
        <w:gridCol w:w="3402"/>
        <w:gridCol w:w="4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2127" w:type="dxa"/>
            <w:vMerge w:val="restart"/>
            <w:tcBorders>
              <w:top w:val="single" w:color="auto" w:sz="12" w:space="0"/>
            </w:tcBorders>
            <w:vAlign w:val="center"/>
          </w:tcPr>
          <w:p>
            <w:pPr>
              <w:spacing w:before="0" w:after="0"/>
              <w:jc w:val="both"/>
              <w:rPr>
                <w:b/>
                <w:bCs/>
                <w:color w:val="auto"/>
                <w:highlight w:val="none"/>
                <w:lang w:eastAsia="zh-CN"/>
              </w:rPr>
            </w:pPr>
            <w:r>
              <w:rPr>
                <w:rFonts w:hint="eastAsia"/>
                <w:b/>
                <w:bCs/>
                <w:color w:val="auto"/>
                <w:highlight w:val="none"/>
                <w:lang w:eastAsia="zh-CN"/>
              </w:rPr>
              <w:t>S</w:t>
            </w:r>
            <w:r>
              <w:rPr>
                <w:b/>
                <w:bCs/>
                <w:color w:val="auto"/>
                <w:highlight w:val="none"/>
                <w:lang w:eastAsia="zh-CN"/>
              </w:rPr>
              <w:t xml:space="preserve">ignature metabolites </w:t>
            </w:r>
          </w:p>
          <w:p>
            <w:pPr>
              <w:spacing w:before="0" w:after="0"/>
              <w:jc w:val="both"/>
              <w:rPr>
                <w:b/>
                <w:bCs/>
                <w:color w:val="auto"/>
                <w:highlight w:val="none"/>
              </w:rPr>
            </w:pPr>
            <w:r>
              <w:rPr>
                <w:b/>
                <w:bCs/>
                <w:color w:val="auto"/>
                <w:highlight w:val="none"/>
                <w:lang w:eastAsia="zh-CN"/>
              </w:rPr>
              <w:t>in this study</w:t>
            </w:r>
          </w:p>
        </w:tc>
        <w:tc>
          <w:tcPr>
            <w:tcW w:w="7797" w:type="dxa"/>
            <w:gridSpan w:val="2"/>
            <w:tcBorders>
              <w:top w:val="single" w:color="auto" w:sz="12" w:space="0"/>
            </w:tcBorders>
            <w:vAlign w:val="center"/>
          </w:tcPr>
          <w:p>
            <w:pPr>
              <w:spacing w:before="0" w:after="0"/>
              <w:jc w:val="center"/>
              <w:rPr>
                <w:b/>
                <w:bCs/>
                <w:color w:val="auto"/>
                <w:highlight w:val="none"/>
              </w:rPr>
            </w:pPr>
            <w:r>
              <w:rPr>
                <w:b/>
                <w:bCs/>
                <w:color w:val="auto"/>
                <w:highlight w:val="none"/>
                <w:lang w:eastAsia="zh-CN"/>
              </w:rPr>
              <w:t>Disease-outcome association on previous publications*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2127" w:type="dxa"/>
            <w:vMerge w:val="continue"/>
          </w:tcPr>
          <w:p>
            <w:pPr>
              <w:spacing w:before="0" w:after="0"/>
              <w:rPr>
                <w:b/>
                <w:bCs/>
                <w:color w:val="auto"/>
                <w:highlight w:val="none"/>
                <w:lang w:eastAsia="zh-CN"/>
              </w:rPr>
            </w:pPr>
          </w:p>
        </w:tc>
        <w:tc>
          <w:tcPr>
            <w:tcW w:w="3402" w:type="dxa"/>
            <w:vAlign w:val="center"/>
          </w:tcPr>
          <w:p>
            <w:pPr>
              <w:spacing w:before="0" w:after="0"/>
              <w:jc w:val="both"/>
              <w:rPr>
                <w:b/>
                <w:bCs/>
                <w:color w:val="auto"/>
                <w:highlight w:val="none"/>
                <w:lang w:eastAsia="zh-CN"/>
              </w:rPr>
            </w:pPr>
            <w:r>
              <w:rPr>
                <w:b/>
                <w:bCs/>
                <w:color w:val="auto"/>
                <w:highlight w:val="none"/>
                <w:lang w:eastAsia="zh-CN"/>
              </w:rPr>
              <w:t>Thyroid carcinoma-associated</w:t>
            </w:r>
          </w:p>
        </w:tc>
        <w:tc>
          <w:tcPr>
            <w:tcW w:w="4395" w:type="dxa"/>
            <w:vAlign w:val="center"/>
          </w:tcPr>
          <w:p>
            <w:pPr>
              <w:spacing w:before="0" w:after="0"/>
              <w:jc w:val="both"/>
              <w:rPr>
                <w:b/>
                <w:bCs/>
                <w:color w:val="auto"/>
                <w:highlight w:val="none"/>
                <w:lang w:eastAsia="zh-CN"/>
              </w:rPr>
            </w:pPr>
            <w:r>
              <w:rPr>
                <w:b/>
                <w:bCs/>
                <w:color w:val="auto"/>
                <w:highlight w:val="none"/>
                <w:lang w:eastAsia="zh-CN"/>
              </w:rPr>
              <w:t>Cancer-related renal diseases-associated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1" w:hRule="atLeast"/>
        </w:trPr>
        <w:tc>
          <w:tcPr>
            <w:tcW w:w="2127" w:type="dxa"/>
            <w:tcBorders>
              <w:top w:val="single" w:color="auto" w:sz="12" w:space="0"/>
            </w:tcBorders>
          </w:tcPr>
          <w:p>
            <w:pPr>
              <w:spacing w:before="0" w:after="0"/>
              <w:rPr>
                <w:color w:val="auto"/>
                <w:highlight w:val="none"/>
                <w:lang w:eastAsia="zh-CN"/>
              </w:rPr>
            </w:pPr>
            <w:r>
              <w:rPr>
                <w:color w:val="auto"/>
                <w:highlight w:val="none"/>
                <w:lang w:eastAsia="zh-CN"/>
              </w:rPr>
              <w:t xml:space="preserve">Metabolites associated with thyroidectomy </w:t>
            </w:r>
          </w:p>
          <w:p>
            <w:pPr>
              <w:spacing w:before="0" w:after="0"/>
              <w:rPr>
                <w:color w:val="auto"/>
                <w:highlight w:val="none"/>
                <w:lang w:eastAsia="zh-CN"/>
              </w:rPr>
            </w:pPr>
            <w:r>
              <w:rPr>
                <w:color w:val="auto"/>
                <w:highlight w:val="none"/>
                <w:lang w:eastAsia="zh-CN"/>
              </w:rPr>
              <w:t>(t0 vs t1, n = 126)</w:t>
            </w:r>
          </w:p>
        </w:tc>
        <w:tc>
          <w:tcPr>
            <w:tcW w:w="3402" w:type="dxa"/>
            <w:tcBorders>
              <w:top w:val="single" w:color="auto" w:sz="12" w:space="0"/>
            </w:tcBorders>
          </w:tcPr>
          <w:p>
            <w:pPr>
              <w:spacing w:before="0" w:after="0"/>
              <w:ind w:left="173" w:leftChars="72"/>
              <w:rPr>
                <w:color w:val="auto"/>
                <w:highlight w:val="none"/>
                <w:lang w:eastAsia="zh-CN"/>
              </w:rPr>
            </w:pPr>
            <w:r>
              <w:rPr>
                <w:rFonts w:hint="eastAsia"/>
                <w:color w:val="auto"/>
                <w:highlight w:val="none"/>
                <w:lang w:eastAsia="zh-CN"/>
              </w:rPr>
              <w:t>G</w:t>
            </w:r>
            <w:r>
              <w:rPr>
                <w:color w:val="auto"/>
                <w:highlight w:val="none"/>
                <w:lang w:eastAsia="zh-CN"/>
              </w:rPr>
              <w:t xml:space="preserve">lycerol(5), </w:t>
            </w:r>
          </w:p>
          <w:p>
            <w:pPr>
              <w:spacing w:before="0" w:after="0"/>
              <w:ind w:left="173" w:leftChars="72"/>
              <w:rPr>
                <w:color w:val="auto"/>
                <w:highlight w:val="none"/>
                <w:lang w:eastAsia="zh-CN"/>
              </w:rPr>
            </w:pPr>
            <w:r>
              <w:rPr>
                <w:color w:val="auto"/>
                <w:highlight w:val="none"/>
                <w:lang w:eastAsia="zh-CN"/>
              </w:rPr>
              <w:t xml:space="preserve">guanosine(1, 7), </w:t>
            </w:r>
          </w:p>
          <w:p>
            <w:pPr>
              <w:spacing w:before="0" w:after="0"/>
              <w:ind w:left="173" w:leftChars="72"/>
              <w:rPr>
                <w:color w:val="auto"/>
                <w:highlight w:val="none"/>
                <w:lang w:eastAsia="zh-CN"/>
              </w:rPr>
            </w:pPr>
            <w:r>
              <w:rPr>
                <w:color w:val="auto"/>
                <w:highlight w:val="none"/>
                <w:lang w:eastAsia="zh-CN"/>
              </w:rPr>
              <w:t xml:space="preserve">hypoxanthine(1, 7, 8, 15), </w:t>
            </w:r>
          </w:p>
          <w:p>
            <w:pPr>
              <w:spacing w:before="0" w:after="0"/>
              <w:ind w:left="173" w:leftChars="72"/>
              <w:rPr>
                <w:color w:val="auto"/>
                <w:highlight w:val="none"/>
                <w:lang w:eastAsia="zh-CN"/>
              </w:rPr>
            </w:pPr>
            <w:r>
              <w:rPr>
                <w:color w:val="auto"/>
                <w:highlight w:val="none"/>
                <w:lang w:eastAsia="zh-CN"/>
              </w:rPr>
              <w:t xml:space="preserve">inosine(7, 15, 16), </w:t>
            </w:r>
          </w:p>
          <w:p>
            <w:pPr>
              <w:spacing w:before="0" w:after="0"/>
              <w:ind w:left="173" w:leftChars="72"/>
              <w:rPr>
                <w:color w:val="auto"/>
                <w:highlight w:val="none"/>
                <w:lang w:eastAsia="zh-CN"/>
              </w:rPr>
            </w:pPr>
            <w:r>
              <w:rPr>
                <w:color w:val="auto"/>
                <w:highlight w:val="none"/>
                <w:lang w:eastAsia="zh-CN"/>
              </w:rPr>
              <w:t xml:space="preserve">mannitol/sorbitol(13,  14), acetylcarnitine(11, 17), </w:t>
            </w:r>
          </w:p>
          <w:p>
            <w:pPr>
              <w:spacing w:before="0" w:after="0"/>
              <w:ind w:left="173" w:leftChars="72"/>
              <w:rPr>
                <w:color w:val="auto"/>
                <w:highlight w:val="none"/>
                <w:lang w:eastAsia="zh-CN"/>
              </w:rPr>
            </w:pPr>
            <w:r>
              <w:rPr>
                <w:color w:val="auto"/>
                <w:highlight w:val="none"/>
                <w:lang w:eastAsia="zh-CN"/>
              </w:rPr>
              <w:t xml:space="preserve">adenosine(1), </w:t>
            </w:r>
          </w:p>
          <w:p>
            <w:pPr>
              <w:spacing w:before="0" w:after="0"/>
              <w:ind w:left="173" w:leftChars="72"/>
              <w:rPr>
                <w:color w:val="auto"/>
                <w:highlight w:val="none"/>
                <w:lang w:eastAsia="zh-CN"/>
              </w:rPr>
            </w:pPr>
            <w:r>
              <w:rPr>
                <w:color w:val="auto"/>
                <w:highlight w:val="none"/>
                <w:lang w:eastAsia="zh-CN"/>
              </w:rPr>
              <w:t xml:space="preserve">decanolcarnitine(12), </w:t>
            </w:r>
          </w:p>
          <w:p>
            <w:pPr>
              <w:spacing w:before="0" w:after="0"/>
              <w:ind w:left="173" w:leftChars="72"/>
              <w:rPr>
                <w:color w:val="auto"/>
                <w:highlight w:val="none"/>
                <w:lang w:eastAsia="zh-CN"/>
              </w:rPr>
            </w:pPr>
            <w:r>
              <w:rPr>
                <w:color w:val="auto"/>
                <w:highlight w:val="none"/>
                <w:lang w:eastAsia="zh-CN"/>
              </w:rPr>
              <w:t>pyruvate(1),</w:t>
            </w:r>
          </w:p>
          <w:p>
            <w:pPr>
              <w:spacing w:before="0" w:after="0"/>
              <w:ind w:left="173" w:leftChars="72"/>
              <w:rPr>
                <w:color w:val="auto"/>
                <w:highlight w:val="none"/>
                <w:lang w:eastAsia="zh-CN"/>
              </w:rPr>
            </w:pPr>
            <w:r>
              <w:rPr>
                <w:color w:val="auto"/>
                <w:highlight w:val="none"/>
                <w:lang w:eastAsia="zh-CN"/>
              </w:rPr>
              <w:t>1-stearoyl-2-arachidonoyl-GPS (18:0/20:4)(9).</w:t>
            </w:r>
          </w:p>
        </w:tc>
        <w:tc>
          <w:tcPr>
            <w:tcW w:w="4395" w:type="dxa"/>
            <w:tcBorders>
              <w:top w:val="single" w:color="auto" w:sz="12" w:space="0"/>
            </w:tcBorders>
          </w:tcPr>
          <w:p>
            <w:pPr>
              <w:spacing w:before="0" w:after="0"/>
              <w:ind w:left="175" w:leftChars="73"/>
              <w:rPr>
                <w:color w:val="auto"/>
                <w:highlight w:val="none"/>
                <w:lang w:eastAsia="zh-CN"/>
              </w:rPr>
            </w:pPr>
            <w:r>
              <w:rPr>
                <w:rFonts w:hint="eastAsia"/>
                <w:color w:val="auto"/>
                <w:highlight w:val="none"/>
                <w:lang w:eastAsia="zh-CN"/>
              </w:rPr>
              <w:t>A</w:t>
            </w:r>
            <w:r>
              <w:rPr>
                <w:color w:val="auto"/>
                <w:highlight w:val="none"/>
                <w:lang w:eastAsia="zh-CN"/>
              </w:rPr>
              <w:t xml:space="preserve">denosine(20), </w:t>
            </w:r>
          </w:p>
          <w:p>
            <w:pPr>
              <w:spacing w:before="0" w:after="0"/>
              <w:ind w:left="175" w:leftChars="73"/>
              <w:rPr>
                <w:color w:val="auto"/>
                <w:highlight w:val="none"/>
                <w:lang w:eastAsia="zh-CN"/>
              </w:rPr>
            </w:pPr>
            <w:r>
              <w:rPr>
                <w:color w:val="auto"/>
                <w:highlight w:val="none"/>
                <w:lang w:eastAsia="zh-CN"/>
              </w:rPr>
              <w:t xml:space="preserve">octanoylcarnitine(18), </w:t>
            </w:r>
          </w:p>
          <w:p>
            <w:pPr>
              <w:spacing w:before="0" w:after="0"/>
              <w:ind w:left="175" w:leftChars="73"/>
              <w:rPr>
                <w:color w:val="auto"/>
                <w:highlight w:val="none"/>
                <w:lang w:eastAsia="zh-CN"/>
              </w:rPr>
            </w:pPr>
            <w:r>
              <w:rPr>
                <w:color w:val="auto"/>
                <w:highlight w:val="none"/>
                <w:lang w:eastAsia="zh-CN"/>
              </w:rPr>
              <w:t>pyruvate(22).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127" w:type="dxa"/>
          </w:tcPr>
          <w:p>
            <w:pPr>
              <w:spacing w:before="0" w:after="0"/>
              <w:rPr>
                <w:color w:val="auto"/>
                <w:highlight w:val="none"/>
                <w:lang w:eastAsia="zh-CN"/>
              </w:rPr>
            </w:pPr>
            <w:r>
              <w:rPr>
                <w:rFonts w:hint="eastAsia"/>
                <w:color w:val="auto"/>
                <w:highlight w:val="none"/>
                <w:lang w:eastAsia="zh-CN"/>
              </w:rPr>
              <w:t>M</w:t>
            </w:r>
            <w:r>
              <w:rPr>
                <w:color w:val="auto"/>
                <w:highlight w:val="none"/>
                <w:lang w:eastAsia="zh-CN"/>
              </w:rPr>
              <w:t>etabolites associated with the surgical approaches</w:t>
            </w:r>
          </w:p>
          <w:p>
            <w:pPr>
              <w:spacing w:before="0" w:after="0"/>
              <w:rPr>
                <w:color w:val="auto"/>
                <w:highlight w:val="none"/>
                <w:lang w:eastAsia="zh-CN"/>
              </w:rPr>
            </w:pPr>
            <w:r>
              <w:rPr>
                <w:color w:val="auto"/>
                <w:highlight w:val="none"/>
                <w:lang w:eastAsia="zh-CN"/>
              </w:rPr>
              <w:t xml:space="preserve"> (</w:t>
            </w:r>
            <w:r>
              <w:rPr>
                <w:rFonts w:hint="eastAsia"/>
                <w:color w:val="auto"/>
                <w:highlight w:val="none"/>
                <w:lang w:eastAsia="zh-CN"/>
              </w:rPr>
              <w:t>T</w:t>
            </w:r>
            <w:r>
              <w:rPr>
                <w:color w:val="auto"/>
                <w:highlight w:val="none"/>
                <w:lang w:eastAsia="zh-CN"/>
              </w:rPr>
              <w:t xml:space="preserve"> vs H, n = 52)</w:t>
            </w:r>
          </w:p>
        </w:tc>
        <w:tc>
          <w:tcPr>
            <w:tcW w:w="3402" w:type="dxa"/>
          </w:tcPr>
          <w:p>
            <w:pPr>
              <w:spacing w:before="0" w:after="0"/>
              <w:ind w:left="173" w:leftChars="72"/>
              <w:rPr>
                <w:color w:val="auto"/>
                <w:highlight w:val="none"/>
                <w:lang w:val="it-IT" w:eastAsia="zh-CN"/>
              </w:rPr>
            </w:pPr>
            <w:r>
              <w:rPr>
                <w:rFonts w:hint="eastAsia"/>
                <w:color w:val="auto"/>
                <w:highlight w:val="none"/>
                <w:lang w:val="it-IT" w:eastAsia="zh-CN"/>
              </w:rPr>
              <w:t>P</w:t>
            </w:r>
            <w:r>
              <w:rPr>
                <w:color w:val="auto"/>
                <w:highlight w:val="none"/>
                <w:lang w:val="it-IT" w:eastAsia="zh-CN"/>
              </w:rPr>
              <w:t xml:space="preserve">yruvate(1), </w:t>
            </w:r>
          </w:p>
          <w:p>
            <w:pPr>
              <w:spacing w:before="0" w:after="0"/>
              <w:ind w:left="173" w:leftChars="72"/>
              <w:rPr>
                <w:color w:val="auto"/>
                <w:highlight w:val="none"/>
                <w:lang w:val="it-IT" w:eastAsia="zh-CN"/>
              </w:rPr>
            </w:pPr>
            <w:r>
              <w:rPr>
                <w:color w:val="auto"/>
                <w:highlight w:val="none"/>
                <w:lang w:val="it-IT" w:eastAsia="zh-CN"/>
              </w:rPr>
              <w:t xml:space="preserve">mannitol/sorbitol(13, 14), </w:t>
            </w:r>
          </w:p>
          <w:p>
            <w:pPr>
              <w:spacing w:before="0" w:after="0"/>
              <w:ind w:left="173" w:leftChars="72"/>
              <w:rPr>
                <w:color w:val="auto"/>
                <w:highlight w:val="none"/>
                <w:lang w:val="it-IT" w:eastAsia="zh-CN"/>
              </w:rPr>
            </w:pPr>
            <w:r>
              <w:rPr>
                <w:color w:val="auto"/>
                <w:highlight w:val="none"/>
                <w:lang w:val="it-IT" w:eastAsia="zh-CN"/>
              </w:rPr>
              <w:t xml:space="preserve">inosine(7, 15, 16), </w:t>
            </w:r>
          </w:p>
          <w:p>
            <w:pPr>
              <w:spacing w:before="0" w:after="0"/>
              <w:ind w:left="173" w:leftChars="72"/>
              <w:rPr>
                <w:color w:val="auto"/>
                <w:highlight w:val="none"/>
                <w:lang w:val="it-IT" w:eastAsia="zh-CN"/>
              </w:rPr>
            </w:pPr>
            <w:r>
              <w:rPr>
                <w:color w:val="auto"/>
                <w:highlight w:val="none"/>
                <w:lang w:val="it-IT" w:eastAsia="zh-CN"/>
              </w:rPr>
              <w:t>acetylcarnitine(11, 17).</w:t>
            </w:r>
          </w:p>
        </w:tc>
        <w:tc>
          <w:tcPr>
            <w:tcW w:w="4395" w:type="dxa"/>
          </w:tcPr>
          <w:p>
            <w:pPr>
              <w:spacing w:before="0" w:after="0"/>
              <w:ind w:left="175" w:leftChars="73"/>
              <w:rPr>
                <w:color w:val="auto"/>
                <w:highlight w:val="none"/>
                <w:lang w:val="it-IT"/>
              </w:rPr>
            </w:pPr>
            <w:r>
              <w:rPr>
                <w:rFonts w:hint="eastAsia"/>
                <w:color w:val="auto"/>
                <w:highlight w:val="none"/>
                <w:lang w:eastAsia="zh-CN"/>
              </w:rPr>
              <w:t>A</w:t>
            </w:r>
            <w:r>
              <w:rPr>
                <w:color w:val="auto"/>
                <w:highlight w:val="none"/>
                <w:lang w:eastAsia="zh-CN"/>
              </w:rPr>
              <w:t>denosine(20).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0" w:hRule="atLeast"/>
        </w:trPr>
        <w:tc>
          <w:tcPr>
            <w:tcW w:w="2127" w:type="dxa"/>
            <w:tcBorders>
              <w:bottom w:val="single" w:color="auto" w:sz="12" w:space="0"/>
            </w:tcBorders>
          </w:tcPr>
          <w:p>
            <w:pPr>
              <w:spacing w:before="0" w:after="0"/>
              <w:rPr>
                <w:color w:val="auto"/>
                <w:highlight w:val="none"/>
                <w:lang w:eastAsia="zh-CN"/>
              </w:rPr>
            </w:pPr>
            <w:r>
              <w:rPr>
                <w:color w:val="auto"/>
                <w:highlight w:val="none"/>
                <w:lang w:eastAsia="zh-CN"/>
              </w:rPr>
              <w:t xml:space="preserve">Metabolites associated with </w:t>
            </w:r>
          </w:p>
          <w:p>
            <w:pPr>
              <w:spacing w:before="0" w:after="0"/>
              <w:rPr>
                <w:color w:val="auto"/>
                <w:highlight w:val="none"/>
                <w:lang w:eastAsia="zh-CN"/>
              </w:rPr>
            </w:pPr>
            <w:r>
              <w:rPr>
                <w:color w:val="auto"/>
                <w:highlight w:val="none"/>
                <w:lang w:eastAsia="zh-CN"/>
              </w:rPr>
              <w:t>post-operative complications (including fatigue and insomnia,</w:t>
            </w:r>
          </w:p>
          <w:p>
            <w:pPr>
              <w:spacing w:before="0" w:after="0"/>
              <w:rPr>
                <w:color w:val="auto"/>
                <w:highlight w:val="none"/>
                <w:lang w:eastAsia="zh-CN"/>
              </w:rPr>
            </w:pPr>
            <w:r>
              <w:rPr>
                <w:color w:val="auto"/>
                <w:highlight w:val="none"/>
                <w:lang w:eastAsia="zh-CN"/>
              </w:rPr>
              <w:t>n = 48)</w:t>
            </w:r>
          </w:p>
        </w:tc>
        <w:tc>
          <w:tcPr>
            <w:tcW w:w="3402" w:type="dxa"/>
            <w:tcBorders>
              <w:bottom w:val="single" w:color="auto" w:sz="12" w:space="0"/>
            </w:tcBorders>
          </w:tcPr>
          <w:p>
            <w:pPr>
              <w:spacing w:before="0" w:after="0"/>
              <w:ind w:left="173" w:leftChars="72"/>
              <w:rPr>
                <w:color w:val="auto"/>
                <w:highlight w:val="none"/>
                <w:lang w:eastAsia="zh-CN"/>
              </w:rPr>
            </w:pPr>
            <w:r>
              <w:rPr>
                <w:rFonts w:hint="eastAsia"/>
                <w:color w:val="auto"/>
                <w:highlight w:val="none"/>
                <w:lang w:eastAsia="zh-CN"/>
              </w:rPr>
              <w:t>C</w:t>
            </w:r>
            <w:r>
              <w:rPr>
                <w:color w:val="auto"/>
                <w:highlight w:val="none"/>
                <w:lang w:eastAsia="zh-CN"/>
              </w:rPr>
              <w:t xml:space="preserve">reatinine(5, 8), </w:t>
            </w:r>
          </w:p>
          <w:p>
            <w:pPr>
              <w:spacing w:before="0" w:after="0"/>
              <w:ind w:left="173" w:leftChars="72"/>
              <w:rPr>
                <w:color w:val="auto"/>
                <w:highlight w:val="none"/>
                <w:lang w:eastAsia="zh-CN"/>
              </w:rPr>
            </w:pPr>
            <w:r>
              <w:rPr>
                <w:color w:val="auto"/>
                <w:highlight w:val="none"/>
                <w:lang w:eastAsia="zh-CN"/>
              </w:rPr>
              <w:t xml:space="preserve">cysteine(10), </w:t>
            </w:r>
          </w:p>
          <w:p>
            <w:pPr>
              <w:spacing w:before="0" w:after="0"/>
              <w:ind w:left="173" w:leftChars="72"/>
              <w:rPr>
                <w:color w:val="auto"/>
                <w:highlight w:val="none"/>
                <w:lang w:eastAsia="zh-CN"/>
              </w:rPr>
            </w:pPr>
            <w:r>
              <w:rPr>
                <w:color w:val="auto"/>
                <w:highlight w:val="none"/>
                <w:lang w:eastAsia="zh-CN"/>
              </w:rPr>
              <w:t xml:space="preserve">mannose(13, 16), </w:t>
            </w:r>
          </w:p>
          <w:p>
            <w:pPr>
              <w:spacing w:before="0" w:after="0"/>
              <w:ind w:left="173" w:leftChars="72"/>
              <w:rPr>
                <w:color w:val="auto"/>
                <w:highlight w:val="none"/>
                <w:lang w:eastAsia="zh-CN"/>
              </w:rPr>
            </w:pPr>
            <w:r>
              <w:rPr>
                <w:color w:val="auto"/>
                <w:highlight w:val="none"/>
                <w:lang w:eastAsia="zh-CN"/>
              </w:rPr>
              <w:t xml:space="preserve">glucose(3, 13, 16), </w:t>
            </w:r>
          </w:p>
          <w:p>
            <w:pPr>
              <w:spacing w:before="0" w:after="0"/>
              <w:ind w:left="173" w:leftChars="72"/>
              <w:rPr>
                <w:color w:val="auto"/>
                <w:highlight w:val="none"/>
                <w:lang w:eastAsia="zh-CN"/>
              </w:rPr>
            </w:pPr>
            <w:r>
              <w:rPr>
                <w:color w:val="auto"/>
                <w:highlight w:val="none"/>
                <w:lang w:eastAsia="zh-CN"/>
              </w:rPr>
              <w:t xml:space="preserve">cortisol(1), </w:t>
            </w:r>
          </w:p>
          <w:p>
            <w:pPr>
              <w:spacing w:before="0" w:after="0"/>
              <w:ind w:left="173" w:leftChars="72"/>
              <w:rPr>
                <w:color w:val="auto"/>
                <w:highlight w:val="none"/>
                <w:lang w:eastAsia="zh-CN"/>
              </w:rPr>
            </w:pPr>
            <w:r>
              <w:rPr>
                <w:color w:val="auto"/>
                <w:highlight w:val="none"/>
                <w:lang w:eastAsia="zh-CN"/>
              </w:rPr>
              <w:t xml:space="preserve">choline phosphate(7, 14, 15), </w:t>
            </w:r>
          </w:p>
          <w:p>
            <w:pPr>
              <w:spacing w:before="0" w:after="0"/>
              <w:ind w:left="173" w:leftChars="72"/>
              <w:rPr>
                <w:color w:val="auto"/>
                <w:highlight w:val="none"/>
                <w:lang w:eastAsia="zh-CN"/>
              </w:rPr>
            </w:pPr>
            <w:r>
              <w:rPr>
                <w:color w:val="auto"/>
                <w:highlight w:val="none"/>
                <w:lang w:eastAsia="zh-CN"/>
              </w:rPr>
              <w:t xml:space="preserve">tyrosine(2, 6, 7), </w:t>
            </w:r>
          </w:p>
          <w:p>
            <w:pPr>
              <w:spacing w:before="0" w:after="0"/>
              <w:ind w:left="173" w:leftChars="72"/>
              <w:rPr>
                <w:color w:val="auto"/>
                <w:highlight w:val="none"/>
                <w:lang w:val="it-IT" w:eastAsia="zh-CN"/>
              </w:rPr>
            </w:pPr>
            <w:r>
              <w:rPr>
                <w:color w:val="auto"/>
                <w:highlight w:val="none"/>
                <w:lang w:val="it-IT" w:eastAsia="zh-CN"/>
              </w:rPr>
              <w:t xml:space="preserve">valine(2, 4, 10), </w:t>
            </w:r>
          </w:p>
          <w:p>
            <w:pPr>
              <w:spacing w:before="0" w:after="0"/>
              <w:ind w:left="173" w:leftChars="72"/>
              <w:rPr>
                <w:color w:val="auto"/>
                <w:highlight w:val="none"/>
                <w:lang w:val="it-IT" w:eastAsia="zh-CN"/>
              </w:rPr>
            </w:pPr>
            <w:r>
              <w:rPr>
                <w:color w:val="auto"/>
                <w:highlight w:val="none"/>
                <w:lang w:val="it-IT" w:eastAsia="zh-CN"/>
              </w:rPr>
              <w:t xml:space="preserve">citrulline(1, 11), </w:t>
            </w:r>
          </w:p>
          <w:p>
            <w:pPr>
              <w:spacing w:before="0" w:after="0"/>
              <w:ind w:left="173" w:leftChars="72"/>
              <w:rPr>
                <w:color w:val="auto"/>
                <w:highlight w:val="none"/>
                <w:lang w:val="it-IT" w:eastAsia="zh-CN"/>
              </w:rPr>
            </w:pPr>
            <w:r>
              <w:rPr>
                <w:color w:val="auto"/>
                <w:highlight w:val="none"/>
                <w:lang w:val="it-IT" w:eastAsia="zh-CN"/>
              </w:rPr>
              <w:t xml:space="preserve">mannitol/sorbitol(13, 14), </w:t>
            </w:r>
          </w:p>
          <w:p>
            <w:pPr>
              <w:spacing w:before="0" w:after="0"/>
              <w:ind w:left="173" w:leftChars="72"/>
              <w:rPr>
                <w:color w:val="auto"/>
                <w:highlight w:val="none"/>
                <w:lang w:val="it-IT" w:eastAsia="zh-CN"/>
              </w:rPr>
            </w:pPr>
            <w:r>
              <w:rPr>
                <w:color w:val="auto"/>
                <w:highlight w:val="none"/>
                <w:lang w:val="it-IT" w:eastAsia="zh-CN"/>
              </w:rPr>
              <w:t>alpha-ketoglutarate(10).</w:t>
            </w:r>
          </w:p>
        </w:tc>
        <w:tc>
          <w:tcPr>
            <w:tcW w:w="4395" w:type="dxa"/>
            <w:tcBorders>
              <w:bottom w:val="single" w:color="auto" w:sz="12" w:space="0"/>
            </w:tcBorders>
          </w:tcPr>
          <w:p>
            <w:pPr>
              <w:spacing w:before="0" w:after="0"/>
              <w:ind w:left="175" w:leftChars="73"/>
              <w:rPr>
                <w:color w:val="auto"/>
                <w:highlight w:val="none"/>
                <w:lang w:val="it-IT" w:eastAsia="zh-CN"/>
              </w:rPr>
            </w:pPr>
            <w:r>
              <w:rPr>
                <w:rFonts w:hint="eastAsia"/>
                <w:color w:val="auto"/>
                <w:highlight w:val="none"/>
                <w:lang w:val="it-IT" w:eastAsia="zh-CN"/>
              </w:rPr>
              <w:t>C</w:t>
            </w:r>
            <w:r>
              <w:rPr>
                <w:color w:val="auto"/>
                <w:highlight w:val="none"/>
                <w:lang w:val="it-IT" w:eastAsia="zh-CN"/>
              </w:rPr>
              <w:t xml:space="preserve">reatinine(18, 20), </w:t>
            </w:r>
          </w:p>
          <w:p>
            <w:pPr>
              <w:spacing w:before="0" w:after="0"/>
              <w:ind w:left="175" w:leftChars="73"/>
              <w:rPr>
                <w:color w:val="auto"/>
                <w:highlight w:val="none"/>
                <w:lang w:val="it-IT" w:eastAsia="zh-CN"/>
              </w:rPr>
            </w:pPr>
            <w:r>
              <w:rPr>
                <w:color w:val="auto"/>
                <w:highlight w:val="none"/>
                <w:lang w:val="it-IT" w:eastAsia="zh-CN"/>
              </w:rPr>
              <w:t xml:space="preserve">glucose(20), </w:t>
            </w:r>
          </w:p>
          <w:p>
            <w:pPr>
              <w:spacing w:before="0" w:after="0"/>
              <w:ind w:left="175" w:leftChars="73"/>
              <w:rPr>
                <w:color w:val="auto"/>
                <w:highlight w:val="none"/>
                <w:lang w:val="it-IT" w:eastAsia="zh-CN"/>
              </w:rPr>
            </w:pPr>
            <w:r>
              <w:rPr>
                <w:color w:val="auto"/>
                <w:highlight w:val="none"/>
                <w:lang w:val="it-IT" w:eastAsia="zh-CN"/>
              </w:rPr>
              <w:t xml:space="preserve">cortisol(18), </w:t>
            </w:r>
          </w:p>
          <w:p>
            <w:pPr>
              <w:spacing w:before="0" w:after="0"/>
              <w:ind w:left="175" w:leftChars="73"/>
              <w:rPr>
                <w:color w:val="auto"/>
                <w:highlight w:val="none"/>
                <w:lang w:val="it-IT" w:eastAsia="zh-CN"/>
              </w:rPr>
            </w:pPr>
            <w:r>
              <w:rPr>
                <w:color w:val="auto"/>
                <w:highlight w:val="none"/>
                <w:lang w:val="it-IT" w:eastAsia="zh-CN"/>
              </w:rPr>
              <w:t xml:space="preserve">3-indoxyl sulfate(18), </w:t>
            </w:r>
          </w:p>
          <w:p>
            <w:pPr>
              <w:spacing w:before="0" w:after="0"/>
              <w:ind w:left="175" w:leftChars="73"/>
              <w:rPr>
                <w:color w:val="auto"/>
                <w:highlight w:val="none"/>
                <w:lang w:val="it-IT" w:eastAsia="zh-CN"/>
              </w:rPr>
            </w:pPr>
            <w:r>
              <w:rPr>
                <w:color w:val="auto"/>
                <w:highlight w:val="none"/>
                <w:lang w:val="it-IT" w:eastAsia="zh-CN"/>
              </w:rPr>
              <w:t xml:space="preserve">tyrosine(19, 21), </w:t>
            </w:r>
          </w:p>
          <w:p>
            <w:pPr>
              <w:spacing w:before="0" w:after="0"/>
              <w:ind w:left="175" w:leftChars="73"/>
              <w:rPr>
                <w:color w:val="auto"/>
                <w:highlight w:val="none"/>
                <w:lang w:val="it-IT"/>
              </w:rPr>
            </w:pPr>
            <w:r>
              <w:rPr>
                <w:color w:val="auto"/>
                <w:highlight w:val="none"/>
                <w:lang w:val="it-IT" w:eastAsia="zh-CN"/>
              </w:rPr>
              <w:t>valine(22).</w:t>
            </w:r>
          </w:p>
        </w:tc>
      </w:tr>
    </w:tbl>
    <w:p>
      <w:pPr>
        <w:spacing w:before="0"/>
        <w:rPr>
          <w:color w:val="auto"/>
          <w:highlight w:val="none"/>
          <w:lang w:eastAsia="zh-CN"/>
        </w:rPr>
      </w:pPr>
      <w:r>
        <w:rPr>
          <w:rFonts w:hint="eastAsia"/>
          <w:color w:val="auto"/>
          <w:highlight w:val="none"/>
          <w:lang w:eastAsia="zh-CN"/>
        </w:rPr>
        <w:t>*</w:t>
      </w:r>
      <w:r>
        <w:rPr>
          <w:color w:val="auto"/>
          <w:highlight w:val="none"/>
          <w:lang w:eastAsia="zh-CN"/>
        </w:rPr>
        <w:t xml:space="preserve"> Referential publications were listed at the end of Supplementary materials.</w:t>
      </w:r>
    </w:p>
    <w:p>
      <w:pPr>
        <w:spacing w:before="0" w:after="200" w:line="276" w:lineRule="auto"/>
        <w:rPr>
          <w:color w:val="auto"/>
          <w:highlight w:val="none"/>
          <w:lang w:eastAsia="zh-CN"/>
        </w:rPr>
      </w:pPr>
      <w:r>
        <w:rPr>
          <w:color w:val="auto"/>
          <w:highlight w:val="none"/>
          <w:lang w:eastAsia="zh-CN"/>
        </w:rPr>
        <w:br w:type="page"/>
      </w:r>
    </w:p>
    <w:p>
      <w:pPr>
        <w:spacing w:before="240"/>
        <w:rPr>
          <w:rFonts w:cs="Times New Roman"/>
          <w:b/>
          <w:color w:val="auto"/>
          <w:szCs w:val="24"/>
          <w:highlight w:val="none"/>
        </w:rPr>
      </w:pPr>
      <w:r>
        <w:rPr>
          <w:rFonts w:cs="Times New Roman"/>
          <w:b/>
          <w:color w:val="auto"/>
          <w:szCs w:val="24"/>
          <w:highlight w:val="none"/>
        </w:rPr>
        <w:t>Supplementary references</w:t>
      </w:r>
    </w:p>
    <w:p>
      <w:pPr>
        <w:ind w:left="480" w:hanging="480" w:hangingChars="200"/>
        <w:rPr>
          <w:color w:val="auto"/>
          <w:highlight w:val="none"/>
        </w:rPr>
      </w:pPr>
      <w:r>
        <w:rPr>
          <w:color w:val="auto"/>
          <w:highlight w:val="none"/>
        </w:rPr>
        <w:t>1.</w:t>
      </w:r>
      <w:r>
        <w:rPr>
          <w:color w:val="auto"/>
          <w:highlight w:val="none"/>
        </w:rPr>
        <w:tab/>
      </w:r>
      <w:r>
        <w:rPr>
          <w:color w:val="auto"/>
          <w:highlight w:val="none"/>
        </w:rPr>
        <w:t>Cararo Lopes E, Sawant A, Moore D, Ke H, Shi F, Laddha S, et al. Integrated metabolic and genetic analysis reveals distinct features of human differentiated thyroid cancer. Clin Transl Med. 2023;13(6):e1298.</w:t>
      </w:r>
    </w:p>
    <w:p>
      <w:pPr>
        <w:ind w:left="480" w:hanging="480" w:hangingChars="200"/>
        <w:rPr>
          <w:color w:val="auto"/>
          <w:highlight w:val="none"/>
        </w:rPr>
      </w:pPr>
      <w:r>
        <w:rPr>
          <w:color w:val="auto"/>
          <w:highlight w:val="none"/>
        </w:rPr>
        <w:t>2.</w:t>
      </w:r>
      <w:r>
        <w:rPr>
          <w:color w:val="auto"/>
          <w:highlight w:val="none"/>
        </w:rPr>
        <w:tab/>
      </w:r>
      <w:r>
        <w:rPr>
          <w:color w:val="auto"/>
          <w:highlight w:val="none"/>
        </w:rPr>
        <w:t>Metere A, Graves CE, Chirico M, Caramujo MJ, Pisanu ME, Iorio E. Metabolomic Reprogramming Detected by 1H-NMR Spectroscopy in Human Thyroid Cancer Tissues. Biology (Basel). 2020;9(6):112.</w:t>
      </w:r>
    </w:p>
    <w:p>
      <w:pPr>
        <w:ind w:left="480" w:hanging="480" w:hangingChars="200"/>
        <w:rPr>
          <w:color w:val="auto"/>
          <w:highlight w:val="none"/>
        </w:rPr>
      </w:pPr>
      <w:r>
        <w:rPr>
          <w:color w:val="auto"/>
          <w:highlight w:val="none"/>
        </w:rPr>
        <w:t>3.</w:t>
      </w:r>
      <w:r>
        <w:rPr>
          <w:color w:val="auto"/>
          <w:highlight w:val="none"/>
        </w:rPr>
        <w:tab/>
      </w:r>
      <w:r>
        <w:rPr>
          <w:color w:val="auto"/>
          <w:highlight w:val="none"/>
        </w:rPr>
        <w:t>Zhou Q, Zhang LY, Xie C, Zhang ML, Wang YJ, Liu GH. Metabolomics as a potential method for predicting thyroid malignancy in children and adolescents. Pediatr Surg Int. 2020;36(2):145-153.</w:t>
      </w:r>
    </w:p>
    <w:p>
      <w:pPr>
        <w:ind w:left="480" w:hanging="480" w:hangingChars="200"/>
        <w:rPr>
          <w:color w:val="auto"/>
          <w:highlight w:val="none"/>
        </w:rPr>
      </w:pPr>
      <w:r>
        <w:rPr>
          <w:color w:val="auto"/>
          <w:highlight w:val="none"/>
        </w:rPr>
        <w:t>4.</w:t>
      </w:r>
      <w:r>
        <w:rPr>
          <w:color w:val="auto"/>
          <w:highlight w:val="none"/>
        </w:rPr>
        <w:tab/>
      </w:r>
      <w:r>
        <w:rPr>
          <w:color w:val="auto"/>
          <w:highlight w:val="none"/>
        </w:rPr>
        <w:t>Shen CT, Zhang Y, Liu YM, Yin S, Zhang XY, Wei WJ, et al. A distinct serum metabolic signature of distant metastatic papillary thyroid carcinoma. Clin Endocrinol (Oxf). 2017;87(6):844-852.</w:t>
      </w:r>
    </w:p>
    <w:p>
      <w:pPr>
        <w:ind w:left="480" w:hanging="480" w:hangingChars="200"/>
        <w:rPr>
          <w:color w:val="auto"/>
          <w:highlight w:val="none"/>
          <w:lang w:val="it-IT"/>
        </w:rPr>
      </w:pPr>
      <w:r>
        <w:rPr>
          <w:color w:val="auto"/>
          <w:highlight w:val="none"/>
        </w:rPr>
        <w:t>5.</w:t>
      </w:r>
      <w:r>
        <w:rPr>
          <w:color w:val="auto"/>
          <w:highlight w:val="none"/>
        </w:rPr>
        <w:tab/>
      </w:r>
      <w:r>
        <w:rPr>
          <w:color w:val="auto"/>
          <w:highlight w:val="none"/>
        </w:rPr>
        <w:t xml:space="preserve">Wojtowicz W, Zabek A, Deja S, Dawiskiba T, Pawelka D, Glod M, et al. Serum and urine 1H NMR-based metabolomics in the diagnosis of selected thyroid diseases. </w:t>
      </w:r>
      <w:r>
        <w:rPr>
          <w:color w:val="auto"/>
          <w:highlight w:val="none"/>
          <w:lang w:val="it-IT"/>
        </w:rPr>
        <w:t>Sci Rep. 2017;7(1):9108.</w:t>
      </w:r>
    </w:p>
    <w:p>
      <w:pPr>
        <w:ind w:left="480" w:hanging="480" w:hangingChars="200"/>
        <w:rPr>
          <w:color w:val="auto"/>
          <w:highlight w:val="none"/>
        </w:rPr>
      </w:pPr>
      <w:r>
        <w:rPr>
          <w:color w:val="auto"/>
          <w:highlight w:val="none"/>
          <w:lang w:val="it-IT"/>
        </w:rPr>
        <w:t>6.</w:t>
      </w:r>
      <w:r>
        <w:rPr>
          <w:color w:val="auto"/>
          <w:highlight w:val="none"/>
          <w:lang w:val="it-IT"/>
        </w:rPr>
        <w:tab/>
      </w:r>
      <w:r>
        <w:rPr>
          <w:color w:val="auto"/>
          <w:highlight w:val="none"/>
          <w:lang w:val="it-IT"/>
        </w:rPr>
        <w:t xml:space="preserve">Rezig L, Servadio A, Torregrossa L, Miccoli P, Basolo F, Shintu L, et al. </w:t>
      </w:r>
      <w:r>
        <w:rPr>
          <w:color w:val="auto"/>
          <w:highlight w:val="none"/>
        </w:rPr>
        <w:t>Diagnosis of post-surgical fine-needle aspiration biopsies of thyroid lesions with indeterminate cytology using HRMAS NMR-based metabolomics. Metabolomics. 2018;14(10):141.</w:t>
      </w:r>
    </w:p>
    <w:p>
      <w:pPr>
        <w:ind w:left="480" w:hanging="480" w:hangingChars="200"/>
        <w:rPr>
          <w:color w:val="auto"/>
          <w:highlight w:val="none"/>
        </w:rPr>
      </w:pPr>
      <w:r>
        <w:rPr>
          <w:color w:val="auto"/>
          <w:highlight w:val="none"/>
        </w:rPr>
        <w:t>7.</w:t>
      </w:r>
      <w:r>
        <w:rPr>
          <w:color w:val="auto"/>
          <w:highlight w:val="none"/>
        </w:rPr>
        <w:tab/>
      </w:r>
      <w:r>
        <w:rPr>
          <w:color w:val="auto"/>
          <w:highlight w:val="none"/>
        </w:rPr>
        <w:t>Seo JW, Han K, Lee J, Kim EK, Moon HJ, Yoon JH, et al. Application of metabolomics in prediction of lymph node metastasis in papillary thyroid carcinoma. PLoS One. 2018;13(3):e0193883.</w:t>
      </w:r>
    </w:p>
    <w:p>
      <w:pPr>
        <w:ind w:left="480" w:hanging="480" w:hangingChars="200"/>
        <w:rPr>
          <w:color w:val="auto"/>
          <w:highlight w:val="none"/>
        </w:rPr>
      </w:pPr>
      <w:r>
        <w:rPr>
          <w:color w:val="auto"/>
          <w:highlight w:val="none"/>
        </w:rPr>
        <w:t>8.</w:t>
      </w:r>
      <w:r>
        <w:rPr>
          <w:color w:val="auto"/>
          <w:highlight w:val="none"/>
        </w:rPr>
        <w:tab/>
      </w:r>
      <w:r>
        <w:rPr>
          <w:color w:val="auto"/>
          <w:highlight w:val="none"/>
        </w:rPr>
        <w:t>Wu S, Tan G, Dong X, Zhu Z, Li W, Lou Z, et al. Metabolic profiling provides a system understanding of hypothyroidism in rats and its application. PLoS One. 2013;8(2):e55599.</w:t>
      </w:r>
    </w:p>
    <w:p>
      <w:pPr>
        <w:ind w:left="480" w:hanging="480" w:hangingChars="200"/>
        <w:rPr>
          <w:color w:val="auto"/>
          <w:highlight w:val="none"/>
        </w:rPr>
      </w:pPr>
      <w:r>
        <w:rPr>
          <w:color w:val="auto"/>
          <w:highlight w:val="none"/>
        </w:rPr>
        <w:t>9.</w:t>
      </w:r>
      <w:r>
        <w:rPr>
          <w:color w:val="auto"/>
          <w:highlight w:val="none"/>
        </w:rPr>
        <w:tab/>
      </w:r>
      <w:r>
        <w:rPr>
          <w:color w:val="auto"/>
          <w:highlight w:val="none"/>
        </w:rPr>
        <w:t>Jiang N, Zhang Z, Chen X, Zhang G, Wang Y, Pan L, et al. Plasma Lipidomics Profiling Reveals Biomarkers for Papillary Thyroid Cancer Diagnosis. Front Cell Dev Biol. 2021;9:682269.</w:t>
      </w:r>
    </w:p>
    <w:p>
      <w:pPr>
        <w:ind w:left="480" w:hanging="480" w:hangingChars="200"/>
        <w:rPr>
          <w:color w:val="auto"/>
          <w:highlight w:val="none"/>
        </w:rPr>
      </w:pPr>
      <w:r>
        <w:rPr>
          <w:color w:val="auto"/>
          <w:highlight w:val="none"/>
        </w:rPr>
        <w:t>10.</w:t>
      </w:r>
      <w:r>
        <w:rPr>
          <w:color w:val="auto"/>
          <w:highlight w:val="none"/>
        </w:rPr>
        <w:tab/>
      </w:r>
      <w:r>
        <w:rPr>
          <w:color w:val="auto"/>
          <w:highlight w:val="none"/>
        </w:rPr>
        <w:t>Abooshahab R, Hooshmand K, Razavi SA, Gholami M, Sanoie M, Hedayati M. Plasma Metabolic Profiling of Human Thyroid Nodules by Gas Chromatography-Mass Spectrometry (GC-MS)-Based Untargeted Metabolomics. Front Cell Dev Biol. 2020;8:385.</w:t>
      </w:r>
    </w:p>
    <w:p>
      <w:pPr>
        <w:ind w:left="480" w:hanging="480" w:hangingChars="200"/>
        <w:rPr>
          <w:color w:val="auto"/>
          <w:highlight w:val="none"/>
        </w:rPr>
      </w:pPr>
      <w:r>
        <w:rPr>
          <w:color w:val="auto"/>
          <w:highlight w:val="none"/>
        </w:rPr>
        <w:t>11.</w:t>
      </w:r>
      <w:r>
        <w:rPr>
          <w:color w:val="auto"/>
          <w:highlight w:val="none"/>
        </w:rPr>
        <w:tab/>
      </w:r>
      <w:r>
        <w:rPr>
          <w:color w:val="auto"/>
          <w:highlight w:val="none"/>
        </w:rPr>
        <w:t>Farrokhi Yekta R, Rezaei Tavirani M, Arefi Oskouie A, Mohajeri-Tehrani MR, Soroush AR, Akbarzadeh Baghban A. Serum-based metabolic alterations in patients with papillary thyroid carcinoma unveiled by non-targeted 1H-NMR metabolomics approach. Iran J Basic Med Sci. 2018;21(11):1140-1147.</w:t>
      </w:r>
    </w:p>
    <w:p>
      <w:pPr>
        <w:ind w:left="480" w:hanging="480" w:hangingChars="200"/>
        <w:rPr>
          <w:color w:val="auto"/>
          <w:highlight w:val="none"/>
        </w:rPr>
      </w:pPr>
      <w:r>
        <w:rPr>
          <w:color w:val="auto"/>
          <w:highlight w:val="none"/>
        </w:rPr>
        <w:t>12.</w:t>
      </w:r>
      <w:r>
        <w:rPr>
          <w:color w:val="auto"/>
          <w:highlight w:val="none"/>
        </w:rPr>
        <w:tab/>
      </w:r>
      <w:r>
        <w:rPr>
          <w:color w:val="auto"/>
          <w:highlight w:val="none"/>
        </w:rPr>
        <w:t>Huang FQ, Li J, Jiang L, Wang FX, Alolga RN, Wang MJ, et al. Serum-plasma matched metabolomics for comprehensive characterization of benign thyroid nodule and papillary thyroid carcinoma. Int J Cancer. 2019;144(4):868-876.</w:t>
      </w:r>
    </w:p>
    <w:p>
      <w:pPr>
        <w:ind w:left="480" w:hanging="480" w:hangingChars="200"/>
        <w:rPr>
          <w:color w:val="auto"/>
          <w:highlight w:val="none"/>
        </w:rPr>
      </w:pPr>
      <w:r>
        <w:rPr>
          <w:color w:val="auto"/>
          <w:highlight w:val="none"/>
        </w:rPr>
        <w:t>13.</w:t>
      </w:r>
      <w:r>
        <w:rPr>
          <w:color w:val="auto"/>
          <w:highlight w:val="none"/>
        </w:rPr>
        <w:tab/>
      </w:r>
      <w:r>
        <w:rPr>
          <w:color w:val="auto"/>
          <w:highlight w:val="none"/>
        </w:rPr>
        <w:t>Shang X, Zhong X, Tian X. Metabolomics of papillary thyroid carcinoma tissues: potential biomarkers for diagnosis and promising targets for therapy. Tumour Biol. 2016;37(8):11163-75.</w:t>
      </w:r>
    </w:p>
    <w:p>
      <w:pPr>
        <w:ind w:left="480" w:hanging="480" w:hangingChars="200"/>
        <w:rPr>
          <w:color w:val="auto"/>
          <w:highlight w:val="none"/>
        </w:rPr>
      </w:pPr>
      <w:r>
        <w:rPr>
          <w:color w:val="auto"/>
          <w:highlight w:val="none"/>
        </w:rPr>
        <w:t>14.</w:t>
      </w:r>
      <w:r>
        <w:rPr>
          <w:color w:val="auto"/>
          <w:highlight w:val="none"/>
        </w:rPr>
        <w:tab/>
      </w:r>
      <w:r>
        <w:rPr>
          <w:color w:val="auto"/>
          <w:highlight w:val="none"/>
        </w:rPr>
        <w:t>Farrokhi Yekta R, Rezaie Tavirani M, Arefi Oskouie A, Mohajeri-Tehrani MR, Soroush AR. The metabolomics and lipidomics window into thyroid cancer research. Biomarkers. 2017;22(7):595-603.</w:t>
      </w:r>
    </w:p>
    <w:p>
      <w:pPr>
        <w:ind w:left="480" w:hanging="480" w:hangingChars="200"/>
        <w:rPr>
          <w:color w:val="auto"/>
          <w:highlight w:val="none"/>
        </w:rPr>
      </w:pPr>
      <w:r>
        <w:rPr>
          <w:color w:val="auto"/>
          <w:highlight w:val="none"/>
        </w:rPr>
        <w:t>15.</w:t>
      </w:r>
      <w:r>
        <w:rPr>
          <w:color w:val="auto"/>
          <w:highlight w:val="none"/>
        </w:rPr>
        <w:tab/>
      </w:r>
      <w:r>
        <w:rPr>
          <w:color w:val="auto"/>
          <w:highlight w:val="none"/>
        </w:rPr>
        <w:t>Tian Y, Nie X, Xu S, Li Y, Huang T, Tang H, et al. Integrative metabonomics as potential method for diagnosis of thyroid malignancy. Sci Rep. 2015;5:14869.</w:t>
      </w:r>
    </w:p>
    <w:p>
      <w:pPr>
        <w:ind w:left="480" w:hanging="480" w:hangingChars="200"/>
        <w:rPr>
          <w:color w:val="auto"/>
          <w:highlight w:val="none"/>
          <w:lang w:val="it-IT"/>
        </w:rPr>
      </w:pPr>
      <w:r>
        <w:rPr>
          <w:color w:val="auto"/>
          <w:highlight w:val="none"/>
        </w:rPr>
        <w:t>16.</w:t>
      </w:r>
      <w:r>
        <w:rPr>
          <w:color w:val="auto"/>
          <w:highlight w:val="none"/>
        </w:rPr>
        <w:tab/>
      </w:r>
      <w:r>
        <w:rPr>
          <w:color w:val="auto"/>
          <w:highlight w:val="none"/>
        </w:rPr>
        <w:t xml:space="preserve">Chen M, Shen M, Li Y, Liu C, Zhou K, Hu W, et al. GC-MS-based metabolomic analysis of human papillary thyroid carcinoma tissue. </w:t>
      </w:r>
      <w:r>
        <w:rPr>
          <w:color w:val="auto"/>
          <w:highlight w:val="none"/>
          <w:lang w:val="it-IT"/>
        </w:rPr>
        <w:t>Int J Mol Med. 2015;36(6):1607-14.</w:t>
      </w:r>
    </w:p>
    <w:p>
      <w:pPr>
        <w:ind w:left="480" w:hanging="480" w:hangingChars="200"/>
        <w:rPr>
          <w:color w:val="auto"/>
          <w:highlight w:val="none"/>
        </w:rPr>
      </w:pPr>
      <w:r>
        <w:rPr>
          <w:color w:val="auto"/>
          <w:highlight w:val="none"/>
          <w:lang w:val="it-IT"/>
        </w:rPr>
        <w:t>17.</w:t>
      </w:r>
      <w:r>
        <w:rPr>
          <w:color w:val="auto"/>
          <w:highlight w:val="none"/>
          <w:lang w:val="it-IT"/>
        </w:rPr>
        <w:tab/>
      </w:r>
      <w:r>
        <w:rPr>
          <w:color w:val="auto"/>
          <w:highlight w:val="none"/>
          <w:lang w:val="it-IT"/>
        </w:rPr>
        <w:t xml:space="preserve">Yao Z, Yin P, Su D, Peng Z, Zhou L, Ma L, et al. </w:t>
      </w:r>
      <w:r>
        <w:rPr>
          <w:color w:val="auto"/>
          <w:highlight w:val="none"/>
        </w:rPr>
        <w:t>Serum metabolic profiling and features of papillary thyroid carcinoma and nodular goiter. Mol Biosyst. 2011;7(9):2608-14.</w:t>
      </w:r>
    </w:p>
    <w:p>
      <w:pPr>
        <w:ind w:left="480" w:hanging="480" w:hangingChars="200"/>
        <w:rPr>
          <w:color w:val="auto"/>
          <w:highlight w:val="none"/>
        </w:rPr>
      </w:pPr>
      <w:r>
        <w:rPr>
          <w:color w:val="auto"/>
          <w:highlight w:val="none"/>
        </w:rPr>
        <w:t>18.</w:t>
      </w:r>
      <w:r>
        <w:rPr>
          <w:color w:val="auto"/>
          <w:highlight w:val="none"/>
        </w:rPr>
        <w:tab/>
      </w:r>
      <w:r>
        <w:rPr>
          <w:color w:val="auto"/>
          <w:highlight w:val="none"/>
        </w:rPr>
        <w:t>Lim YJ, Xiu SG, Kuruvilla MS, Winquist E, Welch S, Black M, et al. Metabolomic identification of predictive and early biomarkers of cisplatin-induced acute kidney injury in adult head and neck cancer patients. Br J Clin Pharmacol. 2023.</w:t>
      </w:r>
    </w:p>
    <w:p>
      <w:pPr>
        <w:ind w:left="480" w:hanging="480" w:hangingChars="200"/>
        <w:rPr>
          <w:color w:val="auto"/>
          <w:highlight w:val="none"/>
        </w:rPr>
      </w:pPr>
      <w:r>
        <w:rPr>
          <w:color w:val="auto"/>
          <w:highlight w:val="none"/>
        </w:rPr>
        <w:t>19.</w:t>
      </w:r>
      <w:r>
        <w:rPr>
          <w:color w:val="auto"/>
          <w:highlight w:val="none"/>
        </w:rPr>
        <w:tab/>
      </w:r>
      <w:r>
        <w:rPr>
          <w:color w:val="auto"/>
          <w:highlight w:val="none"/>
        </w:rPr>
        <w:t>Gao H, Song Y, Ma J, Zhai J, Zhang Y, Qu X. Untargeted metabolomics analysis of omeprazole-enhanced chemosensitivity to cisplatin in mice with non-small cell lung cancer. Chem Biol Interact. 2022;360:109933.</w:t>
      </w:r>
    </w:p>
    <w:p>
      <w:pPr>
        <w:ind w:left="480" w:hanging="480" w:hangingChars="200"/>
        <w:rPr>
          <w:color w:val="auto"/>
          <w:highlight w:val="none"/>
        </w:rPr>
      </w:pPr>
      <w:r>
        <w:rPr>
          <w:color w:val="auto"/>
          <w:highlight w:val="none"/>
        </w:rPr>
        <w:t>20.</w:t>
      </w:r>
      <w:r>
        <w:rPr>
          <w:color w:val="auto"/>
          <w:highlight w:val="none"/>
        </w:rPr>
        <w:tab/>
      </w:r>
      <w:r>
        <w:rPr>
          <w:color w:val="auto"/>
          <w:highlight w:val="none"/>
        </w:rPr>
        <w:t>Huang H, van Dullemen LFA, Akhtar MZ, Faro ML, Yu Z, Valli A, et al. Proteo-metabolomics reveals compensation between ischemic and non-injured contralateral kidneys after reperfusion. Sci Rep. 2018;8(1):8539.</w:t>
      </w:r>
    </w:p>
    <w:p>
      <w:pPr>
        <w:ind w:left="480" w:hanging="480" w:hangingChars="200"/>
        <w:rPr>
          <w:color w:val="auto"/>
          <w:highlight w:val="none"/>
        </w:rPr>
      </w:pPr>
      <w:r>
        <w:rPr>
          <w:color w:val="auto"/>
          <w:highlight w:val="none"/>
        </w:rPr>
        <w:t>21.</w:t>
      </w:r>
      <w:r>
        <w:rPr>
          <w:color w:val="auto"/>
          <w:highlight w:val="none"/>
        </w:rPr>
        <w:tab/>
      </w:r>
      <w:r>
        <w:rPr>
          <w:color w:val="auto"/>
          <w:highlight w:val="none"/>
        </w:rPr>
        <w:t>Cheng Y, Chen Y, Zhao M, Wang M, Liu M, Zhao L. Metabolomic profiling reveals the mechanisms underlying the nephrotoxicity of methotrexate in children with acute lymphoblastic leukemia. Pediatr Blood Cancer. 2023;14:e30578.</w:t>
      </w:r>
    </w:p>
    <w:p>
      <w:pPr>
        <w:ind w:left="480" w:hanging="480" w:hangingChars="200"/>
        <w:rPr>
          <w:color w:val="auto"/>
          <w:highlight w:val="none"/>
        </w:rPr>
      </w:pPr>
      <w:r>
        <w:rPr>
          <w:color w:val="auto"/>
          <w:highlight w:val="none"/>
        </w:rPr>
        <w:t>22.</w:t>
      </w:r>
      <w:r>
        <w:rPr>
          <w:color w:val="auto"/>
          <w:highlight w:val="none"/>
        </w:rPr>
        <w:tab/>
      </w:r>
      <w:r>
        <w:rPr>
          <w:color w:val="auto"/>
          <w:highlight w:val="none"/>
        </w:rPr>
        <w:t>Verstraeten L, Den Abt R, Ghesquière B, Jochmans I. Current Insights into the Metabolome during Hypothermic Kidney Perfusion-A Scoping Review. J Clin Med. 2023;12(11):3613.</w:t>
      </w:r>
    </w:p>
    <w:p>
      <w:pPr>
        <w:ind w:left="480" w:hanging="480" w:hangingChars="200"/>
        <w:rPr>
          <w:color w:val="auto"/>
          <w:highlight w:val="none"/>
        </w:rPr>
      </w:pPr>
    </w:p>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5YjI2YWRjY2NmOTM2ODQwY2E5NWM0YTdiMmU3OGYifQ=="/>
  </w:docVars>
  <w:rsids>
    <w:rsidRoot w:val="00803D24"/>
    <w:rsid w:val="0001436A"/>
    <w:rsid w:val="00016D50"/>
    <w:rsid w:val="00034304"/>
    <w:rsid w:val="00035434"/>
    <w:rsid w:val="00052A14"/>
    <w:rsid w:val="00052EAD"/>
    <w:rsid w:val="000530AF"/>
    <w:rsid w:val="00057284"/>
    <w:rsid w:val="0007335A"/>
    <w:rsid w:val="00077D53"/>
    <w:rsid w:val="000A01D8"/>
    <w:rsid w:val="00105FD9"/>
    <w:rsid w:val="00117666"/>
    <w:rsid w:val="0015360B"/>
    <w:rsid w:val="001549D3"/>
    <w:rsid w:val="00160065"/>
    <w:rsid w:val="001629A8"/>
    <w:rsid w:val="00177D84"/>
    <w:rsid w:val="00186678"/>
    <w:rsid w:val="00191B0C"/>
    <w:rsid w:val="0019206D"/>
    <w:rsid w:val="00196A31"/>
    <w:rsid w:val="001B738D"/>
    <w:rsid w:val="001C5DFB"/>
    <w:rsid w:val="001D796B"/>
    <w:rsid w:val="00216290"/>
    <w:rsid w:val="00222781"/>
    <w:rsid w:val="002402B2"/>
    <w:rsid w:val="002463EE"/>
    <w:rsid w:val="002468EE"/>
    <w:rsid w:val="00267D18"/>
    <w:rsid w:val="002868E2"/>
    <w:rsid w:val="002869C3"/>
    <w:rsid w:val="002936E4"/>
    <w:rsid w:val="002A2ACA"/>
    <w:rsid w:val="002B4A57"/>
    <w:rsid w:val="002C74CA"/>
    <w:rsid w:val="002F57BB"/>
    <w:rsid w:val="00326997"/>
    <w:rsid w:val="003544FB"/>
    <w:rsid w:val="0038338B"/>
    <w:rsid w:val="003A1454"/>
    <w:rsid w:val="003B7769"/>
    <w:rsid w:val="003D2F2D"/>
    <w:rsid w:val="003E22D9"/>
    <w:rsid w:val="003E232F"/>
    <w:rsid w:val="00401590"/>
    <w:rsid w:val="00427667"/>
    <w:rsid w:val="00447801"/>
    <w:rsid w:val="00452E9C"/>
    <w:rsid w:val="00462205"/>
    <w:rsid w:val="004735C8"/>
    <w:rsid w:val="004961FF"/>
    <w:rsid w:val="004D371F"/>
    <w:rsid w:val="004D4FC4"/>
    <w:rsid w:val="004D591E"/>
    <w:rsid w:val="004E3727"/>
    <w:rsid w:val="00517A89"/>
    <w:rsid w:val="00517BB4"/>
    <w:rsid w:val="005250F2"/>
    <w:rsid w:val="00573339"/>
    <w:rsid w:val="00593EEA"/>
    <w:rsid w:val="005A5EEE"/>
    <w:rsid w:val="005B3CDC"/>
    <w:rsid w:val="005C2D5F"/>
    <w:rsid w:val="005C3894"/>
    <w:rsid w:val="005F2E87"/>
    <w:rsid w:val="006142DF"/>
    <w:rsid w:val="00622483"/>
    <w:rsid w:val="00632E81"/>
    <w:rsid w:val="006375C7"/>
    <w:rsid w:val="00644681"/>
    <w:rsid w:val="00654E8F"/>
    <w:rsid w:val="00660D05"/>
    <w:rsid w:val="006622CC"/>
    <w:rsid w:val="00677973"/>
    <w:rsid w:val="006820B1"/>
    <w:rsid w:val="006B7D14"/>
    <w:rsid w:val="006E724E"/>
    <w:rsid w:val="006F1DC2"/>
    <w:rsid w:val="00701727"/>
    <w:rsid w:val="0070566C"/>
    <w:rsid w:val="00714C50"/>
    <w:rsid w:val="00725A7D"/>
    <w:rsid w:val="007501BE"/>
    <w:rsid w:val="00782568"/>
    <w:rsid w:val="00790BB3"/>
    <w:rsid w:val="007A1E74"/>
    <w:rsid w:val="007A5D93"/>
    <w:rsid w:val="007C206C"/>
    <w:rsid w:val="007D235C"/>
    <w:rsid w:val="00803D24"/>
    <w:rsid w:val="00817DD6"/>
    <w:rsid w:val="00885156"/>
    <w:rsid w:val="00885E9E"/>
    <w:rsid w:val="008C3346"/>
    <w:rsid w:val="008E6CA4"/>
    <w:rsid w:val="008F46BC"/>
    <w:rsid w:val="009151AA"/>
    <w:rsid w:val="00931AE6"/>
    <w:rsid w:val="0093241F"/>
    <w:rsid w:val="0093429D"/>
    <w:rsid w:val="00935936"/>
    <w:rsid w:val="00943573"/>
    <w:rsid w:val="009449C8"/>
    <w:rsid w:val="00950E97"/>
    <w:rsid w:val="00970F7D"/>
    <w:rsid w:val="009901BA"/>
    <w:rsid w:val="00994A3D"/>
    <w:rsid w:val="009C2B12"/>
    <w:rsid w:val="009C6FD4"/>
    <w:rsid w:val="009C70F3"/>
    <w:rsid w:val="009F214F"/>
    <w:rsid w:val="009F6641"/>
    <w:rsid w:val="00A174D9"/>
    <w:rsid w:val="00A42391"/>
    <w:rsid w:val="00A474D5"/>
    <w:rsid w:val="00A569CD"/>
    <w:rsid w:val="00A960A4"/>
    <w:rsid w:val="00AA108E"/>
    <w:rsid w:val="00AA1F21"/>
    <w:rsid w:val="00AB6715"/>
    <w:rsid w:val="00AC5EF4"/>
    <w:rsid w:val="00AD2322"/>
    <w:rsid w:val="00AD7DC9"/>
    <w:rsid w:val="00AE23AF"/>
    <w:rsid w:val="00AF0CEE"/>
    <w:rsid w:val="00B04A5D"/>
    <w:rsid w:val="00B1671E"/>
    <w:rsid w:val="00B25EB8"/>
    <w:rsid w:val="00B27C37"/>
    <w:rsid w:val="00B354E1"/>
    <w:rsid w:val="00B37F4D"/>
    <w:rsid w:val="00B85B94"/>
    <w:rsid w:val="00B95B37"/>
    <w:rsid w:val="00C13D0A"/>
    <w:rsid w:val="00C272B5"/>
    <w:rsid w:val="00C52A7B"/>
    <w:rsid w:val="00C56BAF"/>
    <w:rsid w:val="00C679AA"/>
    <w:rsid w:val="00C75972"/>
    <w:rsid w:val="00CA0EBC"/>
    <w:rsid w:val="00CB2BE2"/>
    <w:rsid w:val="00CC0A3A"/>
    <w:rsid w:val="00CD066B"/>
    <w:rsid w:val="00CD464A"/>
    <w:rsid w:val="00CD592D"/>
    <w:rsid w:val="00CD7CBE"/>
    <w:rsid w:val="00CE4FEE"/>
    <w:rsid w:val="00D35D55"/>
    <w:rsid w:val="00D466F8"/>
    <w:rsid w:val="00D73674"/>
    <w:rsid w:val="00D950A3"/>
    <w:rsid w:val="00DB01F7"/>
    <w:rsid w:val="00DB59C3"/>
    <w:rsid w:val="00DC259A"/>
    <w:rsid w:val="00DE23E8"/>
    <w:rsid w:val="00DF2D84"/>
    <w:rsid w:val="00E11483"/>
    <w:rsid w:val="00E32C67"/>
    <w:rsid w:val="00E33004"/>
    <w:rsid w:val="00E52377"/>
    <w:rsid w:val="00E64E17"/>
    <w:rsid w:val="00E866C9"/>
    <w:rsid w:val="00EA3D3C"/>
    <w:rsid w:val="00EE1D22"/>
    <w:rsid w:val="00F377F1"/>
    <w:rsid w:val="00F45C86"/>
    <w:rsid w:val="00F46900"/>
    <w:rsid w:val="00F61D89"/>
    <w:rsid w:val="013A19E8"/>
    <w:rsid w:val="135B2C24"/>
    <w:rsid w:val="152A7D06"/>
    <w:rsid w:val="27833C9F"/>
    <w:rsid w:val="4E103FF0"/>
    <w:rsid w:val="59C4651B"/>
    <w:rsid w:val="6B2111D2"/>
    <w:rsid w:val="73884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0">
    <w:name w:val="annotation text"/>
    <w:basedOn w:val="1"/>
    <w:link w:val="37"/>
    <w:semiHidden/>
    <w:unhideWhenUsed/>
    <w:uiPriority w:val="99"/>
    <w:rPr>
      <w:sz w:val="20"/>
      <w:szCs w:val="20"/>
    </w:rPr>
  </w:style>
  <w:style w:type="paragraph" w:styleId="11">
    <w:name w:val="endnote text"/>
    <w:basedOn w:val="1"/>
    <w:link w:val="39"/>
    <w:semiHidden/>
    <w:unhideWhenUsed/>
    <w:uiPriority w:val="99"/>
    <w:pPr>
      <w:spacing w:after="0"/>
    </w:pPr>
    <w:rPr>
      <w:sz w:val="20"/>
      <w:szCs w:val="20"/>
    </w:rPr>
  </w:style>
  <w:style w:type="paragraph" w:styleId="12">
    <w:name w:val="Balloon Text"/>
    <w:basedOn w:val="1"/>
    <w:link w:val="35"/>
    <w:semiHidden/>
    <w:unhideWhenUsed/>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uiPriority w:val="99"/>
    <w:rPr>
      <w:b/>
      <w:bCs/>
    </w:rPr>
  </w:style>
  <w:style w:type="table" w:styleId="21">
    <w:name w:val="Table Grid"/>
    <w:basedOn w:val="20"/>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uiPriority w:val="99"/>
    <w:rPr>
      <w:vertAlign w:val="superscript"/>
    </w:rPr>
  </w:style>
  <w:style w:type="character" w:customStyle="1" w:styleId="31">
    <w:name w:val="标题 1 字符"/>
    <w:basedOn w:val="22"/>
    <w:link w:val="2"/>
    <w:uiPriority w:val="2"/>
    <w:rPr>
      <w:rFonts w:ascii="Times New Roman" w:hAnsi="Times New Roman" w:eastAsia="Cambria" w:cs="Times New Roman"/>
      <w:b/>
      <w:sz w:val="24"/>
      <w:szCs w:val="24"/>
    </w:rPr>
  </w:style>
  <w:style w:type="character" w:customStyle="1" w:styleId="32">
    <w:name w:val="标题 2 字符"/>
    <w:basedOn w:val="22"/>
    <w:link w:val="4"/>
    <w:qFormat/>
    <w:uiPriority w:val="2"/>
    <w:rPr>
      <w:rFonts w:ascii="Times New Roman" w:hAnsi="Times New Roman" w:eastAsia="Cambria" w:cs="Times New Roman"/>
      <w:b/>
      <w:sz w:val="24"/>
      <w:szCs w:val="24"/>
    </w:rPr>
  </w:style>
  <w:style w:type="character" w:customStyle="1" w:styleId="33">
    <w:name w:val="副标题 字符"/>
    <w:basedOn w:val="22"/>
    <w:link w:val="15"/>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批注框文本 字符"/>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批注文字 字符"/>
    <w:basedOn w:val="22"/>
    <w:link w:val="10"/>
    <w:semiHidden/>
    <w:qFormat/>
    <w:uiPriority w:val="99"/>
    <w:rPr>
      <w:rFonts w:ascii="Times New Roman" w:hAnsi="Times New Roman"/>
      <w:sz w:val="20"/>
      <w:szCs w:val="20"/>
    </w:rPr>
  </w:style>
  <w:style w:type="character" w:customStyle="1" w:styleId="38">
    <w:name w:val="批注主题 字符"/>
    <w:basedOn w:val="37"/>
    <w:link w:val="19"/>
    <w:semiHidden/>
    <w:qFormat/>
    <w:uiPriority w:val="99"/>
    <w:rPr>
      <w:rFonts w:ascii="Times New Roman" w:hAnsi="Times New Roman"/>
      <w:b/>
      <w:bCs/>
      <w:sz w:val="20"/>
      <w:szCs w:val="20"/>
    </w:rPr>
  </w:style>
  <w:style w:type="character" w:customStyle="1" w:styleId="39">
    <w:name w:val="尾注文本 字符"/>
    <w:basedOn w:val="22"/>
    <w:link w:val="11"/>
    <w:semiHidden/>
    <w:qFormat/>
    <w:uiPriority w:val="99"/>
    <w:rPr>
      <w:rFonts w:ascii="Times New Roman" w:hAnsi="Times New Roman"/>
      <w:sz w:val="20"/>
      <w:szCs w:val="20"/>
    </w:rPr>
  </w:style>
  <w:style w:type="character" w:customStyle="1" w:styleId="40">
    <w:name w:val="页脚 字符"/>
    <w:basedOn w:val="22"/>
    <w:link w:val="13"/>
    <w:qFormat/>
    <w:uiPriority w:val="99"/>
    <w:rPr>
      <w:rFonts w:ascii="Times New Roman" w:hAnsi="Times New Roman"/>
      <w:sz w:val="24"/>
    </w:rPr>
  </w:style>
  <w:style w:type="character" w:customStyle="1" w:styleId="41">
    <w:name w:val="脚注文本 字符"/>
    <w:basedOn w:val="22"/>
    <w:link w:val="16"/>
    <w:semiHidden/>
    <w:qFormat/>
    <w:uiPriority w:val="99"/>
    <w:rPr>
      <w:rFonts w:ascii="Times New Roman" w:hAnsi="Times New Roman"/>
      <w:sz w:val="20"/>
      <w:szCs w:val="20"/>
    </w:rPr>
  </w:style>
  <w:style w:type="character" w:customStyle="1" w:styleId="42">
    <w:name w:val="页眉 字符"/>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标题 3 字符"/>
    <w:basedOn w:val="22"/>
    <w:link w:val="5"/>
    <w:qFormat/>
    <w:uiPriority w:val="2"/>
    <w:rPr>
      <w:rFonts w:ascii="Times New Roman" w:hAnsi="Times New Roman" w:eastAsiaTheme="majorEastAsia" w:cstheme="majorBidi"/>
      <w:b/>
      <w:sz w:val="24"/>
      <w:szCs w:val="24"/>
    </w:rPr>
  </w:style>
  <w:style w:type="character" w:customStyle="1" w:styleId="46">
    <w:name w:val="标题 4 字符"/>
    <w:basedOn w:val="22"/>
    <w:link w:val="6"/>
    <w:uiPriority w:val="2"/>
    <w:rPr>
      <w:rFonts w:ascii="Times New Roman" w:hAnsi="Times New Roman" w:eastAsiaTheme="majorEastAsia" w:cstheme="majorBidi"/>
      <w:b/>
      <w:iCs/>
      <w:sz w:val="24"/>
      <w:szCs w:val="24"/>
    </w:rPr>
  </w:style>
  <w:style w:type="character" w:customStyle="1" w:styleId="47">
    <w:name w:val="标题 5 字符"/>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qFormat/>
    <w:uiPriority w:val="99"/>
    <w:pPr>
      <w:spacing w:after="0" w:line="240" w:lineRule="auto"/>
    </w:pPr>
    <w:rPr>
      <w:rFonts w:ascii="Times New Roman" w:hAnsi="Times New Roman" w:eastAsiaTheme="minorEastAsia"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6.xml"/><Relationship Id="rId2" Type="http://schemas.openxmlformats.org/officeDocument/2006/relationships/settings" Target="settings.xml"/><Relationship Id="rId19" Type="http://schemas.openxmlformats.org/officeDocument/2006/relationships/customXml" Target="../customXml/item5.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em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E0E22-D442-4EBE-AAA2-EDC8871E7B41}">
  <ds:schemaRefs/>
</ds:datastoreItem>
</file>

<file path=customXml/itemProps3.xml><?xml version="1.0" encoding="utf-8"?>
<ds:datastoreItem xmlns:ds="http://schemas.openxmlformats.org/officeDocument/2006/customXml" ds:itemID="{2558679B-78FB-42CD-A1EA-A99096AF5568}">
  <ds:schemaRefs/>
</ds:datastoreItem>
</file>

<file path=customXml/itemProps4.xml><?xml version="1.0" encoding="utf-8"?>
<ds:datastoreItem xmlns:ds="http://schemas.openxmlformats.org/officeDocument/2006/customXml" ds:itemID="{114314AF-3C36-4C2C-B599-40A76C6FFFC1}">
  <ds:schemaRefs/>
</ds:datastoreItem>
</file>

<file path=customXml/itemProps5.xml><?xml version="1.0" encoding="utf-8"?>
<ds:datastoreItem xmlns:ds="http://schemas.openxmlformats.org/officeDocument/2006/customXml" ds:itemID="{DFF441E3-103C-4487-877D-08CD22337C19}">
  <ds:schemaRefs/>
</ds:datastoreItem>
</file>

<file path=customXml/itemProps6.xml><?xml version="1.0" encoding="utf-8"?>
<ds:datastoreItem xmlns:ds="http://schemas.openxmlformats.org/officeDocument/2006/customXml" ds:itemID="{A3D4929F-83D0-432F-8F82-6D4423C25F5E}">
  <ds:schemaRefs/>
</ds:datastoreItem>
</file>

<file path=docProps/app.xml><?xml version="1.0" encoding="utf-8"?>
<Properties xmlns="http://schemas.openxmlformats.org/officeDocument/2006/extended-properties" xmlns:vt="http://schemas.openxmlformats.org/officeDocument/2006/docPropsVTypes">
  <Template>Supplementary_Material</Template>
  <Pages>1</Pages>
  <Words>3547</Words>
  <Characters>20220</Characters>
  <Lines>168</Lines>
  <Paragraphs>47</Paragraphs>
  <TotalTime>2</TotalTime>
  <ScaleCrop>false</ScaleCrop>
  <LinksUpToDate>false</LinksUpToDate>
  <CharactersWithSpaces>23720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2023-07-27T01:11:00Z</dcterms:created>
  <dc:creator>Frontiers</dc:creator>
  <cp:lastModifiedBy>ls</cp:lastModifiedBy>
  <cp:lastPrinted>2023-07-27T12:36:00Z</cp:lastPrinted>
  <dcterms:modified xsi:type="dcterms:W3CDTF">2023-10-07T05:59:42Z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2052-12.1.0.15374</vt:lpwstr>
  </property>
  <property fmtid="{D5CDD505-2E9C-101B-9397-08002B2CF9AE}" pid="11" name="ICV">
    <vt:lpwstr>9CB676E189E349D7ADFFF20F309ABC09_13</vt:lpwstr>
  </property>
</Properties>
</file>