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749D3A26" w:rsidR="00817DD6" w:rsidRPr="001549D3" w:rsidRDefault="009B2A61" w:rsidP="0001436A">
      <w:pPr>
        <w:pStyle w:val="Titel"/>
      </w:pPr>
      <w:r w:rsidRPr="009B2A61">
        <w:t>Plasma YKL-40 is associated with prognosis in patients with metastatic pancreatic cancer receiving immune checkpoint inhibitors in combination with radiotherapy</w:t>
      </w:r>
    </w:p>
    <w:p w14:paraId="25D2C293" w14:textId="3EB113C0" w:rsidR="002868E2" w:rsidRPr="009B2A61" w:rsidRDefault="009B2A61" w:rsidP="0001436A">
      <w:pPr>
        <w:pStyle w:val="AuthorList"/>
        <w:rPr>
          <w:lang w:val="da-DK"/>
        </w:rPr>
      </w:pPr>
      <w:r w:rsidRPr="009B2A61">
        <w:rPr>
          <w:lang w:val="da-DK"/>
        </w:rPr>
        <w:t>Astrid Z. Johansen</w:t>
      </w:r>
      <w:r w:rsidRPr="009B2A61">
        <w:rPr>
          <w:vertAlign w:val="superscript"/>
          <w:lang w:val="da-DK"/>
        </w:rPr>
        <w:t>1</w:t>
      </w:r>
      <w:r w:rsidRPr="009B2A61">
        <w:rPr>
          <w:lang w:val="da-DK"/>
        </w:rPr>
        <w:t>, Sif I. Novitski</w:t>
      </w:r>
      <w:r w:rsidRPr="009B2A61">
        <w:rPr>
          <w:vertAlign w:val="superscript"/>
          <w:lang w:val="da-DK"/>
        </w:rPr>
        <w:t>2</w:t>
      </w:r>
      <w:r w:rsidRPr="009B2A61">
        <w:rPr>
          <w:lang w:val="da-DK"/>
        </w:rPr>
        <w:t>, Jessica X. Hjaltelin</w:t>
      </w:r>
      <w:r w:rsidRPr="009B2A61">
        <w:rPr>
          <w:vertAlign w:val="superscript"/>
          <w:lang w:val="da-DK"/>
        </w:rPr>
        <w:t>2</w:t>
      </w:r>
      <w:r w:rsidRPr="009B2A61">
        <w:rPr>
          <w:lang w:val="da-DK"/>
        </w:rPr>
        <w:t>, Susann Theile</w:t>
      </w:r>
      <w:r w:rsidRPr="009B2A61">
        <w:rPr>
          <w:vertAlign w:val="superscript"/>
          <w:lang w:val="da-DK"/>
        </w:rPr>
        <w:t>3</w:t>
      </w:r>
      <w:r w:rsidRPr="009B2A61">
        <w:rPr>
          <w:lang w:val="da-DK"/>
        </w:rPr>
        <w:t>, Mogens K. Boisen</w:t>
      </w:r>
      <w:r w:rsidRPr="009B2A61">
        <w:rPr>
          <w:vertAlign w:val="superscript"/>
          <w:lang w:val="da-DK"/>
        </w:rPr>
        <w:t>3</w:t>
      </w:r>
      <w:r w:rsidRPr="009B2A61">
        <w:rPr>
          <w:lang w:val="da-DK"/>
        </w:rPr>
        <w:t>, Søren Brunak</w:t>
      </w:r>
      <w:r w:rsidRPr="009B2A61">
        <w:rPr>
          <w:vertAlign w:val="superscript"/>
          <w:lang w:val="da-DK"/>
        </w:rPr>
        <w:t>2</w:t>
      </w:r>
      <w:r w:rsidRPr="009B2A61">
        <w:rPr>
          <w:lang w:val="da-DK"/>
        </w:rPr>
        <w:t>, Daniel H. Madsen</w:t>
      </w:r>
      <w:r w:rsidRPr="009B2A61">
        <w:rPr>
          <w:vertAlign w:val="superscript"/>
          <w:lang w:val="da-DK"/>
        </w:rPr>
        <w:t>1,4</w:t>
      </w:r>
      <w:r w:rsidRPr="009B2A61">
        <w:rPr>
          <w:lang w:val="da-DK"/>
        </w:rPr>
        <w:t>, Dorte L. Nielsen</w:t>
      </w:r>
      <w:r w:rsidRPr="009B2A61">
        <w:rPr>
          <w:vertAlign w:val="superscript"/>
          <w:lang w:val="da-DK"/>
        </w:rPr>
        <w:t>3,5</w:t>
      </w:r>
      <w:r w:rsidRPr="009B2A61">
        <w:rPr>
          <w:lang w:val="da-DK"/>
        </w:rPr>
        <w:t>, Inna M. Chen</w:t>
      </w:r>
      <w:r w:rsidRPr="009B2A61">
        <w:rPr>
          <w:vertAlign w:val="superscript"/>
          <w:lang w:val="da-DK"/>
        </w:rPr>
        <w:t>3*</w:t>
      </w:r>
    </w:p>
    <w:p w14:paraId="217F3AE0" w14:textId="50ACA117" w:rsidR="002868E2" w:rsidRPr="00994A3D" w:rsidRDefault="002868E2" w:rsidP="00994A3D">
      <w:pPr>
        <w:spacing w:before="240" w:after="0"/>
        <w:rPr>
          <w:rFonts w:cs="Times New Roman"/>
        </w:rPr>
      </w:pPr>
      <w:r w:rsidRPr="00994A3D">
        <w:rPr>
          <w:rFonts w:cs="Times New Roman"/>
          <w:b/>
        </w:rPr>
        <w:t xml:space="preserve">* Correspondence: </w:t>
      </w:r>
      <w:r w:rsidR="009B2A61">
        <w:rPr>
          <w:rFonts w:cs="Times New Roman"/>
        </w:rPr>
        <w:t>Inna M. Chen</w:t>
      </w:r>
      <w:r w:rsidR="00994A3D" w:rsidRPr="00994A3D">
        <w:rPr>
          <w:rFonts w:cs="Times New Roman"/>
        </w:rPr>
        <w:t xml:space="preserve">: </w:t>
      </w:r>
      <w:r w:rsidR="009B2A61">
        <w:rPr>
          <w:rFonts w:cs="Times New Roman"/>
        </w:rPr>
        <w:t>inna.chen@regionh.dk</w:t>
      </w:r>
    </w:p>
    <w:p w14:paraId="29026311" w14:textId="568C95F8" w:rsidR="00EA3D3C" w:rsidRPr="00994A3D" w:rsidRDefault="00654E8F" w:rsidP="0001436A">
      <w:pPr>
        <w:pStyle w:val="Overskrift1"/>
      </w:pPr>
      <w:r w:rsidRPr="00994A3D">
        <w:t xml:space="preserve">Supplementary </w:t>
      </w:r>
      <w:r w:rsidR="009B2A61">
        <w:t>Methods</w:t>
      </w:r>
    </w:p>
    <w:p w14:paraId="2DB4DBAD" w14:textId="05AD9CB5" w:rsidR="009B2A61" w:rsidRPr="009B2A61" w:rsidRDefault="009B2A61" w:rsidP="009B2A61">
      <w:pPr>
        <w:jc w:val="both"/>
        <w:rPr>
          <w:rFonts w:cs="Times New Roman"/>
          <w:b/>
          <w:bCs/>
          <w:szCs w:val="24"/>
        </w:rPr>
      </w:pPr>
      <w:r>
        <w:rPr>
          <w:rFonts w:cs="Times New Roman"/>
          <w:b/>
          <w:bCs/>
          <w:szCs w:val="24"/>
        </w:rPr>
        <w:t xml:space="preserve">1.1 </w:t>
      </w:r>
      <w:r w:rsidRPr="009B2A61">
        <w:rPr>
          <w:rFonts w:cs="Times New Roman"/>
          <w:b/>
          <w:bCs/>
          <w:szCs w:val="24"/>
        </w:rPr>
        <w:t>Measurements of plasma CA19-9, CRP, IL-6, and IL-8</w:t>
      </w:r>
    </w:p>
    <w:p w14:paraId="243E67E8" w14:textId="0400CC93" w:rsidR="009B2A61" w:rsidRPr="009B2A61" w:rsidRDefault="009B2A61" w:rsidP="009B2A61">
      <w:pPr>
        <w:jc w:val="both"/>
        <w:rPr>
          <w:rFonts w:cs="Times New Roman"/>
          <w:szCs w:val="24"/>
        </w:rPr>
      </w:pPr>
      <w:r w:rsidRPr="009B2A61">
        <w:rPr>
          <w:rFonts w:cs="Times New Roman"/>
          <w:szCs w:val="24"/>
        </w:rPr>
        <w:t>Concentrations of CA19-9 and CRP were determined as part of the routine blood analyses. CA19-9 was measured with a solid-phase, two-site sequential chemiluminescent immunometric assay (</w:t>
      </w:r>
      <w:proofErr w:type="spellStart"/>
      <w:r w:rsidRPr="009B2A61">
        <w:rPr>
          <w:rFonts w:cs="Times New Roman"/>
          <w:szCs w:val="24"/>
        </w:rPr>
        <w:t>Immulite</w:t>
      </w:r>
      <w:proofErr w:type="spellEnd"/>
      <w:r w:rsidRPr="009B2A61">
        <w:rPr>
          <w:rFonts w:cs="Times New Roman"/>
          <w:szCs w:val="24"/>
        </w:rPr>
        <w:t xml:space="preserve"> 2000 GI-MA assay, catalog number L2KG12, Siemens). Imprecision was monitored with two internal controls at 16 and 83 </w:t>
      </w:r>
      <w:proofErr w:type="spellStart"/>
      <w:r w:rsidRPr="009B2A61">
        <w:rPr>
          <w:rFonts w:cs="Times New Roman"/>
          <w:szCs w:val="24"/>
        </w:rPr>
        <w:t>kU</w:t>
      </w:r>
      <w:proofErr w:type="spellEnd"/>
      <w:r w:rsidRPr="009B2A61">
        <w:rPr>
          <w:rFonts w:cs="Times New Roman"/>
          <w:szCs w:val="24"/>
        </w:rPr>
        <w:t xml:space="preserve">/L with CVs of 8% and 9%. Accuracy was monitored within the standard UK NEQAS program. </w:t>
      </w:r>
    </w:p>
    <w:p w14:paraId="0924F20C" w14:textId="77777777" w:rsidR="009B2A61" w:rsidRPr="009B2A61" w:rsidRDefault="009B2A61" w:rsidP="009B2A61">
      <w:pPr>
        <w:jc w:val="both"/>
        <w:rPr>
          <w:rFonts w:cs="Times New Roman"/>
          <w:szCs w:val="24"/>
        </w:rPr>
      </w:pPr>
      <w:r w:rsidRPr="009B2A61">
        <w:rPr>
          <w:rFonts w:cs="Times New Roman"/>
          <w:szCs w:val="24"/>
        </w:rPr>
        <w:t xml:space="preserve">CRP was measured using a CRP Ultra ready-to-use, liquid assay reagent by an immunoturbidimetric method on a fully automated chemistry analyzer (Kit-test SENTINEL CRP Ultra (UD), 11508 UD-2.0/02 2015/09/23) according to the manufacturer's instructions. The detection limit is 0.3 mg/L, with an intra-assay CV of 3% and an inter-assay CV of &lt; 15%. </w:t>
      </w:r>
    </w:p>
    <w:p w14:paraId="696663C4" w14:textId="77777777" w:rsidR="009B2A61" w:rsidRPr="009B2A61" w:rsidRDefault="009B2A61" w:rsidP="009B2A61">
      <w:pPr>
        <w:jc w:val="both"/>
        <w:rPr>
          <w:rFonts w:cs="Times New Roman"/>
          <w:szCs w:val="24"/>
        </w:rPr>
      </w:pPr>
      <w:r w:rsidRPr="009B2A61">
        <w:rPr>
          <w:rFonts w:cs="Times New Roman"/>
          <w:szCs w:val="24"/>
        </w:rPr>
        <w:t xml:space="preserve">Plasma IL-6 concentration was measured in duplicates with high-sensitive ELISA according to the manufacturer's instructions (high-sensitive IL-6 ELISA, catalog number HS600, R&amp;D Systems®, Abingdon, United Kingdom). The detection limit is 0.1 ng/L, with an intra-assay CV of ≤ 7.8% and an inter-assay CV of ≤ 11.2%. </w:t>
      </w:r>
    </w:p>
    <w:p w14:paraId="180E32E4" w14:textId="77777777" w:rsidR="009B2A61" w:rsidRPr="009B2A61" w:rsidRDefault="009B2A61" w:rsidP="009B2A61">
      <w:pPr>
        <w:jc w:val="both"/>
        <w:rPr>
          <w:rFonts w:cs="Times New Roman"/>
          <w:szCs w:val="24"/>
        </w:rPr>
      </w:pPr>
      <w:r w:rsidRPr="009B2A61">
        <w:rPr>
          <w:rFonts w:cs="Times New Roman"/>
          <w:szCs w:val="24"/>
        </w:rPr>
        <w:t xml:space="preserve">Plasma IL-8 concentration was measured in duplicates with ELISA according to the manufacturer's instructions (IL-8 ELISA, catalog number D8000C, R&amp;D Systems®, Abingdon, United Kingdom). The detection limit is 7.5 ng/L, with an intra-assay CV of ≤ 6.5% and an inter-assay CV of ≤ 8.1%. </w:t>
      </w:r>
    </w:p>
    <w:p w14:paraId="73C322C0" w14:textId="5C82C099" w:rsidR="009B2A61" w:rsidRPr="009B2A61" w:rsidRDefault="009B2A61" w:rsidP="009B2A61">
      <w:pPr>
        <w:jc w:val="both"/>
        <w:rPr>
          <w:rFonts w:cs="Times New Roman"/>
          <w:b/>
          <w:bCs/>
          <w:szCs w:val="24"/>
        </w:rPr>
      </w:pPr>
      <w:r>
        <w:rPr>
          <w:rFonts w:cs="Times New Roman"/>
          <w:b/>
          <w:bCs/>
          <w:szCs w:val="24"/>
        </w:rPr>
        <w:t xml:space="preserve">1.2 </w:t>
      </w:r>
      <w:r w:rsidRPr="009B2A61">
        <w:rPr>
          <w:rFonts w:cs="Times New Roman"/>
          <w:b/>
          <w:bCs/>
          <w:szCs w:val="24"/>
        </w:rPr>
        <w:t xml:space="preserve">Quantification of PD-L1 tissue expression </w:t>
      </w:r>
    </w:p>
    <w:p w14:paraId="20191C5C" w14:textId="77777777" w:rsidR="009B2A61" w:rsidRPr="009B2A61" w:rsidRDefault="009B2A61" w:rsidP="009B2A61">
      <w:pPr>
        <w:jc w:val="both"/>
        <w:rPr>
          <w:rFonts w:cs="Times New Roman"/>
          <w:szCs w:val="24"/>
        </w:rPr>
      </w:pPr>
      <w:r w:rsidRPr="009B2A61">
        <w:rPr>
          <w:rFonts w:cs="Times New Roman"/>
          <w:szCs w:val="24"/>
        </w:rPr>
        <w:t xml:space="preserve">Biopsy samples obtained at baseline were formalin-fixed and paraffin-embedded. Sections with more than 100 tumor cells based on a hematoxylin and eosin stain underwent immunohistochemical (IHC) staining for programmed death-ligand 1 (PD-L1) expression (PD-L1 IHC 28-8 </w:t>
      </w:r>
      <w:proofErr w:type="spellStart"/>
      <w:r w:rsidRPr="009B2A61">
        <w:rPr>
          <w:rFonts w:cs="Times New Roman"/>
          <w:szCs w:val="24"/>
        </w:rPr>
        <w:t>pharmDx</w:t>
      </w:r>
      <w:proofErr w:type="spellEnd"/>
      <w:r w:rsidRPr="009B2A61">
        <w:rPr>
          <w:rFonts w:cs="Times New Roman"/>
          <w:szCs w:val="24"/>
        </w:rPr>
        <w:t xml:space="preserve">, catalog number SK005, </w:t>
      </w:r>
      <w:proofErr w:type="spellStart"/>
      <w:r w:rsidRPr="009B2A61">
        <w:rPr>
          <w:rFonts w:cs="Times New Roman"/>
          <w:szCs w:val="24"/>
        </w:rPr>
        <w:t>Dako</w:t>
      </w:r>
      <w:proofErr w:type="spellEnd"/>
      <w:r w:rsidRPr="009B2A61">
        <w:rPr>
          <w:rFonts w:cs="Times New Roman"/>
          <w:szCs w:val="24"/>
        </w:rPr>
        <w:t>). Two pathologists calculated independently a combined positive score for PD-L1 defined as the number of positive cells (both tumor and immune cells) divided by the total count of tumor cells multiplied by 100.</w:t>
      </w:r>
    </w:p>
    <w:p w14:paraId="5B9F45C9" w14:textId="7E61AB97" w:rsidR="00994A3D" w:rsidRPr="00994A3D" w:rsidRDefault="00994A3D" w:rsidP="00994A3D">
      <w:pPr>
        <w:jc w:val="both"/>
        <w:rPr>
          <w:rFonts w:cs="Times New Roman"/>
          <w:szCs w:val="24"/>
        </w:rPr>
      </w:pPr>
    </w:p>
    <w:p w14:paraId="08451C38" w14:textId="77777777"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lastRenderedPageBreak/>
        <w:t xml:space="preserve">Supplementary material is not typeset so please ensure that all information is clearly presented, the appropriate caption is included in the file and not in the manuscript, and that the style conforms to the rest of the article. </w:t>
      </w:r>
    </w:p>
    <w:p w14:paraId="5E584EE8" w14:textId="77777777" w:rsidR="00994A3D" w:rsidRPr="00994A3D" w:rsidRDefault="00654E8F" w:rsidP="0001436A">
      <w:pPr>
        <w:pStyle w:val="Overskrift1"/>
      </w:pPr>
      <w:r w:rsidRPr="00994A3D">
        <w:t>Supplementary Figures and Tables</w:t>
      </w:r>
    </w:p>
    <w:p w14:paraId="07970E94" w14:textId="77777777" w:rsidR="00994A3D" w:rsidRPr="001549D3" w:rsidRDefault="00994A3D" w:rsidP="0001436A">
      <w:pPr>
        <w:pStyle w:val="Overskrift2"/>
      </w:pPr>
      <w:r w:rsidRPr="0001436A">
        <w:t>Supplementary</w:t>
      </w:r>
      <w:r w:rsidRPr="001549D3">
        <w:t xml:space="preserve"> Figures</w:t>
      </w:r>
    </w:p>
    <w:p w14:paraId="4916FCC9" w14:textId="77777777" w:rsidR="00994A3D" w:rsidRPr="001549D3" w:rsidRDefault="00994A3D" w:rsidP="00994A3D">
      <w:pPr>
        <w:keepNext/>
        <w:rPr>
          <w:rFonts w:cs="Times New Roman"/>
          <w:szCs w:val="24"/>
        </w:rPr>
      </w:pPr>
    </w:p>
    <w:p w14:paraId="11EC8DA1" w14:textId="5038CF4E" w:rsidR="00994A3D" w:rsidRPr="001549D3" w:rsidRDefault="009B2A61" w:rsidP="00994A3D">
      <w:pPr>
        <w:keepNext/>
        <w:jc w:val="center"/>
        <w:rPr>
          <w:rFonts w:cs="Times New Roman"/>
          <w:szCs w:val="24"/>
        </w:rPr>
      </w:pPr>
      <w:r>
        <w:rPr>
          <w:rFonts w:cs="Times New Roman"/>
          <w:b/>
          <w:bCs/>
          <w:noProof/>
          <w:szCs w:val="24"/>
        </w:rPr>
        <w:drawing>
          <wp:inline distT="0" distB="0" distL="0" distR="0" wp14:anchorId="54BFF4AB" wp14:editId="631A2EE4">
            <wp:extent cx="6120130" cy="1858270"/>
            <wp:effectExtent l="0" t="0" r="0" b="889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2">
                      <a:extLst>
                        <a:ext uri="{28A0092B-C50C-407E-A947-70E740481C1C}">
                          <a14:useLocalDpi xmlns:a14="http://schemas.microsoft.com/office/drawing/2010/main" val="0"/>
                        </a:ext>
                      </a:extLst>
                    </a:blip>
                    <a:stretch>
                      <a:fillRect/>
                    </a:stretch>
                  </pic:blipFill>
                  <pic:spPr>
                    <a:xfrm>
                      <a:off x="0" y="0"/>
                      <a:ext cx="6120130" cy="1858270"/>
                    </a:xfrm>
                    <a:prstGeom prst="rect">
                      <a:avLst/>
                    </a:prstGeom>
                  </pic:spPr>
                </pic:pic>
              </a:graphicData>
            </a:graphic>
          </wp:inline>
        </w:drawing>
      </w:r>
    </w:p>
    <w:p w14:paraId="3B020E77" w14:textId="31033031"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9B2A61" w:rsidRPr="009B2A61">
        <w:rPr>
          <w:rFonts w:cs="Times New Roman"/>
          <w:szCs w:val="24"/>
        </w:rPr>
        <w:t>Plot illustrating the change in plasma YKL-40 from baseline to 8 weeks (or 2 weeks if no sample after 8 weeks was available, n = 18) in the individual patients. The patients are ranked from largest decrease to largest increase. The patients are colored based on response: clinical benefit (blue) and progressive disease (yellow). The dashed lines indicate a 40% decrease or increase.</w:t>
      </w:r>
      <w:r w:rsidRPr="001549D3">
        <w:rPr>
          <w:rFonts w:cs="Times New Roman"/>
          <w:szCs w:val="24"/>
        </w:rPr>
        <w:t xml:space="preserve"> </w:t>
      </w:r>
    </w:p>
    <w:p w14:paraId="58F1AED1" w14:textId="6E696DDC" w:rsidR="00DE23E8" w:rsidRDefault="00DE23E8" w:rsidP="00654E8F">
      <w:pPr>
        <w:spacing w:before="240"/>
      </w:pPr>
    </w:p>
    <w:p w14:paraId="5DA87C4B" w14:textId="23B52E54" w:rsidR="009B2A61" w:rsidRDefault="009B2A61" w:rsidP="00654E8F">
      <w:pPr>
        <w:spacing w:before="240"/>
      </w:pPr>
    </w:p>
    <w:p w14:paraId="78BF0143" w14:textId="52A062BF" w:rsidR="009B2A61" w:rsidRDefault="009B2A61" w:rsidP="00654E8F">
      <w:pPr>
        <w:spacing w:before="240"/>
      </w:pPr>
    </w:p>
    <w:p w14:paraId="6DF91984" w14:textId="0854DEE2" w:rsidR="009B2A61" w:rsidRDefault="009B2A61" w:rsidP="00654E8F">
      <w:pPr>
        <w:spacing w:before="240"/>
      </w:pPr>
    </w:p>
    <w:p w14:paraId="3AF73661" w14:textId="38EDFC82" w:rsidR="009B2A61" w:rsidRDefault="009B2A61" w:rsidP="00654E8F">
      <w:pPr>
        <w:spacing w:before="240"/>
      </w:pPr>
    </w:p>
    <w:p w14:paraId="1CFCD5D4" w14:textId="2AA3EE40" w:rsidR="009B2A61" w:rsidRDefault="009B2A61" w:rsidP="00654E8F">
      <w:pPr>
        <w:spacing w:before="240"/>
      </w:pPr>
    </w:p>
    <w:p w14:paraId="6DF7C49F" w14:textId="553EEA84" w:rsidR="009B2A61" w:rsidRDefault="009B2A61" w:rsidP="00654E8F">
      <w:pPr>
        <w:spacing w:before="240"/>
      </w:pPr>
    </w:p>
    <w:p w14:paraId="69B7B360" w14:textId="47695985" w:rsidR="009B2A61" w:rsidRDefault="009B2A61" w:rsidP="00654E8F">
      <w:pPr>
        <w:spacing w:before="240"/>
      </w:pPr>
    </w:p>
    <w:p w14:paraId="2F9C0F85" w14:textId="110C30BE" w:rsidR="009B2A61" w:rsidRDefault="009B2A61" w:rsidP="00654E8F">
      <w:pPr>
        <w:spacing w:before="240"/>
      </w:pPr>
    </w:p>
    <w:p w14:paraId="1BB6B12F" w14:textId="4AB8087A" w:rsidR="009B2A61" w:rsidRDefault="009B2A61" w:rsidP="00654E8F">
      <w:pPr>
        <w:spacing w:before="240"/>
      </w:pPr>
    </w:p>
    <w:p w14:paraId="112A1733" w14:textId="16C8C211" w:rsidR="009B2A61" w:rsidRDefault="009B2A61" w:rsidP="00654E8F">
      <w:pPr>
        <w:spacing w:before="240"/>
      </w:pPr>
    </w:p>
    <w:p w14:paraId="2EC9C50B" w14:textId="4AC4DFB9" w:rsidR="009B2A61" w:rsidRDefault="009B2A61" w:rsidP="00311CA4">
      <w:pPr>
        <w:spacing w:before="240"/>
        <w:jc w:val="center"/>
      </w:pPr>
      <w:r>
        <w:rPr>
          <w:rFonts w:cs="Times New Roman"/>
          <w:b/>
          <w:bCs/>
          <w:noProof/>
          <w:szCs w:val="24"/>
        </w:rPr>
        <w:lastRenderedPageBreak/>
        <w:drawing>
          <wp:inline distT="0" distB="0" distL="0" distR="0" wp14:anchorId="40AF7B60" wp14:editId="338B979F">
            <wp:extent cx="4851908" cy="7417286"/>
            <wp:effectExtent l="0" t="0" r="635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1908" cy="7417286"/>
                    </a:xfrm>
                    <a:prstGeom prst="rect">
                      <a:avLst/>
                    </a:prstGeom>
                  </pic:spPr>
                </pic:pic>
              </a:graphicData>
            </a:graphic>
          </wp:inline>
        </w:drawing>
      </w:r>
    </w:p>
    <w:p w14:paraId="7DC78B7A" w14:textId="584650A0" w:rsidR="009B2A61" w:rsidRDefault="009B2A61" w:rsidP="00654E8F">
      <w:pPr>
        <w:spacing w:before="240"/>
      </w:pPr>
      <w:r w:rsidRPr="00777CA2">
        <w:rPr>
          <w:b/>
          <w:bCs/>
        </w:rPr>
        <w:t>Supplementary Figure 2.</w:t>
      </w:r>
      <w:r w:rsidRPr="00777CA2">
        <w:t xml:space="preserve"> Plots illustrating the plasma levels of YKL-40, IL-6, IL-8, C</w:t>
      </w:r>
      <w:r w:rsidR="00311CA4" w:rsidRPr="00777CA2">
        <w:t>RP</w:t>
      </w:r>
      <w:r w:rsidRPr="00777CA2">
        <w:t xml:space="preserve">, </w:t>
      </w:r>
      <w:r w:rsidR="00311CA4" w:rsidRPr="00777CA2">
        <w:t>CA19-</w:t>
      </w:r>
      <w:proofErr w:type="gramStart"/>
      <w:r w:rsidR="00311CA4" w:rsidRPr="00777CA2">
        <w:t>9</w:t>
      </w:r>
      <w:proofErr w:type="gramEnd"/>
      <w:r w:rsidR="00311CA4" w:rsidRPr="00777CA2">
        <w:t xml:space="preserve"> and bilirubin</w:t>
      </w:r>
      <w:r w:rsidRPr="00777CA2">
        <w:t xml:space="preserve"> in individual patients over time.</w:t>
      </w:r>
      <w:r w:rsidRPr="009B2A61">
        <w:t xml:space="preserve"> The patients are divided into three groups based on OS: ≤ 3 months (yellow), &gt; 3 to ≤ 6 months (grey), and &gt; 6 months (blue).  Abbreviations: IL-6, interleukin 6; IL-8, interleukin 8; CRP, C-reactive protein; CA19-9, cancer-antigen 19-9.</w:t>
      </w:r>
    </w:p>
    <w:p w14:paraId="636E773A" w14:textId="388592ED" w:rsidR="009B2A61" w:rsidRDefault="009B2A61" w:rsidP="00654E8F">
      <w:pPr>
        <w:spacing w:before="240"/>
      </w:pPr>
      <w:r>
        <w:rPr>
          <w:rFonts w:cs="Times New Roman"/>
          <w:b/>
          <w:bCs/>
          <w:noProof/>
          <w:szCs w:val="24"/>
        </w:rPr>
        <w:lastRenderedPageBreak/>
        <w:drawing>
          <wp:inline distT="0" distB="0" distL="0" distR="0" wp14:anchorId="13FB7F4B" wp14:editId="324F1D9D">
            <wp:extent cx="5390399" cy="5577851"/>
            <wp:effectExtent l="0" t="0" r="1270" b="381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0399" cy="5577851"/>
                    </a:xfrm>
                    <a:prstGeom prst="rect">
                      <a:avLst/>
                    </a:prstGeom>
                  </pic:spPr>
                </pic:pic>
              </a:graphicData>
            </a:graphic>
          </wp:inline>
        </w:drawing>
      </w:r>
    </w:p>
    <w:p w14:paraId="776259B2" w14:textId="6E7D4AA9" w:rsidR="009B2A61" w:rsidRDefault="009B2A61" w:rsidP="00654E8F">
      <w:pPr>
        <w:spacing w:before="240"/>
      </w:pPr>
      <w:r w:rsidRPr="009B2A61">
        <w:rPr>
          <w:b/>
          <w:bCs/>
        </w:rPr>
        <w:t>Supplementary Figure 3.</w:t>
      </w:r>
      <w:r w:rsidRPr="009B2A61">
        <w:t xml:space="preserve"> Plasma YKL-40, IL-6, and IL-8 over time in exceptional responder 1 </w:t>
      </w:r>
      <w:r w:rsidRPr="001D72BB">
        <w:rPr>
          <w:b/>
          <w:bCs/>
        </w:rPr>
        <w:t>(A)</w:t>
      </w:r>
      <w:r w:rsidRPr="009B2A61">
        <w:t xml:space="preserve"> and 2 </w:t>
      </w:r>
      <w:r w:rsidRPr="001D72BB">
        <w:rPr>
          <w:b/>
          <w:bCs/>
        </w:rPr>
        <w:t>(B)</w:t>
      </w:r>
      <w:r w:rsidRPr="009B2A61">
        <w:t>. Abbreviations: IL-6, interleukin 6; IL-8, interleukin 8</w:t>
      </w:r>
      <w:r>
        <w:t>.</w:t>
      </w:r>
    </w:p>
    <w:p w14:paraId="57A61A79" w14:textId="1A526F26" w:rsidR="009B2A61" w:rsidRDefault="009B2A61" w:rsidP="00654E8F">
      <w:pPr>
        <w:spacing w:before="240"/>
      </w:pPr>
    </w:p>
    <w:p w14:paraId="677EBA74" w14:textId="03C3D015" w:rsidR="009B2A61" w:rsidRDefault="009B2A61" w:rsidP="00654E8F">
      <w:pPr>
        <w:spacing w:before="240"/>
      </w:pPr>
    </w:p>
    <w:p w14:paraId="0A12643D" w14:textId="7E9C2AE2" w:rsidR="009B2A61" w:rsidRDefault="009B2A61" w:rsidP="00654E8F">
      <w:pPr>
        <w:spacing w:before="240"/>
      </w:pPr>
    </w:p>
    <w:p w14:paraId="48261F2E" w14:textId="798703F2" w:rsidR="009B2A61" w:rsidRDefault="009B2A61" w:rsidP="00654E8F">
      <w:pPr>
        <w:spacing w:before="240"/>
      </w:pPr>
    </w:p>
    <w:p w14:paraId="4BAF4BC1" w14:textId="1EFA1A3C" w:rsidR="009B2A61" w:rsidRDefault="009B2A61" w:rsidP="00654E8F">
      <w:pPr>
        <w:spacing w:before="240"/>
      </w:pPr>
    </w:p>
    <w:p w14:paraId="7BCD3195" w14:textId="09F40D67" w:rsidR="009B2A61" w:rsidRDefault="009B2A61" w:rsidP="00654E8F">
      <w:pPr>
        <w:spacing w:before="240"/>
      </w:pPr>
    </w:p>
    <w:p w14:paraId="55625291" w14:textId="77777777" w:rsidR="009B2A61" w:rsidRDefault="009B2A61" w:rsidP="009B2A61">
      <w:pPr>
        <w:spacing w:after="0" w:line="360" w:lineRule="auto"/>
        <w:jc w:val="both"/>
        <w:rPr>
          <w:rFonts w:cs="Times New Roman"/>
          <w:szCs w:val="24"/>
        </w:rPr>
      </w:pPr>
      <w:r w:rsidRPr="00794045">
        <w:rPr>
          <w:rFonts w:cs="Times New Roman"/>
          <w:b/>
          <w:bCs/>
          <w:szCs w:val="24"/>
        </w:rPr>
        <w:lastRenderedPageBreak/>
        <w:t>Supplementary Table 1</w:t>
      </w:r>
      <w:r w:rsidRPr="00794045">
        <w:rPr>
          <w:rFonts w:cs="Times New Roman"/>
          <w:szCs w:val="24"/>
        </w:rPr>
        <w:t>. The REMARK Checklist.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8911"/>
        <w:gridCol w:w="875"/>
      </w:tblGrid>
      <w:tr w:rsidR="009B2A61" w:rsidRPr="00751CBA" w14:paraId="65FE8EF3" w14:textId="77777777" w:rsidTr="00812526">
        <w:tc>
          <w:tcPr>
            <w:tcW w:w="9468" w:type="dxa"/>
            <w:gridSpan w:val="2"/>
            <w:tcBorders>
              <w:top w:val="single" w:sz="4" w:space="0" w:color="auto"/>
              <w:left w:val="single" w:sz="4" w:space="0" w:color="auto"/>
              <w:bottom w:val="nil"/>
              <w:right w:val="single" w:sz="4" w:space="0" w:color="auto"/>
            </w:tcBorders>
            <w:vAlign w:val="center"/>
          </w:tcPr>
          <w:p w14:paraId="38065E37" w14:textId="77777777" w:rsidR="009B2A61" w:rsidRPr="00751CBA" w:rsidRDefault="009B2A61" w:rsidP="00812526">
            <w:pPr>
              <w:spacing w:after="0"/>
              <w:jc w:val="center"/>
              <w:rPr>
                <w:rFonts w:ascii="Arial" w:hAnsi="Arial" w:cs="Arial"/>
                <w:b/>
                <w:bCs/>
                <w:sz w:val="16"/>
                <w:szCs w:val="16"/>
              </w:rPr>
            </w:pPr>
            <w:r w:rsidRPr="00751CBA">
              <w:rPr>
                <w:rFonts w:ascii="Arial" w:hAnsi="Arial" w:cs="Arial"/>
                <w:b/>
                <w:bCs/>
                <w:sz w:val="16"/>
                <w:szCs w:val="16"/>
              </w:rPr>
              <w:t>Item to be reported</w:t>
            </w:r>
          </w:p>
        </w:tc>
        <w:tc>
          <w:tcPr>
            <w:tcW w:w="875" w:type="dxa"/>
            <w:tcBorders>
              <w:top w:val="single" w:sz="4" w:space="0" w:color="auto"/>
              <w:left w:val="single" w:sz="4" w:space="0" w:color="auto"/>
              <w:bottom w:val="nil"/>
              <w:right w:val="single" w:sz="4" w:space="0" w:color="auto"/>
            </w:tcBorders>
          </w:tcPr>
          <w:p w14:paraId="67594024" w14:textId="77777777" w:rsidR="009B2A61" w:rsidRPr="00751CBA" w:rsidRDefault="009B2A61" w:rsidP="00812526">
            <w:pPr>
              <w:spacing w:after="0"/>
              <w:jc w:val="center"/>
              <w:rPr>
                <w:rFonts w:ascii="Arial" w:hAnsi="Arial" w:cs="Arial"/>
                <w:b/>
                <w:bCs/>
                <w:sz w:val="16"/>
                <w:szCs w:val="16"/>
              </w:rPr>
            </w:pPr>
            <w:r w:rsidRPr="00751CBA">
              <w:rPr>
                <w:rFonts w:ascii="Arial" w:hAnsi="Arial" w:cs="Arial"/>
                <w:b/>
                <w:bCs/>
                <w:sz w:val="16"/>
                <w:szCs w:val="16"/>
              </w:rPr>
              <w:t>Page no.</w:t>
            </w:r>
          </w:p>
        </w:tc>
      </w:tr>
      <w:tr w:rsidR="009B2A61" w:rsidRPr="00751CBA" w14:paraId="08C959A9" w14:textId="77777777" w:rsidTr="00812526">
        <w:trPr>
          <w:trHeight w:val="170"/>
        </w:trPr>
        <w:tc>
          <w:tcPr>
            <w:tcW w:w="9468" w:type="dxa"/>
            <w:gridSpan w:val="2"/>
            <w:tcBorders>
              <w:top w:val="single" w:sz="4" w:space="0" w:color="auto"/>
              <w:left w:val="single" w:sz="4" w:space="0" w:color="auto"/>
              <w:bottom w:val="nil"/>
              <w:right w:val="single" w:sz="4" w:space="0" w:color="auto"/>
            </w:tcBorders>
            <w:shd w:val="clear" w:color="auto" w:fill="E5B8B7" w:themeFill="accent2" w:themeFillTint="66"/>
          </w:tcPr>
          <w:p w14:paraId="71BEF35D" w14:textId="77777777" w:rsidR="009B2A61" w:rsidRPr="00751CBA" w:rsidRDefault="009B2A61" w:rsidP="00812526">
            <w:pPr>
              <w:spacing w:before="40" w:after="20"/>
              <w:rPr>
                <w:rFonts w:ascii="Arial" w:hAnsi="Arial" w:cs="Arial"/>
                <w:b/>
                <w:bCs/>
                <w:sz w:val="16"/>
                <w:szCs w:val="16"/>
              </w:rPr>
            </w:pPr>
            <w:r w:rsidRPr="00751CBA">
              <w:rPr>
                <w:rFonts w:ascii="Arial" w:hAnsi="Arial" w:cs="Arial"/>
                <w:b/>
                <w:bCs/>
                <w:sz w:val="16"/>
                <w:szCs w:val="16"/>
              </w:rPr>
              <w:t>INTRODUCTION</w:t>
            </w:r>
          </w:p>
        </w:tc>
        <w:tc>
          <w:tcPr>
            <w:tcW w:w="875" w:type="dxa"/>
            <w:tcBorders>
              <w:top w:val="single" w:sz="4" w:space="0" w:color="auto"/>
              <w:left w:val="single" w:sz="4" w:space="0" w:color="auto"/>
              <w:bottom w:val="nil"/>
              <w:right w:val="single" w:sz="4" w:space="0" w:color="auto"/>
            </w:tcBorders>
            <w:shd w:val="clear" w:color="auto" w:fill="E5B8B7" w:themeFill="accent2" w:themeFillTint="66"/>
          </w:tcPr>
          <w:p w14:paraId="458B36FD" w14:textId="77777777" w:rsidR="009B2A61" w:rsidRPr="0080384E" w:rsidRDefault="009B2A61" w:rsidP="00812526">
            <w:pPr>
              <w:spacing w:before="40" w:after="20"/>
              <w:rPr>
                <w:rFonts w:ascii="Arial" w:hAnsi="Arial" w:cs="Arial"/>
                <w:b/>
                <w:bCs/>
                <w:sz w:val="14"/>
                <w:szCs w:val="14"/>
              </w:rPr>
            </w:pPr>
          </w:p>
        </w:tc>
      </w:tr>
      <w:tr w:rsidR="009B2A61" w:rsidRPr="00751CBA" w14:paraId="1F368099" w14:textId="77777777" w:rsidTr="00812526">
        <w:tc>
          <w:tcPr>
            <w:tcW w:w="557" w:type="dxa"/>
            <w:tcBorders>
              <w:top w:val="nil"/>
              <w:left w:val="single" w:sz="4" w:space="0" w:color="auto"/>
              <w:bottom w:val="nil"/>
              <w:right w:val="nil"/>
            </w:tcBorders>
          </w:tcPr>
          <w:p w14:paraId="2F816264"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w:t>
            </w:r>
          </w:p>
        </w:tc>
        <w:tc>
          <w:tcPr>
            <w:tcW w:w="8911" w:type="dxa"/>
            <w:tcBorders>
              <w:top w:val="nil"/>
              <w:left w:val="nil"/>
              <w:bottom w:val="nil"/>
              <w:right w:val="nil"/>
            </w:tcBorders>
          </w:tcPr>
          <w:p w14:paraId="11A8606F"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State the marker examined, the study objectives, and any pre-specified hypotheses.  </w:t>
            </w:r>
          </w:p>
        </w:tc>
        <w:tc>
          <w:tcPr>
            <w:tcW w:w="875" w:type="dxa"/>
            <w:tcBorders>
              <w:top w:val="nil"/>
              <w:left w:val="single" w:sz="4" w:space="0" w:color="auto"/>
              <w:bottom w:val="nil"/>
              <w:right w:val="single" w:sz="4" w:space="0" w:color="auto"/>
            </w:tcBorders>
          </w:tcPr>
          <w:p w14:paraId="03884E75" w14:textId="3C7E6CD0" w:rsidR="009B2A61" w:rsidRPr="0080384E" w:rsidRDefault="00CF5DF5" w:rsidP="00812526">
            <w:pPr>
              <w:tabs>
                <w:tab w:val="decimal" w:pos="298"/>
              </w:tabs>
              <w:spacing w:before="40" w:after="20"/>
              <w:rPr>
                <w:rFonts w:ascii="Arial" w:hAnsi="Arial" w:cs="Arial"/>
                <w:sz w:val="14"/>
                <w:szCs w:val="14"/>
              </w:rPr>
            </w:pPr>
            <w:r>
              <w:rPr>
                <w:rFonts w:ascii="Arial" w:hAnsi="Arial" w:cs="Arial"/>
                <w:sz w:val="14"/>
                <w:szCs w:val="14"/>
              </w:rPr>
              <w:t>2</w:t>
            </w:r>
          </w:p>
        </w:tc>
      </w:tr>
      <w:tr w:rsidR="009B2A61" w:rsidRPr="00751CBA" w14:paraId="2D027E76" w14:textId="77777777" w:rsidTr="00812526">
        <w:tc>
          <w:tcPr>
            <w:tcW w:w="9468" w:type="dxa"/>
            <w:gridSpan w:val="2"/>
            <w:tcBorders>
              <w:top w:val="nil"/>
              <w:left w:val="single" w:sz="4" w:space="0" w:color="auto"/>
              <w:bottom w:val="nil"/>
              <w:right w:val="single" w:sz="4" w:space="0" w:color="auto"/>
            </w:tcBorders>
            <w:shd w:val="clear" w:color="auto" w:fill="E5B8B7" w:themeFill="accent2" w:themeFillTint="66"/>
          </w:tcPr>
          <w:p w14:paraId="08F039DD" w14:textId="77777777" w:rsidR="009B2A61" w:rsidRPr="00751CBA" w:rsidRDefault="009B2A61" w:rsidP="00812526">
            <w:pPr>
              <w:tabs>
                <w:tab w:val="decimal" w:pos="298"/>
              </w:tabs>
              <w:spacing w:before="40" w:after="20"/>
              <w:rPr>
                <w:rFonts w:ascii="Arial" w:hAnsi="Arial" w:cs="Arial"/>
                <w:b/>
                <w:bCs/>
                <w:sz w:val="16"/>
                <w:szCs w:val="16"/>
              </w:rPr>
            </w:pPr>
            <w:r w:rsidRPr="00751CBA">
              <w:rPr>
                <w:rFonts w:ascii="Arial" w:hAnsi="Arial" w:cs="Arial"/>
                <w:b/>
                <w:bCs/>
                <w:sz w:val="16"/>
                <w:szCs w:val="16"/>
              </w:rPr>
              <w:t>MATERIALS AND METHODS</w:t>
            </w:r>
          </w:p>
        </w:tc>
        <w:tc>
          <w:tcPr>
            <w:tcW w:w="875" w:type="dxa"/>
            <w:tcBorders>
              <w:top w:val="nil"/>
              <w:left w:val="single" w:sz="4" w:space="0" w:color="auto"/>
              <w:bottom w:val="nil"/>
              <w:right w:val="single" w:sz="4" w:space="0" w:color="auto"/>
            </w:tcBorders>
            <w:shd w:val="clear" w:color="auto" w:fill="E5B8B7" w:themeFill="accent2" w:themeFillTint="66"/>
          </w:tcPr>
          <w:p w14:paraId="02E88351" w14:textId="77777777" w:rsidR="009B2A61" w:rsidRPr="0080384E" w:rsidRDefault="009B2A61" w:rsidP="00812526">
            <w:pPr>
              <w:tabs>
                <w:tab w:val="decimal" w:pos="298"/>
              </w:tabs>
              <w:spacing w:before="40" w:after="20"/>
              <w:rPr>
                <w:rFonts w:ascii="Arial" w:hAnsi="Arial" w:cs="Arial"/>
                <w:b/>
                <w:bCs/>
                <w:sz w:val="14"/>
                <w:szCs w:val="14"/>
              </w:rPr>
            </w:pPr>
          </w:p>
        </w:tc>
      </w:tr>
      <w:tr w:rsidR="009B2A61" w:rsidRPr="00751CBA" w14:paraId="62CE8E38" w14:textId="77777777" w:rsidTr="00812526">
        <w:tc>
          <w:tcPr>
            <w:tcW w:w="9468" w:type="dxa"/>
            <w:gridSpan w:val="2"/>
            <w:tcBorders>
              <w:top w:val="nil"/>
              <w:left w:val="single" w:sz="4" w:space="0" w:color="auto"/>
              <w:bottom w:val="nil"/>
              <w:right w:val="single" w:sz="4" w:space="0" w:color="auto"/>
            </w:tcBorders>
            <w:shd w:val="clear" w:color="auto" w:fill="F2DBDB" w:themeFill="accent2" w:themeFillTint="33"/>
          </w:tcPr>
          <w:p w14:paraId="53BA4C03" w14:textId="77777777" w:rsidR="009B2A61" w:rsidRPr="00751CBA" w:rsidRDefault="009B2A61" w:rsidP="00812526">
            <w:pPr>
              <w:tabs>
                <w:tab w:val="decimal" w:pos="298"/>
              </w:tabs>
              <w:spacing w:before="40" w:after="20"/>
              <w:rPr>
                <w:rFonts w:ascii="Arial" w:hAnsi="Arial" w:cs="Arial"/>
                <w:i/>
                <w:iCs/>
                <w:sz w:val="16"/>
                <w:szCs w:val="16"/>
              </w:rPr>
            </w:pPr>
            <w:r w:rsidRPr="00751CBA">
              <w:rPr>
                <w:rFonts w:ascii="Arial" w:hAnsi="Arial" w:cs="Arial"/>
                <w:i/>
                <w:iCs/>
                <w:sz w:val="16"/>
                <w:szCs w:val="16"/>
              </w:rPr>
              <w:t>Patients</w:t>
            </w:r>
          </w:p>
        </w:tc>
        <w:tc>
          <w:tcPr>
            <w:tcW w:w="875" w:type="dxa"/>
            <w:tcBorders>
              <w:top w:val="nil"/>
              <w:left w:val="single" w:sz="4" w:space="0" w:color="auto"/>
              <w:bottom w:val="nil"/>
              <w:right w:val="single" w:sz="4" w:space="0" w:color="auto"/>
            </w:tcBorders>
            <w:shd w:val="clear" w:color="auto" w:fill="F2DBDB" w:themeFill="accent2" w:themeFillTint="33"/>
          </w:tcPr>
          <w:p w14:paraId="2D02E316" w14:textId="77777777" w:rsidR="009B2A61" w:rsidRPr="0080384E" w:rsidRDefault="009B2A61" w:rsidP="00812526">
            <w:pPr>
              <w:tabs>
                <w:tab w:val="decimal" w:pos="298"/>
              </w:tabs>
              <w:spacing w:before="40" w:after="20"/>
              <w:rPr>
                <w:rFonts w:ascii="Arial" w:hAnsi="Arial" w:cs="Arial"/>
                <w:i/>
                <w:iCs/>
                <w:sz w:val="14"/>
                <w:szCs w:val="14"/>
              </w:rPr>
            </w:pPr>
          </w:p>
        </w:tc>
      </w:tr>
      <w:tr w:rsidR="009B2A61" w:rsidRPr="00751CBA" w14:paraId="5CB7FEA3" w14:textId="77777777" w:rsidTr="00812526">
        <w:tc>
          <w:tcPr>
            <w:tcW w:w="557" w:type="dxa"/>
            <w:tcBorders>
              <w:top w:val="nil"/>
              <w:left w:val="single" w:sz="4" w:space="0" w:color="auto"/>
              <w:bottom w:val="nil"/>
              <w:right w:val="nil"/>
            </w:tcBorders>
          </w:tcPr>
          <w:p w14:paraId="2932E245"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2</w:t>
            </w:r>
          </w:p>
        </w:tc>
        <w:tc>
          <w:tcPr>
            <w:tcW w:w="8911" w:type="dxa"/>
            <w:tcBorders>
              <w:top w:val="nil"/>
              <w:left w:val="nil"/>
              <w:bottom w:val="nil"/>
              <w:right w:val="nil"/>
            </w:tcBorders>
          </w:tcPr>
          <w:p w14:paraId="201F486F"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Describe the characteristics (e.g., disease stage or co-morbidities) of the study patients, including their source and inclusion and exclusion criteria.  </w:t>
            </w:r>
          </w:p>
        </w:tc>
        <w:tc>
          <w:tcPr>
            <w:tcW w:w="875" w:type="dxa"/>
            <w:tcBorders>
              <w:top w:val="nil"/>
              <w:left w:val="single" w:sz="4" w:space="0" w:color="auto"/>
              <w:bottom w:val="nil"/>
              <w:right w:val="single" w:sz="4" w:space="0" w:color="auto"/>
            </w:tcBorders>
          </w:tcPr>
          <w:p w14:paraId="6B2A9C38" w14:textId="44BE4CCF" w:rsidR="009B2A61" w:rsidRPr="0080384E" w:rsidRDefault="00CF5DF5" w:rsidP="00812526">
            <w:pPr>
              <w:tabs>
                <w:tab w:val="decimal" w:pos="298"/>
              </w:tabs>
              <w:spacing w:before="40" w:after="20"/>
              <w:rPr>
                <w:rFonts w:ascii="Arial" w:hAnsi="Arial" w:cs="Arial"/>
                <w:sz w:val="14"/>
                <w:szCs w:val="14"/>
              </w:rPr>
            </w:pPr>
            <w:r>
              <w:rPr>
                <w:rFonts w:ascii="Arial" w:hAnsi="Arial" w:cs="Arial"/>
                <w:sz w:val="14"/>
                <w:szCs w:val="14"/>
              </w:rPr>
              <w:t>2-3,</w:t>
            </w:r>
            <w:r w:rsidR="009B2A61" w:rsidRPr="0080384E">
              <w:rPr>
                <w:rFonts w:ascii="Arial" w:hAnsi="Arial" w:cs="Arial"/>
                <w:sz w:val="14"/>
                <w:szCs w:val="14"/>
              </w:rPr>
              <w:t xml:space="preserve"> Table 1</w:t>
            </w:r>
          </w:p>
        </w:tc>
      </w:tr>
      <w:tr w:rsidR="009B2A61" w:rsidRPr="00751CBA" w14:paraId="289913CE" w14:textId="77777777" w:rsidTr="00812526">
        <w:tc>
          <w:tcPr>
            <w:tcW w:w="557" w:type="dxa"/>
            <w:tcBorders>
              <w:top w:val="nil"/>
              <w:left w:val="single" w:sz="4" w:space="0" w:color="auto"/>
              <w:bottom w:val="nil"/>
              <w:right w:val="nil"/>
            </w:tcBorders>
          </w:tcPr>
          <w:p w14:paraId="19B09B71"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3</w:t>
            </w:r>
          </w:p>
        </w:tc>
        <w:tc>
          <w:tcPr>
            <w:tcW w:w="8911" w:type="dxa"/>
            <w:tcBorders>
              <w:top w:val="nil"/>
              <w:left w:val="nil"/>
              <w:bottom w:val="nil"/>
              <w:right w:val="nil"/>
            </w:tcBorders>
          </w:tcPr>
          <w:p w14:paraId="27480AEE"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Describe treatments received and how chosen (e.g., randomized or rule-based).  </w:t>
            </w:r>
          </w:p>
        </w:tc>
        <w:tc>
          <w:tcPr>
            <w:tcW w:w="875" w:type="dxa"/>
            <w:tcBorders>
              <w:top w:val="nil"/>
              <w:left w:val="single" w:sz="4" w:space="0" w:color="auto"/>
              <w:bottom w:val="nil"/>
              <w:right w:val="single" w:sz="4" w:space="0" w:color="auto"/>
            </w:tcBorders>
          </w:tcPr>
          <w:p w14:paraId="11D80DE0" w14:textId="35A90706" w:rsidR="009B2A61" w:rsidRPr="0080384E" w:rsidRDefault="00CF5DF5" w:rsidP="00812526">
            <w:pPr>
              <w:tabs>
                <w:tab w:val="decimal" w:pos="298"/>
              </w:tabs>
              <w:spacing w:before="40" w:after="20"/>
              <w:rPr>
                <w:rFonts w:ascii="Arial" w:hAnsi="Arial" w:cs="Arial"/>
                <w:sz w:val="14"/>
                <w:szCs w:val="14"/>
              </w:rPr>
            </w:pPr>
            <w:r>
              <w:rPr>
                <w:rFonts w:ascii="Arial" w:hAnsi="Arial" w:cs="Arial"/>
                <w:sz w:val="14"/>
                <w:szCs w:val="14"/>
              </w:rPr>
              <w:t>2</w:t>
            </w:r>
          </w:p>
        </w:tc>
      </w:tr>
      <w:tr w:rsidR="009B2A61" w:rsidRPr="00751CBA" w14:paraId="60824C44" w14:textId="77777777" w:rsidTr="00812526">
        <w:tc>
          <w:tcPr>
            <w:tcW w:w="9468" w:type="dxa"/>
            <w:gridSpan w:val="2"/>
            <w:tcBorders>
              <w:top w:val="nil"/>
              <w:left w:val="single" w:sz="4" w:space="0" w:color="auto"/>
              <w:bottom w:val="nil"/>
              <w:right w:val="single" w:sz="4" w:space="0" w:color="auto"/>
            </w:tcBorders>
            <w:shd w:val="clear" w:color="auto" w:fill="F2DBDB" w:themeFill="accent2" w:themeFillTint="33"/>
          </w:tcPr>
          <w:p w14:paraId="13999FFA" w14:textId="77777777" w:rsidR="009B2A61" w:rsidRPr="00751CBA" w:rsidRDefault="009B2A61" w:rsidP="00812526">
            <w:pPr>
              <w:tabs>
                <w:tab w:val="decimal" w:pos="298"/>
              </w:tabs>
              <w:spacing w:before="40" w:after="20"/>
              <w:rPr>
                <w:rFonts w:ascii="Arial" w:hAnsi="Arial" w:cs="Arial"/>
                <w:i/>
                <w:iCs/>
                <w:sz w:val="16"/>
                <w:szCs w:val="16"/>
              </w:rPr>
            </w:pPr>
            <w:r w:rsidRPr="00751CBA">
              <w:rPr>
                <w:rFonts w:ascii="Arial" w:hAnsi="Arial" w:cs="Arial"/>
                <w:i/>
                <w:iCs/>
                <w:sz w:val="16"/>
                <w:szCs w:val="16"/>
              </w:rPr>
              <w:t>Specimen characteristics</w:t>
            </w:r>
          </w:p>
        </w:tc>
        <w:tc>
          <w:tcPr>
            <w:tcW w:w="875" w:type="dxa"/>
            <w:tcBorders>
              <w:top w:val="nil"/>
              <w:left w:val="single" w:sz="4" w:space="0" w:color="auto"/>
              <w:bottom w:val="nil"/>
              <w:right w:val="single" w:sz="4" w:space="0" w:color="auto"/>
            </w:tcBorders>
            <w:shd w:val="clear" w:color="auto" w:fill="F2DBDB" w:themeFill="accent2" w:themeFillTint="33"/>
          </w:tcPr>
          <w:p w14:paraId="079B0102" w14:textId="77777777" w:rsidR="009B2A61" w:rsidRPr="0080384E" w:rsidRDefault="009B2A61" w:rsidP="00812526">
            <w:pPr>
              <w:tabs>
                <w:tab w:val="decimal" w:pos="298"/>
              </w:tabs>
              <w:spacing w:before="40" w:after="20"/>
              <w:rPr>
                <w:rFonts w:ascii="Arial" w:hAnsi="Arial" w:cs="Arial"/>
                <w:i/>
                <w:iCs/>
                <w:sz w:val="14"/>
                <w:szCs w:val="14"/>
              </w:rPr>
            </w:pPr>
          </w:p>
        </w:tc>
      </w:tr>
      <w:tr w:rsidR="009B2A61" w:rsidRPr="00751CBA" w14:paraId="24C447C3" w14:textId="77777777" w:rsidTr="00812526">
        <w:tc>
          <w:tcPr>
            <w:tcW w:w="557" w:type="dxa"/>
            <w:tcBorders>
              <w:top w:val="nil"/>
              <w:left w:val="single" w:sz="4" w:space="0" w:color="auto"/>
              <w:bottom w:val="nil"/>
              <w:right w:val="nil"/>
            </w:tcBorders>
          </w:tcPr>
          <w:p w14:paraId="01B4C2CB"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4</w:t>
            </w:r>
          </w:p>
        </w:tc>
        <w:tc>
          <w:tcPr>
            <w:tcW w:w="8911" w:type="dxa"/>
            <w:tcBorders>
              <w:top w:val="nil"/>
              <w:left w:val="nil"/>
              <w:bottom w:val="nil"/>
              <w:right w:val="nil"/>
            </w:tcBorders>
          </w:tcPr>
          <w:p w14:paraId="0EA1A36A" w14:textId="77777777" w:rsidR="009B2A61" w:rsidRPr="00751CBA" w:rsidRDefault="009B2A61" w:rsidP="00812526">
            <w:pPr>
              <w:spacing w:before="40" w:after="20"/>
              <w:rPr>
                <w:rFonts w:ascii="Arial" w:hAnsi="Arial" w:cs="Arial"/>
                <w:sz w:val="16"/>
                <w:szCs w:val="16"/>
              </w:rPr>
            </w:pPr>
            <w:bookmarkStart w:id="0" w:name="OLE_LINK2"/>
            <w:bookmarkStart w:id="1" w:name="OLE_LINK3"/>
            <w:r w:rsidRPr="00751CBA">
              <w:rPr>
                <w:rFonts w:ascii="Arial" w:hAnsi="Arial" w:cs="Arial"/>
                <w:sz w:val="16"/>
                <w:szCs w:val="16"/>
              </w:rPr>
              <w:t>Describe type of biological material used (including control samples) and methods of preservation and storage.</w:t>
            </w:r>
            <w:bookmarkEnd w:id="0"/>
            <w:bookmarkEnd w:id="1"/>
          </w:p>
        </w:tc>
        <w:tc>
          <w:tcPr>
            <w:tcW w:w="875" w:type="dxa"/>
            <w:tcBorders>
              <w:top w:val="nil"/>
              <w:left w:val="single" w:sz="4" w:space="0" w:color="auto"/>
              <w:bottom w:val="nil"/>
              <w:right w:val="single" w:sz="4" w:space="0" w:color="auto"/>
            </w:tcBorders>
          </w:tcPr>
          <w:p w14:paraId="6A06DFCA" w14:textId="1A68BECA" w:rsidR="009B2A61" w:rsidRPr="0080384E" w:rsidRDefault="00C617E7" w:rsidP="00812526">
            <w:pPr>
              <w:tabs>
                <w:tab w:val="decimal" w:pos="298"/>
              </w:tabs>
              <w:spacing w:before="40" w:after="20"/>
              <w:rPr>
                <w:rFonts w:ascii="Arial" w:hAnsi="Arial" w:cs="Arial"/>
                <w:sz w:val="14"/>
                <w:szCs w:val="14"/>
              </w:rPr>
            </w:pPr>
            <w:r>
              <w:rPr>
                <w:rFonts w:ascii="Arial" w:hAnsi="Arial" w:cs="Arial"/>
                <w:sz w:val="14"/>
                <w:szCs w:val="14"/>
              </w:rPr>
              <w:t>2-</w:t>
            </w:r>
            <w:r w:rsidR="00CF5DF5">
              <w:rPr>
                <w:rFonts w:ascii="Arial" w:hAnsi="Arial" w:cs="Arial"/>
                <w:sz w:val="14"/>
                <w:szCs w:val="14"/>
              </w:rPr>
              <w:t>3</w:t>
            </w:r>
          </w:p>
        </w:tc>
      </w:tr>
      <w:tr w:rsidR="009B2A61" w:rsidRPr="00751CBA" w14:paraId="1E12644D" w14:textId="77777777" w:rsidTr="00812526">
        <w:tc>
          <w:tcPr>
            <w:tcW w:w="9468" w:type="dxa"/>
            <w:gridSpan w:val="2"/>
            <w:tcBorders>
              <w:top w:val="nil"/>
              <w:left w:val="single" w:sz="4" w:space="0" w:color="auto"/>
              <w:bottom w:val="nil"/>
              <w:right w:val="single" w:sz="4" w:space="0" w:color="auto"/>
            </w:tcBorders>
            <w:shd w:val="clear" w:color="auto" w:fill="F2DBDB" w:themeFill="accent2" w:themeFillTint="33"/>
          </w:tcPr>
          <w:p w14:paraId="1901D597" w14:textId="77777777" w:rsidR="009B2A61" w:rsidRPr="00751CBA" w:rsidRDefault="009B2A61" w:rsidP="00812526">
            <w:pPr>
              <w:tabs>
                <w:tab w:val="decimal" w:pos="298"/>
              </w:tabs>
              <w:spacing w:before="40" w:after="20"/>
              <w:rPr>
                <w:rFonts w:ascii="Arial" w:hAnsi="Arial" w:cs="Arial"/>
                <w:i/>
                <w:iCs/>
                <w:sz w:val="16"/>
                <w:szCs w:val="16"/>
              </w:rPr>
            </w:pPr>
            <w:r w:rsidRPr="00751CBA">
              <w:rPr>
                <w:rFonts w:ascii="Arial" w:hAnsi="Arial" w:cs="Arial"/>
                <w:i/>
                <w:iCs/>
                <w:sz w:val="16"/>
                <w:szCs w:val="16"/>
              </w:rPr>
              <w:t>Assay methods</w:t>
            </w:r>
          </w:p>
        </w:tc>
        <w:tc>
          <w:tcPr>
            <w:tcW w:w="875" w:type="dxa"/>
            <w:tcBorders>
              <w:top w:val="nil"/>
              <w:left w:val="single" w:sz="4" w:space="0" w:color="auto"/>
              <w:bottom w:val="nil"/>
              <w:right w:val="single" w:sz="4" w:space="0" w:color="auto"/>
            </w:tcBorders>
            <w:shd w:val="clear" w:color="auto" w:fill="F2DBDB" w:themeFill="accent2" w:themeFillTint="33"/>
          </w:tcPr>
          <w:p w14:paraId="766BBBD9" w14:textId="77777777" w:rsidR="009B2A61" w:rsidRPr="0080384E" w:rsidRDefault="009B2A61" w:rsidP="00812526">
            <w:pPr>
              <w:tabs>
                <w:tab w:val="decimal" w:pos="298"/>
              </w:tabs>
              <w:spacing w:before="40" w:after="20"/>
              <w:rPr>
                <w:rFonts w:ascii="Arial" w:hAnsi="Arial" w:cs="Arial"/>
                <w:i/>
                <w:iCs/>
                <w:sz w:val="14"/>
                <w:szCs w:val="14"/>
              </w:rPr>
            </w:pPr>
          </w:p>
        </w:tc>
      </w:tr>
      <w:tr w:rsidR="009B2A61" w:rsidRPr="00751CBA" w14:paraId="0B104DC3" w14:textId="77777777" w:rsidTr="00812526">
        <w:tc>
          <w:tcPr>
            <w:tcW w:w="557" w:type="dxa"/>
            <w:tcBorders>
              <w:top w:val="nil"/>
              <w:left w:val="single" w:sz="4" w:space="0" w:color="auto"/>
              <w:bottom w:val="nil"/>
              <w:right w:val="nil"/>
            </w:tcBorders>
          </w:tcPr>
          <w:p w14:paraId="429EAA2D"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5</w:t>
            </w:r>
          </w:p>
        </w:tc>
        <w:tc>
          <w:tcPr>
            <w:tcW w:w="8911" w:type="dxa"/>
            <w:tcBorders>
              <w:top w:val="nil"/>
              <w:left w:val="nil"/>
              <w:bottom w:val="nil"/>
              <w:right w:val="nil"/>
            </w:tcBorders>
          </w:tcPr>
          <w:p w14:paraId="5BF34FC5"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Specify the assay method used and provide (or reference) a detailed protocol, including specific reagents or kits used, quality control procedures, reproducibility assessments, quantitation methods, and scoring and reporting protocols. Specify whether and how assays were performed blinded to the study endpoint.</w:t>
            </w:r>
          </w:p>
        </w:tc>
        <w:tc>
          <w:tcPr>
            <w:tcW w:w="875" w:type="dxa"/>
            <w:tcBorders>
              <w:top w:val="nil"/>
              <w:left w:val="single" w:sz="4" w:space="0" w:color="auto"/>
              <w:bottom w:val="nil"/>
              <w:right w:val="single" w:sz="4" w:space="0" w:color="auto"/>
            </w:tcBorders>
          </w:tcPr>
          <w:p w14:paraId="20482717" w14:textId="2FAC721C" w:rsidR="009B2A61" w:rsidRPr="0080384E" w:rsidRDefault="00C617E7" w:rsidP="00812526">
            <w:pPr>
              <w:tabs>
                <w:tab w:val="decimal" w:pos="298"/>
              </w:tabs>
              <w:spacing w:before="40" w:after="20"/>
              <w:rPr>
                <w:rFonts w:ascii="Arial" w:hAnsi="Arial" w:cs="Arial"/>
                <w:sz w:val="14"/>
                <w:szCs w:val="14"/>
              </w:rPr>
            </w:pPr>
            <w:r>
              <w:rPr>
                <w:rFonts w:ascii="Arial" w:hAnsi="Arial" w:cs="Arial"/>
                <w:sz w:val="14"/>
                <w:szCs w:val="14"/>
              </w:rPr>
              <w:t>2-</w:t>
            </w:r>
            <w:r w:rsidR="00CF5DF5">
              <w:rPr>
                <w:rFonts w:ascii="Arial" w:hAnsi="Arial" w:cs="Arial"/>
                <w:sz w:val="14"/>
                <w:szCs w:val="14"/>
              </w:rPr>
              <w:t>3</w:t>
            </w:r>
          </w:p>
        </w:tc>
      </w:tr>
      <w:tr w:rsidR="009B2A61" w:rsidRPr="00751CBA" w14:paraId="60FB5F72" w14:textId="77777777" w:rsidTr="00812526">
        <w:tc>
          <w:tcPr>
            <w:tcW w:w="9468" w:type="dxa"/>
            <w:gridSpan w:val="2"/>
            <w:tcBorders>
              <w:top w:val="nil"/>
              <w:left w:val="single" w:sz="4" w:space="0" w:color="auto"/>
              <w:bottom w:val="nil"/>
              <w:right w:val="single" w:sz="4" w:space="0" w:color="auto"/>
            </w:tcBorders>
            <w:shd w:val="clear" w:color="auto" w:fill="F2DBDB" w:themeFill="accent2" w:themeFillTint="33"/>
          </w:tcPr>
          <w:p w14:paraId="0B83F25B" w14:textId="77777777" w:rsidR="009B2A61" w:rsidRPr="00751CBA" w:rsidRDefault="009B2A61" w:rsidP="00812526">
            <w:pPr>
              <w:tabs>
                <w:tab w:val="decimal" w:pos="298"/>
              </w:tabs>
              <w:spacing w:before="40" w:after="20"/>
              <w:rPr>
                <w:rFonts w:ascii="Arial" w:hAnsi="Arial" w:cs="Arial"/>
                <w:i/>
                <w:iCs/>
                <w:sz w:val="16"/>
                <w:szCs w:val="16"/>
              </w:rPr>
            </w:pPr>
            <w:r w:rsidRPr="00751CBA">
              <w:rPr>
                <w:rFonts w:ascii="Arial" w:hAnsi="Arial" w:cs="Arial"/>
                <w:i/>
                <w:iCs/>
                <w:sz w:val="16"/>
                <w:szCs w:val="16"/>
              </w:rPr>
              <w:t>Study design</w:t>
            </w:r>
          </w:p>
        </w:tc>
        <w:tc>
          <w:tcPr>
            <w:tcW w:w="875" w:type="dxa"/>
            <w:tcBorders>
              <w:top w:val="nil"/>
              <w:left w:val="single" w:sz="4" w:space="0" w:color="auto"/>
              <w:bottom w:val="nil"/>
              <w:right w:val="single" w:sz="4" w:space="0" w:color="auto"/>
            </w:tcBorders>
            <w:shd w:val="clear" w:color="auto" w:fill="F2DBDB" w:themeFill="accent2" w:themeFillTint="33"/>
          </w:tcPr>
          <w:p w14:paraId="5FF54F98" w14:textId="77777777" w:rsidR="009B2A61" w:rsidRPr="0080384E" w:rsidRDefault="009B2A61" w:rsidP="00812526">
            <w:pPr>
              <w:tabs>
                <w:tab w:val="decimal" w:pos="298"/>
              </w:tabs>
              <w:spacing w:before="40" w:after="20"/>
              <w:rPr>
                <w:rFonts w:ascii="Arial" w:hAnsi="Arial" w:cs="Arial"/>
                <w:i/>
                <w:iCs/>
                <w:sz w:val="14"/>
                <w:szCs w:val="14"/>
              </w:rPr>
            </w:pPr>
          </w:p>
        </w:tc>
      </w:tr>
      <w:tr w:rsidR="009B2A61" w:rsidRPr="00751CBA" w14:paraId="4D35D808" w14:textId="77777777" w:rsidTr="00812526">
        <w:tc>
          <w:tcPr>
            <w:tcW w:w="557" w:type="dxa"/>
            <w:tcBorders>
              <w:top w:val="nil"/>
              <w:left w:val="single" w:sz="4" w:space="0" w:color="auto"/>
              <w:bottom w:val="nil"/>
              <w:right w:val="nil"/>
            </w:tcBorders>
          </w:tcPr>
          <w:p w14:paraId="26898177"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6</w:t>
            </w:r>
          </w:p>
        </w:tc>
        <w:tc>
          <w:tcPr>
            <w:tcW w:w="8911" w:type="dxa"/>
            <w:tcBorders>
              <w:top w:val="nil"/>
              <w:left w:val="nil"/>
              <w:bottom w:val="nil"/>
              <w:right w:val="nil"/>
            </w:tcBorders>
          </w:tcPr>
          <w:p w14:paraId="04387F09"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State the method of case selection, including whether prospective or retrospective and whether stratification or matching (e.g., by stage of disease or age) was used. Specify the </w:t>
            </w:r>
            <w:proofErr w:type="gramStart"/>
            <w:r w:rsidRPr="00751CBA">
              <w:rPr>
                <w:rFonts w:ascii="Arial" w:hAnsi="Arial" w:cs="Arial"/>
                <w:sz w:val="16"/>
                <w:szCs w:val="16"/>
              </w:rPr>
              <w:t>time period</w:t>
            </w:r>
            <w:proofErr w:type="gramEnd"/>
            <w:r w:rsidRPr="00751CBA">
              <w:rPr>
                <w:rFonts w:ascii="Arial" w:hAnsi="Arial" w:cs="Arial"/>
                <w:sz w:val="16"/>
                <w:szCs w:val="16"/>
              </w:rPr>
              <w:t xml:space="preserve"> from which cases were taken, the end of the follow-up period, and the median follow-up time.  </w:t>
            </w:r>
          </w:p>
        </w:tc>
        <w:tc>
          <w:tcPr>
            <w:tcW w:w="875" w:type="dxa"/>
            <w:tcBorders>
              <w:top w:val="nil"/>
              <w:left w:val="single" w:sz="4" w:space="0" w:color="auto"/>
              <w:bottom w:val="nil"/>
              <w:right w:val="single" w:sz="4" w:space="0" w:color="auto"/>
            </w:tcBorders>
          </w:tcPr>
          <w:p w14:paraId="066E36B8" w14:textId="65B77751" w:rsidR="009B2A61" w:rsidRPr="0080384E" w:rsidRDefault="00CF5DF5" w:rsidP="00812526">
            <w:pPr>
              <w:tabs>
                <w:tab w:val="decimal" w:pos="298"/>
              </w:tabs>
              <w:spacing w:before="40" w:after="20"/>
              <w:rPr>
                <w:rFonts w:ascii="Arial" w:hAnsi="Arial" w:cs="Arial"/>
                <w:sz w:val="14"/>
                <w:szCs w:val="14"/>
              </w:rPr>
            </w:pPr>
            <w:r>
              <w:rPr>
                <w:rFonts w:ascii="Arial" w:hAnsi="Arial" w:cs="Arial"/>
                <w:sz w:val="14"/>
                <w:szCs w:val="14"/>
              </w:rPr>
              <w:t>2-3</w:t>
            </w:r>
          </w:p>
        </w:tc>
      </w:tr>
      <w:tr w:rsidR="009B2A61" w:rsidRPr="00751CBA" w14:paraId="7C66BB20" w14:textId="77777777" w:rsidTr="00812526">
        <w:tc>
          <w:tcPr>
            <w:tcW w:w="557" w:type="dxa"/>
            <w:tcBorders>
              <w:top w:val="nil"/>
              <w:left w:val="single" w:sz="4" w:space="0" w:color="auto"/>
              <w:bottom w:val="nil"/>
              <w:right w:val="nil"/>
            </w:tcBorders>
          </w:tcPr>
          <w:p w14:paraId="25AD84AC"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7</w:t>
            </w:r>
          </w:p>
        </w:tc>
        <w:tc>
          <w:tcPr>
            <w:tcW w:w="8911" w:type="dxa"/>
            <w:tcBorders>
              <w:top w:val="nil"/>
              <w:left w:val="nil"/>
              <w:bottom w:val="nil"/>
              <w:right w:val="nil"/>
            </w:tcBorders>
          </w:tcPr>
          <w:p w14:paraId="0CC78531"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Precisely define all clinical endpoints examined. </w:t>
            </w:r>
          </w:p>
        </w:tc>
        <w:tc>
          <w:tcPr>
            <w:tcW w:w="875" w:type="dxa"/>
            <w:tcBorders>
              <w:top w:val="nil"/>
              <w:left w:val="single" w:sz="4" w:space="0" w:color="auto"/>
              <w:bottom w:val="nil"/>
              <w:right w:val="single" w:sz="4" w:space="0" w:color="auto"/>
            </w:tcBorders>
          </w:tcPr>
          <w:p w14:paraId="5D4D5FF2"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NA</w:t>
            </w:r>
          </w:p>
        </w:tc>
      </w:tr>
      <w:tr w:rsidR="009B2A61" w:rsidRPr="00751CBA" w14:paraId="052028F0" w14:textId="77777777" w:rsidTr="00812526">
        <w:tc>
          <w:tcPr>
            <w:tcW w:w="557" w:type="dxa"/>
            <w:tcBorders>
              <w:top w:val="nil"/>
              <w:left w:val="single" w:sz="4" w:space="0" w:color="auto"/>
              <w:bottom w:val="nil"/>
              <w:right w:val="nil"/>
            </w:tcBorders>
          </w:tcPr>
          <w:p w14:paraId="0C25B044"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8</w:t>
            </w:r>
          </w:p>
        </w:tc>
        <w:tc>
          <w:tcPr>
            <w:tcW w:w="8911" w:type="dxa"/>
            <w:tcBorders>
              <w:top w:val="nil"/>
              <w:left w:val="nil"/>
              <w:bottom w:val="nil"/>
              <w:right w:val="nil"/>
            </w:tcBorders>
          </w:tcPr>
          <w:p w14:paraId="1CE7DB13"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List all candidate variables initially examined or considered for inclusion in models. </w:t>
            </w:r>
          </w:p>
        </w:tc>
        <w:tc>
          <w:tcPr>
            <w:tcW w:w="875" w:type="dxa"/>
            <w:tcBorders>
              <w:top w:val="nil"/>
              <w:left w:val="single" w:sz="4" w:space="0" w:color="auto"/>
              <w:bottom w:val="nil"/>
              <w:right w:val="single" w:sz="4" w:space="0" w:color="auto"/>
            </w:tcBorders>
          </w:tcPr>
          <w:p w14:paraId="05CC2E7D"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 xml:space="preserve">Table 1, Figure 2 </w:t>
            </w:r>
          </w:p>
        </w:tc>
      </w:tr>
      <w:tr w:rsidR="009B2A61" w:rsidRPr="00751CBA" w14:paraId="7A372EF2" w14:textId="77777777" w:rsidTr="00812526">
        <w:tc>
          <w:tcPr>
            <w:tcW w:w="557" w:type="dxa"/>
            <w:tcBorders>
              <w:top w:val="nil"/>
              <w:left w:val="single" w:sz="4" w:space="0" w:color="auto"/>
              <w:bottom w:val="nil"/>
              <w:right w:val="nil"/>
            </w:tcBorders>
          </w:tcPr>
          <w:p w14:paraId="3DCF2327"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9</w:t>
            </w:r>
          </w:p>
        </w:tc>
        <w:tc>
          <w:tcPr>
            <w:tcW w:w="8911" w:type="dxa"/>
            <w:tcBorders>
              <w:top w:val="nil"/>
              <w:left w:val="nil"/>
              <w:bottom w:val="nil"/>
              <w:right w:val="nil"/>
            </w:tcBorders>
          </w:tcPr>
          <w:p w14:paraId="4E847033"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Give rationale for sample size; if the study was designed to detect a specified effect size, give the target </w:t>
            </w:r>
            <w:proofErr w:type="gramStart"/>
            <w:r w:rsidRPr="00751CBA">
              <w:rPr>
                <w:rFonts w:ascii="Arial" w:hAnsi="Arial" w:cs="Arial"/>
                <w:sz w:val="16"/>
                <w:szCs w:val="16"/>
              </w:rPr>
              <w:t>power</w:t>
            </w:r>
            <w:proofErr w:type="gramEnd"/>
            <w:r w:rsidRPr="00751CBA">
              <w:rPr>
                <w:rFonts w:ascii="Arial" w:hAnsi="Arial" w:cs="Arial"/>
                <w:sz w:val="16"/>
                <w:szCs w:val="16"/>
              </w:rPr>
              <w:t xml:space="preserve"> and effect size. </w:t>
            </w:r>
          </w:p>
        </w:tc>
        <w:tc>
          <w:tcPr>
            <w:tcW w:w="875" w:type="dxa"/>
            <w:tcBorders>
              <w:top w:val="nil"/>
              <w:left w:val="single" w:sz="4" w:space="0" w:color="auto"/>
              <w:bottom w:val="nil"/>
              <w:right w:val="single" w:sz="4" w:space="0" w:color="auto"/>
            </w:tcBorders>
          </w:tcPr>
          <w:p w14:paraId="49D136FC"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NA</w:t>
            </w:r>
          </w:p>
        </w:tc>
      </w:tr>
      <w:tr w:rsidR="009B2A61" w:rsidRPr="00751CBA" w14:paraId="52C3BAE0" w14:textId="77777777" w:rsidTr="00812526">
        <w:tc>
          <w:tcPr>
            <w:tcW w:w="9468" w:type="dxa"/>
            <w:gridSpan w:val="2"/>
            <w:tcBorders>
              <w:top w:val="nil"/>
              <w:left w:val="single" w:sz="4" w:space="0" w:color="auto"/>
              <w:bottom w:val="nil"/>
              <w:right w:val="single" w:sz="4" w:space="0" w:color="auto"/>
            </w:tcBorders>
            <w:shd w:val="clear" w:color="auto" w:fill="F2DBDB" w:themeFill="accent2" w:themeFillTint="33"/>
          </w:tcPr>
          <w:p w14:paraId="3210EC1B" w14:textId="77777777" w:rsidR="009B2A61" w:rsidRPr="00751CBA" w:rsidRDefault="009B2A61" w:rsidP="00812526">
            <w:pPr>
              <w:tabs>
                <w:tab w:val="decimal" w:pos="298"/>
              </w:tabs>
              <w:spacing w:before="40" w:after="20"/>
              <w:rPr>
                <w:rFonts w:ascii="Arial" w:hAnsi="Arial" w:cs="Arial"/>
                <w:i/>
                <w:iCs/>
                <w:sz w:val="16"/>
                <w:szCs w:val="16"/>
              </w:rPr>
            </w:pPr>
            <w:r w:rsidRPr="00751CBA">
              <w:rPr>
                <w:rFonts w:ascii="Arial" w:hAnsi="Arial" w:cs="Arial"/>
                <w:i/>
                <w:iCs/>
                <w:sz w:val="16"/>
                <w:szCs w:val="16"/>
              </w:rPr>
              <w:t>Statistical analysis methods</w:t>
            </w:r>
          </w:p>
        </w:tc>
        <w:tc>
          <w:tcPr>
            <w:tcW w:w="875" w:type="dxa"/>
            <w:tcBorders>
              <w:top w:val="nil"/>
              <w:left w:val="single" w:sz="4" w:space="0" w:color="auto"/>
              <w:bottom w:val="nil"/>
              <w:right w:val="single" w:sz="4" w:space="0" w:color="auto"/>
            </w:tcBorders>
            <w:shd w:val="clear" w:color="auto" w:fill="F2DBDB" w:themeFill="accent2" w:themeFillTint="33"/>
          </w:tcPr>
          <w:p w14:paraId="4E3E9AC1" w14:textId="77777777" w:rsidR="009B2A61" w:rsidRPr="0080384E" w:rsidRDefault="009B2A61" w:rsidP="00812526">
            <w:pPr>
              <w:tabs>
                <w:tab w:val="decimal" w:pos="298"/>
              </w:tabs>
              <w:spacing w:before="40" w:after="20"/>
              <w:rPr>
                <w:rFonts w:ascii="Arial" w:hAnsi="Arial" w:cs="Arial"/>
                <w:i/>
                <w:iCs/>
                <w:sz w:val="14"/>
                <w:szCs w:val="14"/>
              </w:rPr>
            </w:pPr>
          </w:p>
        </w:tc>
      </w:tr>
      <w:tr w:rsidR="009B2A61" w:rsidRPr="00751CBA" w14:paraId="4C21784B" w14:textId="77777777" w:rsidTr="00812526">
        <w:tc>
          <w:tcPr>
            <w:tcW w:w="557" w:type="dxa"/>
            <w:tcBorders>
              <w:top w:val="nil"/>
              <w:left w:val="single" w:sz="4" w:space="0" w:color="auto"/>
              <w:bottom w:val="nil"/>
              <w:right w:val="nil"/>
            </w:tcBorders>
          </w:tcPr>
          <w:p w14:paraId="39E4F845"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10</w:t>
            </w:r>
          </w:p>
        </w:tc>
        <w:tc>
          <w:tcPr>
            <w:tcW w:w="8911" w:type="dxa"/>
            <w:tcBorders>
              <w:top w:val="nil"/>
              <w:left w:val="nil"/>
              <w:bottom w:val="nil"/>
              <w:right w:val="nil"/>
            </w:tcBorders>
          </w:tcPr>
          <w:p w14:paraId="20154131"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Specify all statistical methods, including details of any variable selection procedures and other model-building issues, how model assumptions were verified, and how missing data were handled. </w:t>
            </w:r>
          </w:p>
        </w:tc>
        <w:tc>
          <w:tcPr>
            <w:tcW w:w="875" w:type="dxa"/>
            <w:tcBorders>
              <w:top w:val="nil"/>
              <w:left w:val="single" w:sz="4" w:space="0" w:color="auto"/>
              <w:bottom w:val="nil"/>
              <w:right w:val="single" w:sz="4" w:space="0" w:color="auto"/>
            </w:tcBorders>
          </w:tcPr>
          <w:p w14:paraId="6A72AB45" w14:textId="1AE3718C" w:rsidR="009B2A61" w:rsidRPr="0080384E" w:rsidRDefault="00CF5DF5" w:rsidP="00812526">
            <w:pPr>
              <w:tabs>
                <w:tab w:val="decimal" w:pos="298"/>
              </w:tabs>
              <w:spacing w:before="40" w:after="20"/>
              <w:rPr>
                <w:rFonts w:ascii="Arial" w:hAnsi="Arial" w:cs="Arial"/>
                <w:sz w:val="14"/>
                <w:szCs w:val="14"/>
              </w:rPr>
            </w:pPr>
            <w:r>
              <w:rPr>
                <w:rFonts w:ascii="Arial" w:hAnsi="Arial" w:cs="Arial"/>
                <w:sz w:val="14"/>
                <w:szCs w:val="14"/>
              </w:rPr>
              <w:t>3</w:t>
            </w:r>
          </w:p>
        </w:tc>
      </w:tr>
      <w:tr w:rsidR="009B2A61" w:rsidRPr="00751CBA" w14:paraId="545256FE" w14:textId="77777777" w:rsidTr="00812526">
        <w:tc>
          <w:tcPr>
            <w:tcW w:w="557" w:type="dxa"/>
            <w:tcBorders>
              <w:top w:val="nil"/>
              <w:left w:val="single" w:sz="4" w:space="0" w:color="auto"/>
              <w:bottom w:val="nil"/>
              <w:right w:val="nil"/>
            </w:tcBorders>
          </w:tcPr>
          <w:p w14:paraId="3B10A33F"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11</w:t>
            </w:r>
          </w:p>
        </w:tc>
        <w:tc>
          <w:tcPr>
            <w:tcW w:w="8911" w:type="dxa"/>
            <w:tcBorders>
              <w:top w:val="nil"/>
              <w:left w:val="nil"/>
              <w:bottom w:val="nil"/>
              <w:right w:val="nil"/>
            </w:tcBorders>
          </w:tcPr>
          <w:p w14:paraId="0853851A"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Clarify how marker values were handled in the analyses; if relevant, describe methods used for cut-point determination.</w:t>
            </w:r>
          </w:p>
        </w:tc>
        <w:tc>
          <w:tcPr>
            <w:tcW w:w="875" w:type="dxa"/>
            <w:tcBorders>
              <w:top w:val="nil"/>
              <w:left w:val="single" w:sz="4" w:space="0" w:color="auto"/>
              <w:bottom w:val="nil"/>
              <w:right w:val="single" w:sz="4" w:space="0" w:color="auto"/>
            </w:tcBorders>
          </w:tcPr>
          <w:p w14:paraId="0725E86D" w14:textId="4E808904" w:rsidR="009B2A61" w:rsidRPr="0080384E" w:rsidRDefault="00CF5DF5" w:rsidP="00812526">
            <w:pPr>
              <w:tabs>
                <w:tab w:val="decimal" w:pos="298"/>
              </w:tabs>
              <w:spacing w:before="40" w:after="20"/>
              <w:rPr>
                <w:rFonts w:ascii="Arial" w:hAnsi="Arial" w:cs="Arial"/>
                <w:sz w:val="14"/>
                <w:szCs w:val="14"/>
              </w:rPr>
            </w:pPr>
            <w:r>
              <w:rPr>
                <w:rFonts w:ascii="Arial" w:hAnsi="Arial" w:cs="Arial"/>
                <w:sz w:val="14"/>
                <w:szCs w:val="14"/>
              </w:rPr>
              <w:t>3</w:t>
            </w:r>
          </w:p>
        </w:tc>
      </w:tr>
      <w:tr w:rsidR="009B2A61" w:rsidRPr="00751CBA" w14:paraId="065568FE" w14:textId="77777777" w:rsidTr="00812526">
        <w:tc>
          <w:tcPr>
            <w:tcW w:w="9468" w:type="dxa"/>
            <w:gridSpan w:val="2"/>
            <w:tcBorders>
              <w:top w:val="nil"/>
              <w:left w:val="single" w:sz="4" w:space="0" w:color="auto"/>
              <w:bottom w:val="nil"/>
              <w:right w:val="single" w:sz="4" w:space="0" w:color="auto"/>
            </w:tcBorders>
            <w:shd w:val="clear" w:color="auto" w:fill="E5B8B7" w:themeFill="accent2" w:themeFillTint="66"/>
          </w:tcPr>
          <w:p w14:paraId="75E02D5B" w14:textId="77777777" w:rsidR="009B2A61" w:rsidRPr="00751CBA" w:rsidRDefault="009B2A61" w:rsidP="00812526">
            <w:pPr>
              <w:tabs>
                <w:tab w:val="decimal" w:pos="298"/>
              </w:tabs>
              <w:spacing w:before="40" w:after="20"/>
              <w:rPr>
                <w:rFonts w:ascii="Arial" w:hAnsi="Arial" w:cs="Arial"/>
                <w:b/>
                <w:bCs/>
                <w:sz w:val="16"/>
                <w:szCs w:val="16"/>
              </w:rPr>
            </w:pPr>
            <w:r w:rsidRPr="00751CBA">
              <w:rPr>
                <w:rFonts w:ascii="Arial" w:hAnsi="Arial" w:cs="Arial"/>
                <w:b/>
                <w:bCs/>
                <w:sz w:val="16"/>
                <w:szCs w:val="16"/>
              </w:rPr>
              <w:t>RESULTS</w:t>
            </w:r>
          </w:p>
        </w:tc>
        <w:tc>
          <w:tcPr>
            <w:tcW w:w="875" w:type="dxa"/>
            <w:tcBorders>
              <w:top w:val="nil"/>
              <w:left w:val="single" w:sz="4" w:space="0" w:color="auto"/>
              <w:bottom w:val="nil"/>
              <w:right w:val="single" w:sz="4" w:space="0" w:color="auto"/>
            </w:tcBorders>
            <w:shd w:val="clear" w:color="auto" w:fill="E5B8B7" w:themeFill="accent2" w:themeFillTint="66"/>
          </w:tcPr>
          <w:p w14:paraId="3438E928" w14:textId="77777777" w:rsidR="009B2A61" w:rsidRPr="0080384E" w:rsidRDefault="009B2A61" w:rsidP="00812526">
            <w:pPr>
              <w:tabs>
                <w:tab w:val="decimal" w:pos="298"/>
              </w:tabs>
              <w:spacing w:before="40" w:after="20"/>
              <w:rPr>
                <w:rFonts w:ascii="Arial" w:hAnsi="Arial" w:cs="Arial"/>
                <w:b/>
                <w:bCs/>
                <w:sz w:val="14"/>
                <w:szCs w:val="14"/>
              </w:rPr>
            </w:pPr>
          </w:p>
        </w:tc>
      </w:tr>
      <w:tr w:rsidR="009B2A61" w:rsidRPr="00751CBA" w14:paraId="0802AF4F" w14:textId="77777777" w:rsidTr="00812526">
        <w:tc>
          <w:tcPr>
            <w:tcW w:w="9468" w:type="dxa"/>
            <w:gridSpan w:val="2"/>
            <w:tcBorders>
              <w:top w:val="nil"/>
              <w:left w:val="single" w:sz="4" w:space="0" w:color="auto"/>
              <w:bottom w:val="nil"/>
              <w:right w:val="single" w:sz="4" w:space="0" w:color="auto"/>
            </w:tcBorders>
            <w:shd w:val="clear" w:color="auto" w:fill="F2DBDB" w:themeFill="accent2" w:themeFillTint="33"/>
          </w:tcPr>
          <w:p w14:paraId="15A99A5D" w14:textId="77777777" w:rsidR="009B2A61" w:rsidRPr="00751CBA" w:rsidRDefault="009B2A61" w:rsidP="00812526">
            <w:pPr>
              <w:tabs>
                <w:tab w:val="decimal" w:pos="298"/>
              </w:tabs>
              <w:spacing w:before="40" w:after="20"/>
              <w:rPr>
                <w:rFonts w:ascii="Arial" w:hAnsi="Arial" w:cs="Arial"/>
                <w:i/>
                <w:iCs/>
                <w:sz w:val="16"/>
                <w:szCs w:val="16"/>
              </w:rPr>
            </w:pPr>
            <w:r w:rsidRPr="00751CBA">
              <w:rPr>
                <w:rFonts w:ascii="Arial" w:hAnsi="Arial" w:cs="Arial"/>
                <w:i/>
                <w:iCs/>
                <w:sz w:val="16"/>
                <w:szCs w:val="16"/>
              </w:rPr>
              <w:t>Data</w:t>
            </w:r>
            <w:r w:rsidRPr="00751CBA">
              <w:rPr>
                <w:rFonts w:ascii="Arial" w:hAnsi="Arial" w:cs="Arial"/>
                <w:sz w:val="16"/>
                <w:szCs w:val="16"/>
              </w:rPr>
              <w:t xml:space="preserve"> </w:t>
            </w:r>
          </w:p>
        </w:tc>
        <w:tc>
          <w:tcPr>
            <w:tcW w:w="875" w:type="dxa"/>
            <w:tcBorders>
              <w:top w:val="nil"/>
              <w:left w:val="single" w:sz="4" w:space="0" w:color="auto"/>
              <w:bottom w:val="nil"/>
              <w:right w:val="single" w:sz="4" w:space="0" w:color="auto"/>
            </w:tcBorders>
            <w:shd w:val="clear" w:color="auto" w:fill="F2DBDB" w:themeFill="accent2" w:themeFillTint="33"/>
          </w:tcPr>
          <w:p w14:paraId="26939D35" w14:textId="77777777" w:rsidR="009B2A61" w:rsidRPr="0080384E" w:rsidRDefault="009B2A61" w:rsidP="00812526">
            <w:pPr>
              <w:tabs>
                <w:tab w:val="decimal" w:pos="298"/>
              </w:tabs>
              <w:spacing w:before="40" w:after="20"/>
              <w:rPr>
                <w:rFonts w:ascii="Arial" w:hAnsi="Arial" w:cs="Arial"/>
                <w:i/>
                <w:iCs/>
                <w:sz w:val="14"/>
                <w:szCs w:val="14"/>
              </w:rPr>
            </w:pPr>
          </w:p>
        </w:tc>
      </w:tr>
      <w:tr w:rsidR="009B2A61" w:rsidRPr="00751CBA" w14:paraId="667C0C30" w14:textId="77777777" w:rsidTr="00812526">
        <w:tc>
          <w:tcPr>
            <w:tcW w:w="557" w:type="dxa"/>
            <w:tcBorders>
              <w:top w:val="nil"/>
              <w:left w:val="single" w:sz="4" w:space="0" w:color="auto"/>
              <w:bottom w:val="nil"/>
              <w:right w:val="nil"/>
            </w:tcBorders>
          </w:tcPr>
          <w:p w14:paraId="6A0C0DE3"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12</w:t>
            </w:r>
          </w:p>
        </w:tc>
        <w:tc>
          <w:tcPr>
            <w:tcW w:w="8911" w:type="dxa"/>
            <w:tcBorders>
              <w:top w:val="nil"/>
              <w:left w:val="nil"/>
              <w:bottom w:val="nil"/>
              <w:right w:val="nil"/>
            </w:tcBorders>
          </w:tcPr>
          <w:p w14:paraId="6B7DB366"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Describe the flow of patients through the study, including the number of patients included in each stage of the analysis (a diagram may be helpful) and reasons for dropout. Specifically, both overall and for each subgroup extensively examined report the numbers of patients and the number of events.</w:t>
            </w:r>
          </w:p>
        </w:tc>
        <w:tc>
          <w:tcPr>
            <w:tcW w:w="875" w:type="dxa"/>
            <w:tcBorders>
              <w:top w:val="nil"/>
              <w:left w:val="single" w:sz="4" w:space="0" w:color="auto"/>
              <w:bottom w:val="nil"/>
              <w:right w:val="single" w:sz="4" w:space="0" w:color="auto"/>
            </w:tcBorders>
          </w:tcPr>
          <w:p w14:paraId="50584C83"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NA</w:t>
            </w:r>
          </w:p>
        </w:tc>
      </w:tr>
      <w:tr w:rsidR="009B2A61" w:rsidRPr="00751CBA" w14:paraId="4B92804D" w14:textId="77777777" w:rsidTr="00812526">
        <w:tc>
          <w:tcPr>
            <w:tcW w:w="557" w:type="dxa"/>
            <w:tcBorders>
              <w:top w:val="nil"/>
              <w:left w:val="single" w:sz="4" w:space="0" w:color="auto"/>
              <w:bottom w:val="nil"/>
              <w:right w:val="nil"/>
            </w:tcBorders>
          </w:tcPr>
          <w:p w14:paraId="3FEC7C08"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13</w:t>
            </w:r>
          </w:p>
        </w:tc>
        <w:tc>
          <w:tcPr>
            <w:tcW w:w="8911" w:type="dxa"/>
            <w:tcBorders>
              <w:top w:val="nil"/>
              <w:left w:val="nil"/>
              <w:bottom w:val="nil"/>
              <w:right w:val="nil"/>
            </w:tcBorders>
          </w:tcPr>
          <w:p w14:paraId="6E5F1CA4"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Report distributions of basic demographic characteristics (at least age and sex), standard (disease-specific) prognostic variables, and tumor marker, including numbers of missing values. </w:t>
            </w:r>
          </w:p>
        </w:tc>
        <w:tc>
          <w:tcPr>
            <w:tcW w:w="875" w:type="dxa"/>
            <w:tcBorders>
              <w:top w:val="nil"/>
              <w:left w:val="single" w:sz="4" w:space="0" w:color="auto"/>
              <w:bottom w:val="nil"/>
              <w:right w:val="single" w:sz="4" w:space="0" w:color="auto"/>
            </w:tcBorders>
          </w:tcPr>
          <w:p w14:paraId="51DAA255"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Table 1</w:t>
            </w:r>
          </w:p>
        </w:tc>
      </w:tr>
      <w:tr w:rsidR="009B2A61" w:rsidRPr="00751CBA" w14:paraId="6DC2595E" w14:textId="77777777" w:rsidTr="00812526">
        <w:tc>
          <w:tcPr>
            <w:tcW w:w="9468" w:type="dxa"/>
            <w:gridSpan w:val="2"/>
            <w:tcBorders>
              <w:top w:val="nil"/>
              <w:left w:val="single" w:sz="4" w:space="0" w:color="auto"/>
              <w:bottom w:val="nil"/>
              <w:right w:val="single" w:sz="4" w:space="0" w:color="auto"/>
            </w:tcBorders>
            <w:shd w:val="clear" w:color="auto" w:fill="F2DBDB" w:themeFill="accent2" w:themeFillTint="33"/>
          </w:tcPr>
          <w:p w14:paraId="4E50F99E" w14:textId="77777777" w:rsidR="009B2A61" w:rsidRPr="00751CBA" w:rsidRDefault="009B2A61" w:rsidP="00812526">
            <w:pPr>
              <w:tabs>
                <w:tab w:val="decimal" w:pos="298"/>
              </w:tabs>
              <w:spacing w:before="40" w:after="20"/>
              <w:rPr>
                <w:rFonts w:ascii="Arial" w:hAnsi="Arial" w:cs="Arial"/>
                <w:i/>
                <w:iCs/>
                <w:sz w:val="16"/>
                <w:szCs w:val="16"/>
              </w:rPr>
            </w:pPr>
            <w:r w:rsidRPr="00751CBA">
              <w:rPr>
                <w:rFonts w:ascii="Arial" w:hAnsi="Arial" w:cs="Arial"/>
                <w:i/>
                <w:iCs/>
                <w:sz w:val="16"/>
                <w:szCs w:val="16"/>
              </w:rPr>
              <w:t xml:space="preserve">Analysis and presentation </w:t>
            </w:r>
          </w:p>
        </w:tc>
        <w:tc>
          <w:tcPr>
            <w:tcW w:w="875" w:type="dxa"/>
            <w:tcBorders>
              <w:top w:val="nil"/>
              <w:left w:val="single" w:sz="4" w:space="0" w:color="auto"/>
              <w:bottom w:val="nil"/>
              <w:right w:val="single" w:sz="4" w:space="0" w:color="auto"/>
            </w:tcBorders>
            <w:shd w:val="clear" w:color="auto" w:fill="F2DBDB" w:themeFill="accent2" w:themeFillTint="33"/>
          </w:tcPr>
          <w:p w14:paraId="1384EE9B" w14:textId="77777777" w:rsidR="009B2A61" w:rsidRPr="0080384E" w:rsidRDefault="009B2A61" w:rsidP="00812526">
            <w:pPr>
              <w:tabs>
                <w:tab w:val="decimal" w:pos="298"/>
              </w:tabs>
              <w:spacing w:before="40" w:after="20"/>
              <w:rPr>
                <w:rFonts w:ascii="Arial" w:hAnsi="Arial" w:cs="Arial"/>
                <w:i/>
                <w:iCs/>
                <w:sz w:val="14"/>
                <w:szCs w:val="14"/>
              </w:rPr>
            </w:pPr>
          </w:p>
        </w:tc>
      </w:tr>
      <w:tr w:rsidR="009B2A61" w:rsidRPr="00751CBA" w14:paraId="7CBF1E64" w14:textId="77777777" w:rsidTr="00812526">
        <w:tc>
          <w:tcPr>
            <w:tcW w:w="557" w:type="dxa"/>
            <w:tcBorders>
              <w:top w:val="nil"/>
              <w:left w:val="single" w:sz="4" w:space="0" w:color="auto"/>
              <w:bottom w:val="nil"/>
              <w:right w:val="nil"/>
            </w:tcBorders>
          </w:tcPr>
          <w:p w14:paraId="53EB59AB"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14</w:t>
            </w:r>
          </w:p>
        </w:tc>
        <w:tc>
          <w:tcPr>
            <w:tcW w:w="8911" w:type="dxa"/>
            <w:tcBorders>
              <w:top w:val="nil"/>
              <w:left w:val="nil"/>
              <w:bottom w:val="nil"/>
              <w:right w:val="nil"/>
            </w:tcBorders>
          </w:tcPr>
          <w:p w14:paraId="06DBCBF8"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Show the relation of the marker to standard prognostic variables.</w:t>
            </w:r>
          </w:p>
        </w:tc>
        <w:tc>
          <w:tcPr>
            <w:tcW w:w="875" w:type="dxa"/>
            <w:tcBorders>
              <w:top w:val="nil"/>
              <w:left w:val="single" w:sz="4" w:space="0" w:color="auto"/>
              <w:bottom w:val="nil"/>
              <w:right w:val="single" w:sz="4" w:space="0" w:color="auto"/>
            </w:tcBorders>
          </w:tcPr>
          <w:p w14:paraId="392C8A36" w14:textId="5B3AA9FC" w:rsidR="009B2A61" w:rsidRPr="0080384E" w:rsidRDefault="00CF5DF5" w:rsidP="00CF5DF5">
            <w:pPr>
              <w:tabs>
                <w:tab w:val="decimal" w:pos="298"/>
              </w:tabs>
              <w:spacing w:before="40" w:after="20"/>
              <w:rPr>
                <w:rFonts w:ascii="Arial" w:hAnsi="Arial" w:cs="Arial"/>
                <w:sz w:val="14"/>
                <w:szCs w:val="14"/>
              </w:rPr>
            </w:pPr>
            <w:r>
              <w:rPr>
                <w:rFonts w:ascii="Arial" w:hAnsi="Arial" w:cs="Arial"/>
                <w:sz w:val="14"/>
                <w:szCs w:val="14"/>
              </w:rPr>
              <w:t>Figures 2, 5, 6</w:t>
            </w:r>
          </w:p>
        </w:tc>
      </w:tr>
      <w:tr w:rsidR="009B2A61" w:rsidRPr="00751CBA" w14:paraId="42021817" w14:textId="77777777" w:rsidTr="00812526">
        <w:tc>
          <w:tcPr>
            <w:tcW w:w="557" w:type="dxa"/>
            <w:tcBorders>
              <w:top w:val="nil"/>
              <w:left w:val="single" w:sz="4" w:space="0" w:color="auto"/>
              <w:bottom w:val="nil"/>
              <w:right w:val="nil"/>
            </w:tcBorders>
          </w:tcPr>
          <w:p w14:paraId="4AFDEE4B"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15</w:t>
            </w:r>
          </w:p>
        </w:tc>
        <w:tc>
          <w:tcPr>
            <w:tcW w:w="8911" w:type="dxa"/>
            <w:tcBorders>
              <w:top w:val="nil"/>
              <w:left w:val="nil"/>
              <w:bottom w:val="nil"/>
              <w:right w:val="nil"/>
            </w:tcBorders>
          </w:tcPr>
          <w:p w14:paraId="0AAB98C7"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Present univariable analyses showing the relation between the marker and outcome, with the estimated effect (e.g., hazard ratio and survival probability). Preferably provide similar analyses for all other variables being analyzed. For the effect of a tumor marker on a time-to-event outcome, a Kaplan-Meier plot is recommended. </w:t>
            </w:r>
          </w:p>
        </w:tc>
        <w:tc>
          <w:tcPr>
            <w:tcW w:w="875" w:type="dxa"/>
            <w:tcBorders>
              <w:top w:val="nil"/>
              <w:left w:val="single" w:sz="4" w:space="0" w:color="auto"/>
              <w:bottom w:val="nil"/>
              <w:right w:val="single" w:sz="4" w:space="0" w:color="auto"/>
            </w:tcBorders>
          </w:tcPr>
          <w:p w14:paraId="7410C27D" w14:textId="68CE0B9E"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Figure</w:t>
            </w:r>
            <w:r w:rsidR="00CF5DF5">
              <w:rPr>
                <w:rFonts w:ascii="Arial" w:hAnsi="Arial" w:cs="Arial"/>
                <w:sz w:val="14"/>
                <w:szCs w:val="14"/>
              </w:rPr>
              <w:t>s 2, 3</w:t>
            </w:r>
          </w:p>
        </w:tc>
      </w:tr>
      <w:tr w:rsidR="009B2A61" w:rsidRPr="00751CBA" w14:paraId="719517B0" w14:textId="77777777" w:rsidTr="00812526">
        <w:tc>
          <w:tcPr>
            <w:tcW w:w="557" w:type="dxa"/>
            <w:tcBorders>
              <w:top w:val="nil"/>
              <w:left w:val="single" w:sz="4" w:space="0" w:color="auto"/>
              <w:bottom w:val="nil"/>
              <w:right w:val="nil"/>
            </w:tcBorders>
          </w:tcPr>
          <w:p w14:paraId="65630CBC"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16</w:t>
            </w:r>
          </w:p>
        </w:tc>
        <w:tc>
          <w:tcPr>
            <w:tcW w:w="8911" w:type="dxa"/>
            <w:tcBorders>
              <w:top w:val="nil"/>
              <w:left w:val="nil"/>
              <w:bottom w:val="nil"/>
              <w:right w:val="nil"/>
            </w:tcBorders>
          </w:tcPr>
          <w:p w14:paraId="23EC7518"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For key multivariable analyses, report estimated effects (e.g., hazard ratio) with confidence intervals for the marker and, at least for the final model, all other variables in the model. </w:t>
            </w:r>
          </w:p>
        </w:tc>
        <w:tc>
          <w:tcPr>
            <w:tcW w:w="875" w:type="dxa"/>
            <w:tcBorders>
              <w:top w:val="nil"/>
              <w:left w:val="single" w:sz="4" w:space="0" w:color="auto"/>
              <w:bottom w:val="nil"/>
              <w:right w:val="single" w:sz="4" w:space="0" w:color="auto"/>
            </w:tcBorders>
          </w:tcPr>
          <w:p w14:paraId="4154E9AB"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Figure 2</w:t>
            </w:r>
          </w:p>
        </w:tc>
      </w:tr>
      <w:tr w:rsidR="009B2A61" w:rsidRPr="00751CBA" w14:paraId="2F9F3E81" w14:textId="77777777" w:rsidTr="00812526">
        <w:tc>
          <w:tcPr>
            <w:tcW w:w="557" w:type="dxa"/>
            <w:tcBorders>
              <w:top w:val="nil"/>
              <w:left w:val="single" w:sz="4" w:space="0" w:color="auto"/>
              <w:bottom w:val="nil"/>
              <w:right w:val="nil"/>
            </w:tcBorders>
          </w:tcPr>
          <w:p w14:paraId="7FBAC195"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17</w:t>
            </w:r>
          </w:p>
        </w:tc>
        <w:tc>
          <w:tcPr>
            <w:tcW w:w="8911" w:type="dxa"/>
            <w:tcBorders>
              <w:top w:val="nil"/>
              <w:left w:val="nil"/>
              <w:bottom w:val="nil"/>
              <w:right w:val="nil"/>
            </w:tcBorders>
          </w:tcPr>
          <w:p w14:paraId="3AA15AB4"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Among reported results, provide estimated effects with confidence intervals from an analysis in which the marker and standard prognostic variables are included, regardless of their statistical significance. </w:t>
            </w:r>
          </w:p>
        </w:tc>
        <w:tc>
          <w:tcPr>
            <w:tcW w:w="875" w:type="dxa"/>
            <w:tcBorders>
              <w:top w:val="nil"/>
              <w:left w:val="single" w:sz="4" w:space="0" w:color="auto"/>
              <w:bottom w:val="nil"/>
              <w:right w:val="single" w:sz="4" w:space="0" w:color="auto"/>
            </w:tcBorders>
          </w:tcPr>
          <w:p w14:paraId="5B2182AE"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NA</w:t>
            </w:r>
          </w:p>
        </w:tc>
      </w:tr>
      <w:tr w:rsidR="009B2A61" w:rsidRPr="00751CBA" w14:paraId="44C0BDE2" w14:textId="77777777" w:rsidTr="00812526">
        <w:tc>
          <w:tcPr>
            <w:tcW w:w="557" w:type="dxa"/>
            <w:tcBorders>
              <w:top w:val="nil"/>
              <w:left w:val="single" w:sz="4" w:space="0" w:color="auto"/>
              <w:bottom w:val="nil"/>
              <w:right w:val="nil"/>
            </w:tcBorders>
          </w:tcPr>
          <w:p w14:paraId="0B2DA6EB"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18</w:t>
            </w:r>
          </w:p>
        </w:tc>
        <w:tc>
          <w:tcPr>
            <w:tcW w:w="8911" w:type="dxa"/>
            <w:tcBorders>
              <w:top w:val="nil"/>
              <w:left w:val="nil"/>
              <w:bottom w:val="nil"/>
              <w:right w:val="nil"/>
            </w:tcBorders>
          </w:tcPr>
          <w:p w14:paraId="716946DB"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If done, report results of further investigations, such as checking assumptions, sensitivity analyses, and internal validation.</w:t>
            </w:r>
          </w:p>
        </w:tc>
        <w:tc>
          <w:tcPr>
            <w:tcW w:w="875" w:type="dxa"/>
            <w:tcBorders>
              <w:top w:val="nil"/>
              <w:left w:val="single" w:sz="4" w:space="0" w:color="auto"/>
              <w:bottom w:val="nil"/>
              <w:right w:val="single" w:sz="4" w:space="0" w:color="auto"/>
            </w:tcBorders>
          </w:tcPr>
          <w:p w14:paraId="6ED03651" w14:textId="77777777" w:rsidR="009B2A61" w:rsidRPr="0080384E" w:rsidRDefault="009B2A61" w:rsidP="00812526">
            <w:pPr>
              <w:tabs>
                <w:tab w:val="decimal" w:pos="298"/>
              </w:tabs>
              <w:spacing w:before="40" w:after="20"/>
              <w:rPr>
                <w:rFonts w:ascii="Arial" w:hAnsi="Arial" w:cs="Arial"/>
                <w:sz w:val="14"/>
                <w:szCs w:val="14"/>
              </w:rPr>
            </w:pPr>
            <w:r>
              <w:rPr>
                <w:rFonts w:ascii="Arial" w:hAnsi="Arial" w:cs="Arial"/>
                <w:sz w:val="14"/>
                <w:szCs w:val="14"/>
              </w:rPr>
              <w:t>NA</w:t>
            </w:r>
          </w:p>
        </w:tc>
      </w:tr>
      <w:tr w:rsidR="009B2A61" w:rsidRPr="00751CBA" w14:paraId="32488B80" w14:textId="77777777" w:rsidTr="00812526">
        <w:tc>
          <w:tcPr>
            <w:tcW w:w="9468" w:type="dxa"/>
            <w:gridSpan w:val="2"/>
            <w:tcBorders>
              <w:top w:val="nil"/>
              <w:left w:val="single" w:sz="4" w:space="0" w:color="auto"/>
              <w:bottom w:val="nil"/>
              <w:right w:val="single" w:sz="4" w:space="0" w:color="auto"/>
            </w:tcBorders>
            <w:shd w:val="clear" w:color="auto" w:fill="E5B8B7" w:themeFill="accent2" w:themeFillTint="66"/>
          </w:tcPr>
          <w:p w14:paraId="314155B4" w14:textId="77777777" w:rsidR="009B2A61" w:rsidRPr="00751CBA" w:rsidRDefault="009B2A61" w:rsidP="00812526">
            <w:pPr>
              <w:tabs>
                <w:tab w:val="decimal" w:pos="298"/>
              </w:tabs>
              <w:spacing w:before="40" w:after="20"/>
              <w:rPr>
                <w:rFonts w:ascii="Arial" w:hAnsi="Arial" w:cs="Arial"/>
                <w:b/>
                <w:bCs/>
                <w:sz w:val="16"/>
                <w:szCs w:val="16"/>
              </w:rPr>
            </w:pPr>
            <w:r w:rsidRPr="00751CBA">
              <w:rPr>
                <w:rFonts w:ascii="Arial" w:hAnsi="Arial" w:cs="Arial"/>
                <w:b/>
                <w:bCs/>
                <w:sz w:val="16"/>
                <w:szCs w:val="16"/>
              </w:rPr>
              <w:t>DISCUSSION</w:t>
            </w:r>
          </w:p>
        </w:tc>
        <w:tc>
          <w:tcPr>
            <w:tcW w:w="875" w:type="dxa"/>
            <w:tcBorders>
              <w:top w:val="nil"/>
              <w:left w:val="single" w:sz="4" w:space="0" w:color="auto"/>
              <w:bottom w:val="nil"/>
              <w:right w:val="single" w:sz="4" w:space="0" w:color="auto"/>
            </w:tcBorders>
            <w:shd w:val="clear" w:color="auto" w:fill="E5B8B7" w:themeFill="accent2" w:themeFillTint="66"/>
          </w:tcPr>
          <w:p w14:paraId="3281A29F" w14:textId="77777777" w:rsidR="009B2A61" w:rsidRPr="0080384E" w:rsidRDefault="009B2A61" w:rsidP="00812526">
            <w:pPr>
              <w:tabs>
                <w:tab w:val="decimal" w:pos="298"/>
              </w:tabs>
              <w:spacing w:before="40" w:after="20"/>
              <w:rPr>
                <w:rFonts w:ascii="Arial" w:hAnsi="Arial" w:cs="Arial"/>
                <w:b/>
                <w:bCs/>
                <w:sz w:val="14"/>
                <w:szCs w:val="14"/>
              </w:rPr>
            </w:pPr>
          </w:p>
        </w:tc>
      </w:tr>
      <w:tr w:rsidR="009B2A61" w:rsidRPr="00751CBA" w14:paraId="6505B89C" w14:textId="77777777" w:rsidTr="00812526">
        <w:tc>
          <w:tcPr>
            <w:tcW w:w="557" w:type="dxa"/>
            <w:tcBorders>
              <w:top w:val="nil"/>
              <w:left w:val="single" w:sz="4" w:space="0" w:color="auto"/>
              <w:bottom w:val="nil"/>
              <w:right w:val="nil"/>
            </w:tcBorders>
          </w:tcPr>
          <w:p w14:paraId="241C69E5"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19</w:t>
            </w:r>
          </w:p>
        </w:tc>
        <w:tc>
          <w:tcPr>
            <w:tcW w:w="8911" w:type="dxa"/>
            <w:tcBorders>
              <w:top w:val="nil"/>
              <w:left w:val="nil"/>
              <w:bottom w:val="nil"/>
              <w:right w:val="nil"/>
            </w:tcBorders>
          </w:tcPr>
          <w:p w14:paraId="7117391A"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Interpret the results in the context of the pre-specified hypotheses and other relevant studies; include a discussion of limitations of the study.</w:t>
            </w:r>
          </w:p>
        </w:tc>
        <w:tc>
          <w:tcPr>
            <w:tcW w:w="875" w:type="dxa"/>
            <w:tcBorders>
              <w:top w:val="nil"/>
              <w:left w:val="single" w:sz="4" w:space="0" w:color="auto"/>
              <w:bottom w:val="nil"/>
              <w:right w:val="single" w:sz="4" w:space="0" w:color="auto"/>
            </w:tcBorders>
          </w:tcPr>
          <w:p w14:paraId="22F67C27" w14:textId="41B08421" w:rsidR="009B2A61" w:rsidRPr="0080384E" w:rsidRDefault="00CF5DF5" w:rsidP="00812526">
            <w:pPr>
              <w:tabs>
                <w:tab w:val="decimal" w:pos="298"/>
              </w:tabs>
              <w:spacing w:before="40" w:after="20"/>
              <w:rPr>
                <w:rFonts w:ascii="Arial" w:hAnsi="Arial" w:cs="Arial"/>
                <w:sz w:val="14"/>
                <w:szCs w:val="14"/>
              </w:rPr>
            </w:pPr>
            <w:r>
              <w:rPr>
                <w:rFonts w:ascii="Arial" w:hAnsi="Arial" w:cs="Arial"/>
                <w:sz w:val="14"/>
                <w:szCs w:val="14"/>
              </w:rPr>
              <w:t>5-</w:t>
            </w:r>
            <w:r w:rsidR="00C617E7">
              <w:rPr>
                <w:rFonts w:ascii="Arial" w:hAnsi="Arial" w:cs="Arial"/>
                <w:sz w:val="14"/>
                <w:szCs w:val="14"/>
              </w:rPr>
              <w:t>8</w:t>
            </w:r>
          </w:p>
        </w:tc>
      </w:tr>
      <w:tr w:rsidR="009B2A61" w:rsidRPr="00751CBA" w14:paraId="7D7AA9C2" w14:textId="77777777" w:rsidTr="00812526">
        <w:tc>
          <w:tcPr>
            <w:tcW w:w="557" w:type="dxa"/>
            <w:tcBorders>
              <w:top w:val="nil"/>
              <w:left w:val="single" w:sz="4" w:space="0" w:color="auto"/>
              <w:bottom w:val="single" w:sz="4" w:space="0" w:color="auto"/>
              <w:right w:val="nil"/>
            </w:tcBorders>
          </w:tcPr>
          <w:p w14:paraId="27882DB6" w14:textId="77777777" w:rsidR="009B2A61" w:rsidRPr="00751CBA" w:rsidRDefault="009B2A61" w:rsidP="00812526">
            <w:pPr>
              <w:tabs>
                <w:tab w:val="decimal" w:pos="298"/>
              </w:tabs>
              <w:spacing w:before="40" w:after="20"/>
              <w:rPr>
                <w:rFonts w:ascii="Arial" w:hAnsi="Arial" w:cs="Arial"/>
                <w:sz w:val="16"/>
                <w:szCs w:val="16"/>
              </w:rPr>
            </w:pPr>
            <w:r w:rsidRPr="00751CBA">
              <w:rPr>
                <w:rFonts w:ascii="Arial" w:hAnsi="Arial" w:cs="Arial"/>
                <w:sz w:val="16"/>
                <w:szCs w:val="16"/>
              </w:rPr>
              <w:t>20</w:t>
            </w:r>
          </w:p>
        </w:tc>
        <w:tc>
          <w:tcPr>
            <w:tcW w:w="8911" w:type="dxa"/>
            <w:tcBorders>
              <w:top w:val="nil"/>
              <w:left w:val="nil"/>
              <w:bottom w:val="single" w:sz="4" w:space="0" w:color="auto"/>
              <w:right w:val="nil"/>
            </w:tcBorders>
          </w:tcPr>
          <w:p w14:paraId="2E4E6E51" w14:textId="77777777" w:rsidR="009B2A61" w:rsidRPr="00751CBA" w:rsidRDefault="009B2A61" w:rsidP="00812526">
            <w:pPr>
              <w:spacing w:before="40" w:after="20"/>
              <w:rPr>
                <w:rFonts w:ascii="Arial" w:hAnsi="Arial" w:cs="Arial"/>
                <w:sz w:val="16"/>
                <w:szCs w:val="16"/>
              </w:rPr>
            </w:pPr>
            <w:r w:rsidRPr="00751CBA">
              <w:rPr>
                <w:rFonts w:ascii="Arial" w:hAnsi="Arial" w:cs="Arial"/>
                <w:sz w:val="16"/>
                <w:szCs w:val="16"/>
              </w:rPr>
              <w:t xml:space="preserve">Discuss implications for future research and clinical value. </w:t>
            </w:r>
          </w:p>
        </w:tc>
        <w:tc>
          <w:tcPr>
            <w:tcW w:w="875" w:type="dxa"/>
            <w:tcBorders>
              <w:top w:val="nil"/>
              <w:left w:val="single" w:sz="4" w:space="0" w:color="auto"/>
              <w:bottom w:val="single" w:sz="4" w:space="0" w:color="auto"/>
              <w:right w:val="single" w:sz="4" w:space="0" w:color="auto"/>
            </w:tcBorders>
          </w:tcPr>
          <w:p w14:paraId="11EAF30B" w14:textId="741C0D58" w:rsidR="009B2A61" w:rsidRPr="0080384E" w:rsidRDefault="00C617E7" w:rsidP="00812526">
            <w:pPr>
              <w:tabs>
                <w:tab w:val="decimal" w:pos="298"/>
              </w:tabs>
              <w:spacing w:before="40" w:after="20"/>
              <w:rPr>
                <w:rFonts w:ascii="Arial" w:hAnsi="Arial" w:cs="Arial"/>
                <w:sz w:val="14"/>
                <w:szCs w:val="14"/>
              </w:rPr>
            </w:pPr>
            <w:r>
              <w:rPr>
                <w:rFonts w:ascii="Arial" w:hAnsi="Arial" w:cs="Arial"/>
                <w:sz w:val="14"/>
                <w:szCs w:val="14"/>
              </w:rPr>
              <w:t>8</w:t>
            </w:r>
          </w:p>
        </w:tc>
      </w:tr>
    </w:tbl>
    <w:p w14:paraId="65CF8397" w14:textId="77777777" w:rsidR="009B2A61" w:rsidRDefault="009B2A61" w:rsidP="009B2A61">
      <w:pPr>
        <w:jc w:val="both"/>
        <w:rPr>
          <w:rFonts w:ascii="Arial" w:hAnsi="Arial" w:cs="Arial"/>
          <w:b/>
          <w:bCs/>
        </w:rPr>
      </w:pPr>
    </w:p>
    <w:p w14:paraId="64F82B78" w14:textId="77777777" w:rsidR="009B2A61" w:rsidRPr="006E2A72" w:rsidRDefault="009B2A61" w:rsidP="009B2A61">
      <w:pPr>
        <w:spacing w:after="0" w:line="360" w:lineRule="auto"/>
        <w:jc w:val="both"/>
        <w:rPr>
          <w:rFonts w:cs="Times New Roman"/>
          <w:szCs w:val="24"/>
        </w:rPr>
      </w:pPr>
    </w:p>
    <w:p w14:paraId="72B2EE06" w14:textId="77777777" w:rsidR="009B2A61" w:rsidRPr="001549D3" w:rsidRDefault="009B2A61" w:rsidP="00654E8F">
      <w:pPr>
        <w:spacing w:before="240"/>
      </w:pPr>
    </w:p>
    <w:sectPr w:rsidR="009B2A61"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D1736" w14:textId="77777777" w:rsidR="00256F39" w:rsidRDefault="00256F39" w:rsidP="00117666">
      <w:pPr>
        <w:spacing w:after="0"/>
      </w:pPr>
      <w:r>
        <w:separator/>
      </w:r>
    </w:p>
  </w:endnote>
  <w:endnote w:type="continuationSeparator" w:id="0">
    <w:p w14:paraId="75D04F60" w14:textId="77777777" w:rsidR="00256F39" w:rsidRDefault="00256F3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65A3F" w14:textId="77777777" w:rsidR="00256F39" w:rsidRDefault="00256F39" w:rsidP="00117666">
      <w:pPr>
        <w:spacing w:after="0"/>
      </w:pPr>
      <w:r>
        <w:separator/>
      </w:r>
    </w:p>
  </w:footnote>
  <w:footnote w:type="continuationSeparator" w:id="0">
    <w:p w14:paraId="4BD5FCDF" w14:textId="77777777" w:rsidR="00256F39" w:rsidRDefault="00256F3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Overskrift1"/>
      <w:lvlText w:val="%1"/>
      <w:lvlJc w:val="left"/>
      <w:pPr>
        <w:tabs>
          <w:tab w:val="num" w:pos="567"/>
        </w:tabs>
        <w:ind w:left="567" w:hanging="567"/>
      </w:pPr>
      <w:rPr>
        <w:rFonts w:hint="default"/>
      </w:rPr>
    </w:lvl>
    <w:lvl w:ilvl="1">
      <w:start w:val="1"/>
      <w:numFmt w:val="decimal"/>
      <w:pStyle w:val="Overskrift2"/>
      <w:lvlText w:val="%1.%2"/>
      <w:lvlJc w:val="left"/>
      <w:pPr>
        <w:tabs>
          <w:tab w:val="num" w:pos="567"/>
        </w:tabs>
        <w:ind w:left="567" w:hanging="567"/>
      </w:pPr>
      <w:rPr>
        <w:rFonts w:hint="default"/>
      </w:rPr>
    </w:lvl>
    <w:lvl w:ilvl="2">
      <w:start w:val="1"/>
      <w:numFmt w:val="decimal"/>
      <w:pStyle w:val="Overskrift3"/>
      <w:lvlText w:val="%1.%2.%3"/>
      <w:lvlJc w:val="left"/>
      <w:pPr>
        <w:tabs>
          <w:tab w:val="num" w:pos="567"/>
        </w:tabs>
        <w:ind w:left="567" w:hanging="567"/>
      </w:pPr>
      <w:rPr>
        <w:rFonts w:hint="default"/>
      </w:rPr>
    </w:lvl>
    <w:lvl w:ilvl="3">
      <w:start w:val="1"/>
      <w:numFmt w:val="decimal"/>
      <w:pStyle w:val="Overskrift4"/>
      <w:lvlText w:val="%1.%2.%3.%4"/>
      <w:lvlJc w:val="left"/>
      <w:pPr>
        <w:tabs>
          <w:tab w:val="num" w:pos="567"/>
        </w:tabs>
        <w:ind w:left="567" w:hanging="567"/>
      </w:pPr>
      <w:rPr>
        <w:rFonts w:hint="default"/>
      </w:rPr>
    </w:lvl>
    <w:lvl w:ilvl="4">
      <w:start w:val="1"/>
      <w:numFmt w:val="decimal"/>
      <w:pStyle w:val="Oversk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afsni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1D72BB"/>
    <w:rsid w:val="00256F39"/>
    <w:rsid w:val="00267D18"/>
    <w:rsid w:val="002868E2"/>
    <w:rsid w:val="002869C3"/>
    <w:rsid w:val="002936E4"/>
    <w:rsid w:val="002B4A57"/>
    <w:rsid w:val="002C74CA"/>
    <w:rsid w:val="00311CA4"/>
    <w:rsid w:val="003544FB"/>
    <w:rsid w:val="003D2F2D"/>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77CA2"/>
    <w:rsid w:val="00790BB3"/>
    <w:rsid w:val="007C206C"/>
    <w:rsid w:val="00803D24"/>
    <w:rsid w:val="00817DD6"/>
    <w:rsid w:val="00885156"/>
    <w:rsid w:val="009151AA"/>
    <w:rsid w:val="0093429D"/>
    <w:rsid w:val="00943573"/>
    <w:rsid w:val="00970F7D"/>
    <w:rsid w:val="00994A3D"/>
    <w:rsid w:val="009B2A61"/>
    <w:rsid w:val="009C2B12"/>
    <w:rsid w:val="009C70F3"/>
    <w:rsid w:val="00A174D9"/>
    <w:rsid w:val="00A569CD"/>
    <w:rsid w:val="00AB6715"/>
    <w:rsid w:val="00B1671E"/>
    <w:rsid w:val="00B25EB8"/>
    <w:rsid w:val="00B354E1"/>
    <w:rsid w:val="00B37F4D"/>
    <w:rsid w:val="00C52A7B"/>
    <w:rsid w:val="00C56BAF"/>
    <w:rsid w:val="00C617E7"/>
    <w:rsid w:val="00C679AA"/>
    <w:rsid w:val="00C75972"/>
    <w:rsid w:val="00CC0A3A"/>
    <w:rsid w:val="00CD066B"/>
    <w:rsid w:val="00CE4FEE"/>
    <w:rsid w:val="00CF5DF5"/>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Overskrift1">
    <w:name w:val="heading 1"/>
    <w:basedOn w:val="Listeafsnit"/>
    <w:next w:val="Normal"/>
    <w:link w:val="Overskrift1Tegn"/>
    <w:uiPriority w:val="2"/>
    <w:qFormat/>
    <w:rsid w:val="00AB6715"/>
    <w:pPr>
      <w:numPr>
        <w:numId w:val="19"/>
      </w:numPr>
      <w:spacing w:before="240"/>
      <w:contextualSpacing w:val="0"/>
      <w:outlineLvl w:val="0"/>
    </w:pPr>
    <w:rPr>
      <w:b/>
    </w:rPr>
  </w:style>
  <w:style w:type="paragraph" w:styleId="Overskrift2">
    <w:name w:val="heading 2"/>
    <w:basedOn w:val="Overskrift1"/>
    <w:next w:val="Normal"/>
    <w:link w:val="Overskrift2Tegn"/>
    <w:uiPriority w:val="2"/>
    <w:qFormat/>
    <w:rsid w:val="00AB6715"/>
    <w:pPr>
      <w:numPr>
        <w:ilvl w:val="1"/>
      </w:numPr>
      <w:spacing w:after="200"/>
      <w:outlineLvl w:val="1"/>
    </w:pPr>
  </w:style>
  <w:style w:type="paragraph" w:styleId="Overskrift3">
    <w:name w:val="heading 3"/>
    <w:basedOn w:val="Normal"/>
    <w:next w:val="Normal"/>
    <w:link w:val="Overskrift3Teg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Overskrift4">
    <w:name w:val="heading 4"/>
    <w:basedOn w:val="Overskrift3"/>
    <w:next w:val="Normal"/>
    <w:link w:val="Overskrift4Tegn"/>
    <w:uiPriority w:val="2"/>
    <w:qFormat/>
    <w:rsid w:val="00AB6715"/>
    <w:pPr>
      <w:numPr>
        <w:ilvl w:val="3"/>
      </w:numPr>
      <w:outlineLvl w:val="3"/>
    </w:pPr>
    <w:rPr>
      <w:iCs/>
    </w:rPr>
  </w:style>
  <w:style w:type="paragraph" w:styleId="Overskrift5">
    <w:name w:val="heading 5"/>
    <w:basedOn w:val="Overskrift4"/>
    <w:next w:val="Normal"/>
    <w:link w:val="Overskrift5Tegn"/>
    <w:uiPriority w:val="2"/>
    <w:qFormat/>
    <w:rsid w:val="00AB6715"/>
    <w:pPr>
      <w:numPr>
        <w:ilvl w:val="4"/>
      </w:numP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2"/>
    <w:rsid w:val="00AB6715"/>
    <w:rPr>
      <w:rFonts w:ascii="Times New Roman" w:eastAsia="Cambria" w:hAnsi="Times New Roman" w:cs="Times New Roman"/>
      <w:b/>
      <w:sz w:val="24"/>
      <w:szCs w:val="24"/>
    </w:rPr>
  </w:style>
  <w:style w:type="character" w:customStyle="1" w:styleId="Overskrift2Tegn">
    <w:name w:val="Overskrift 2 Tegn"/>
    <w:basedOn w:val="Standardskrifttypeiafsnit"/>
    <w:link w:val="Overskrift2"/>
    <w:uiPriority w:val="2"/>
    <w:rsid w:val="00AB6715"/>
    <w:rPr>
      <w:rFonts w:ascii="Times New Roman" w:eastAsia="Cambria" w:hAnsi="Times New Roman" w:cs="Times New Roman"/>
      <w:b/>
      <w:sz w:val="24"/>
      <w:szCs w:val="24"/>
    </w:rPr>
  </w:style>
  <w:style w:type="paragraph" w:styleId="Undertitel">
    <w:name w:val="Subtitle"/>
    <w:basedOn w:val="Normal"/>
    <w:next w:val="Normal"/>
    <w:link w:val="UndertitelTegn"/>
    <w:uiPriority w:val="99"/>
    <w:unhideWhenUsed/>
    <w:qFormat/>
    <w:rsid w:val="00AB6715"/>
    <w:pPr>
      <w:spacing w:before="240"/>
    </w:pPr>
    <w:rPr>
      <w:rFonts w:cs="Times New Roman"/>
      <w:b/>
      <w:szCs w:val="24"/>
    </w:rPr>
  </w:style>
  <w:style w:type="character" w:customStyle="1" w:styleId="UndertitelTegn">
    <w:name w:val="Undertitel Tegn"/>
    <w:basedOn w:val="Standardskrifttypeiafsnit"/>
    <w:link w:val="Und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dertitel"/>
    <w:next w:val="Normal"/>
    <w:uiPriority w:val="1"/>
    <w:qFormat/>
    <w:rsid w:val="00AB6715"/>
  </w:style>
  <w:style w:type="paragraph" w:styleId="Markeringsbobletekst">
    <w:name w:val="Balloon Text"/>
    <w:basedOn w:val="Normal"/>
    <w:link w:val="MarkeringsbobletekstTegn"/>
    <w:uiPriority w:val="99"/>
    <w:semiHidden/>
    <w:unhideWhenUsed/>
    <w:rsid w:val="00AB6715"/>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B6715"/>
    <w:rPr>
      <w:rFonts w:ascii="Tahoma" w:hAnsi="Tahoma" w:cs="Tahoma"/>
      <w:sz w:val="16"/>
      <w:szCs w:val="16"/>
    </w:rPr>
  </w:style>
  <w:style w:type="character" w:styleId="Bogenstitel">
    <w:name w:val="Book Title"/>
    <w:basedOn w:val="Standardskrifttypeiafsnit"/>
    <w:uiPriority w:val="33"/>
    <w:qFormat/>
    <w:rsid w:val="00AB6715"/>
    <w:rPr>
      <w:rFonts w:ascii="Times New Roman" w:hAnsi="Times New Roman"/>
      <w:b/>
      <w:bCs/>
      <w:i/>
      <w:iCs/>
      <w:spacing w:val="5"/>
    </w:rPr>
  </w:style>
  <w:style w:type="paragraph" w:styleId="Billedtekst">
    <w:name w:val="caption"/>
    <w:basedOn w:val="Normal"/>
    <w:next w:val="Ingenafstand"/>
    <w:uiPriority w:val="35"/>
    <w:unhideWhenUsed/>
    <w:qFormat/>
    <w:rsid w:val="00AB6715"/>
    <w:pPr>
      <w:keepNext/>
    </w:pPr>
    <w:rPr>
      <w:rFonts w:cs="Times New Roman"/>
      <w:b/>
      <w:bCs/>
      <w:szCs w:val="24"/>
    </w:rPr>
  </w:style>
  <w:style w:type="paragraph" w:styleId="Ingenafstand">
    <w:name w:val="No Spacing"/>
    <w:uiPriority w:val="99"/>
    <w:unhideWhenUsed/>
    <w:qFormat/>
    <w:rsid w:val="00AB6715"/>
    <w:pPr>
      <w:spacing w:after="0" w:line="240" w:lineRule="auto"/>
    </w:pPr>
    <w:rPr>
      <w:rFonts w:ascii="Times New Roman" w:hAnsi="Times New Roman"/>
      <w:sz w:val="24"/>
    </w:rPr>
  </w:style>
  <w:style w:type="character" w:styleId="Kommentarhenvisning">
    <w:name w:val="annotation reference"/>
    <w:basedOn w:val="Standardskrifttypeiafsnit"/>
    <w:uiPriority w:val="99"/>
    <w:semiHidden/>
    <w:unhideWhenUsed/>
    <w:rsid w:val="00AB6715"/>
    <w:rPr>
      <w:sz w:val="16"/>
      <w:szCs w:val="16"/>
    </w:rPr>
  </w:style>
  <w:style w:type="paragraph" w:styleId="Kommentartekst">
    <w:name w:val="annotation text"/>
    <w:basedOn w:val="Normal"/>
    <w:link w:val="KommentartekstTegn"/>
    <w:uiPriority w:val="99"/>
    <w:semiHidden/>
    <w:unhideWhenUsed/>
    <w:rsid w:val="00AB6715"/>
    <w:rPr>
      <w:sz w:val="20"/>
      <w:szCs w:val="20"/>
    </w:rPr>
  </w:style>
  <w:style w:type="character" w:customStyle="1" w:styleId="KommentartekstTegn">
    <w:name w:val="Kommentartekst Tegn"/>
    <w:basedOn w:val="Standardskrifttypeiafsnit"/>
    <w:link w:val="Kommentartekst"/>
    <w:uiPriority w:val="99"/>
    <w:semiHidden/>
    <w:rsid w:val="00AB6715"/>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AB6715"/>
    <w:rPr>
      <w:b/>
      <w:bCs/>
    </w:rPr>
  </w:style>
  <w:style w:type="character" w:customStyle="1" w:styleId="KommentaremneTegn">
    <w:name w:val="Kommentaremne Tegn"/>
    <w:basedOn w:val="KommentartekstTegn"/>
    <w:link w:val="Kommentaremne"/>
    <w:uiPriority w:val="99"/>
    <w:semiHidden/>
    <w:rsid w:val="00AB6715"/>
    <w:rPr>
      <w:rFonts w:ascii="Times New Roman" w:hAnsi="Times New Roman"/>
      <w:b/>
      <w:bCs/>
      <w:sz w:val="20"/>
      <w:szCs w:val="20"/>
    </w:rPr>
  </w:style>
  <w:style w:type="character" w:styleId="Fremhv">
    <w:name w:val="Emphasis"/>
    <w:basedOn w:val="Standardskrifttypeiafsnit"/>
    <w:uiPriority w:val="20"/>
    <w:qFormat/>
    <w:rsid w:val="00AB6715"/>
    <w:rPr>
      <w:rFonts w:ascii="Times New Roman" w:hAnsi="Times New Roman"/>
      <w:i/>
      <w:iCs/>
    </w:rPr>
  </w:style>
  <w:style w:type="character" w:styleId="Slutnotehenvisning">
    <w:name w:val="endnote reference"/>
    <w:basedOn w:val="Standardskrifttypeiafsnit"/>
    <w:uiPriority w:val="99"/>
    <w:semiHidden/>
    <w:unhideWhenUsed/>
    <w:rsid w:val="00AB6715"/>
    <w:rPr>
      <w:vertAlign w:val="superscript"/>
    </w:rPr>
  </w:style>
  <w:style w:type="paragraph" w:styleId="Slutnotetekst">
    <w:name w:val="endnote text"/>
    <w:basedOn w:val="Normal"/>
    <w:link w:val="SlutnotetekstTegn"/>
    <w:uiPriority w:val="99"/>
    <w:semiHidden/>
    <w:unhideWhenUsed/>
    <w:rsid w:val="00AB6715"/>
    <w:pPr>
      <w:spacing w:after="0"/>
    </w:pPr>
    <w:rPr>
      <w:sz w:val="20"/>
      <w:szCs w:val="20"/>
    </w:rPr>
  </w:style>
  <w:style w:type="character" w:customStyle="1" w:styleId="SlutnotetekstTegn">
    <w:name w:val="Slutnotetekst Tegn"/>
    <w:basedOn w:val="Standardskrifttypeiafsnit"/>
    <w:link w:val="Slutnotetekst"/>
    <w:uiPriority w:val="99"/>
    <w:semiHidden/>
    <w:rsid w:val="00AB6715"/>
    <w:rPr>
      <w:rFonts w:ascii="Times New Roman" w:hAnsi="Times New Roman"/>
      <w:sz w:val="20"/>
      <w:szCs w:val="20"/>
    </w:rPr>
  </w:style>
  <w:style w:type="character" w:styleId="BesgtLink">
    <w:name w:val="FollowedHyperlink"/>
    <w:basedOn w:val="Standardskrifttypeiafsnit"/>
    <w:uiPriority w:val="99"/>
    <w:semiHidden/>
    <w:unhideWhenUsed/>
    <w:rsid w:val="00AB6715"/>
    <w:rPr>
      <w:color w:val="800080" w:themeColor="followedHyperlink"/>
      <w:u w:val="single"/>
    </w:rPr>
  </w:style>
  <w:style w:type="paragraph" w:styleId="Sidefod">
    <w:name w:val="footer"/>
    <w:basedOn w:val="Normal"/>
    <w:link w:val="SidefodTegn"/>
    <w:uiPriority w:val="99"/>
    <w:unhideWhenUsed/>
    <w:rsid w:val="00AB6715"/>
    <w:pPr>
      <w:tabs>
        <w:tab w:val="center" w:pos="4844"/>
        <w:tab w:val="right" w:pos="9689"/>
      </w:tabs>
      <w:spacing w:after="0"/>
    </w:pPr>
  </w:style>
  <w:style w:type="character" w:customStyle="1" w:styleId="SidefodTegn">
    <w:name w:val="Sidefod Tegn"/>
    <w:basedOn w:val="Standardskrifttypeiafsnit"/>
    <w:link w:val="Sidefod"/>
    <w:uiPriority w:val="99"/>
    <w:rsid w:val="00AB6715"/>
    <w:rPr>
      <w:rFonts w:ascii="Times New Roman" w:hAnsi="Times New Roman"/>
      <w:sz w:val="24"/>
    </w:rPr>
  </w:style>
  <w:style w:type="character" w:styleId="Fodnotehenvisning">
    <w:name w:val="footnote reference"/>
    <w:basedOn w:val="Standardskrifttypeiafsnit"/>
    <w:uiPriority w:val="99"/>
    <w:semiHidden/>
    <w:unhideWhenUsed/>
    <w:rsid w:val="00AB6715"/>
    <w:rPr>
      <w:vertAlign w:val="superscript"/>
    </w:rPr>
  </w:style>
  <w:style w:type="paragraph" w:styleId="Fodnotetekst">
    <w:name w:val="footnote text"/>
    <w:basedOn w:val="Normal"/>
    <w:link w:val="FodnotetekstTegn"/>
    <w:uiPriority w:val="99"/>
    <w:semiHidden/>
    <w:unhideWhenUsed/>
    <w:rsid w:val="00AB6715"/>
    <w:pPr>
      <w:spacing w:after="0"/>
    </w:pPr>
    <w:rPr>
      <w:sz w:val="20"/>
      <w:szCs w:val="20"/>
    </w:rPr>
  </w:style>
  <w:style w:type="character" w:customStyle="1" w:styleId="FodnotetekstTegn">
    <w:name w:val="Fodnotetekst Tegn"/>
    <w:basedOn w:val="Standardskrifttypeiafsnit"/>
    <w:link w:val="Fodnotetekst"/>
    <w:uiPriority w:val="99"/>
    <w:semiHidden/>
    <w:rsid w:val="00AB6715"/>
    <w:rPr>
      <w:rFonts w:ascii="Times New Roman" w:hAnsi="Times New Roman"/>
      <w:sz w:val="20"/>
      <w:szCs w:val="20"/>
    </w:rPr>
  </w:style>
  <w:style w:type="paragraph" w:styleId="Sidehoved">
    <w:name w:val="header"/>
    <w:basedOn w:val="Normal"/>
    <w:link w:val="SidehovedTegn"/>
    <w:uiPriority w:val="99"/>
    <w:unhideWhenUsed/>
    <w:rsid w:val="00AB6715"/>
    <w:pPr>
      <w:tabs>
        <w:tab w:val="center" w:pos="4844"/>
        <w:tab w:val="right" w:pos="9689"/>
      </w:tabs>
    </w:pPr>
    <w:rPr>
      <w:b/>
    </w:rPr>
  </w:style>
  <w:style w:type="character" w:customStyle="1" w:styleId="SidehovedTegn">
    <w:name w:val="Sidehoved Tegn"/>
    <w:basedOn w:val="Standardskrifttypeiafsnit"/>
    <w:link w:val="Sidehoved"/>
    <w:uiPriority w:val="99"/>
    <w:rsid w:val="00AB6715"/>
    <w:rPr>
      <w:rFonts w:ascii="Times New Roman" w:hAnsi="Times New Roman"/>
      <w:b/>
      <w:sz w:val="24"/>
    </w:rPr>
  </w:style>
  <w:style w:type="paragraph" w:styleId="Listeafsnit">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Standardskrifttypeiafsnit"/>
    <w:uiPriority w:val="99"/>
    <w:unhideWhenUsed/>
    <w:rsid w:val="00AB6715"/>
    <w:rPr>
      <w:color w:val="0000FF"/>
      <w:u w:val="single"/>
    </w:rPr>
  </w:style>
  <w:style w:type="character" w:styleId="Kraftigfremhvning">
    <w:name w:val="Intense Emphasis"/>
    <w:basedOn w:val="Standardskrifttypeiafsnit"/>
    <w:uiPriority w:val="21"/>
    <w:unhideWhenUsed/>
    <w:rsid w:val="00AB6715"/>
    <w:rPr>
      <w:rFonts w:ascii="Times New Roman" w:hAnsi="Times New Roman"/>
      <w:i/>
      <w:iCs/>
      <w:color w:val="auto"/>
    </w:rPr>
  </w:style>
  <w:style w:type="character" w:styleId="Kraftighenvisning">
    <w:name w:val="Intense Reference"/>
    <w:basedOn w:val="Standardskrifttypeiafsnit"/>
    <w:uiPriority w:val="32"/>
    <w:qFormat/>
    <w:rsid w:val="00AB6715"/>
    <w:rPr>
      <w:b/>
      <w:bCs/>
      <w:smallCaps/>
      <w:color w:val="auto"/>
      <w:spacing w:val="5"/>
    </w:rPr>
  </w:style>
  <w:style w:type="character" w:styleId="Linjenummer">
    <w:name w:val="line number"/>
    <w:basedOn w:val="Standardskrifttypeiafsnit"/>
    <w:uiPriority w:val="99"/>
    <w:semiHidden/>
    <w:unhideWhenUsed/>
    <w:rsid w:val="00AB6715"/>
  </w:style>
  <w:style w:type="character" w:customStyle="1" w:styleId="Overskrift3Tegn">
    <w:name w:val="Overskrift 3 Tegn"/>
    <w:basedOn w:val="Standardskrifttypeiafsnit"/>
    <w:link w:val="Overskrift3"/>
    <w:uiPriority w:val="2"/>
    <w:rsid w:val="00AB6715"/>
    <w:rPr>
      <w:rFonts w:ascii="Times New Roman" w:eastAsiaTheme="majorEastAsia" w:hAnsi="Times New Roman" w:cstheme="majorBidi"/>
      <w:b/>
      <w:sz w:val="24"/>
      <w:szCs w:val="24"/>
    </w:rPr>
  </w:style>
  <w:style w:type="character" w:customStyle="1" w:styleId="Overskrift4Tegn">
    <w:name w:val="Overskrift 4 Tegn"/>
    <w:basedOn w:val="Standardskrifttypeiafsnit"/>
    <w:link w:val="Overskrift4"/>
    <w:uiPriority w:val="2"/>
    <w:rsid w:val="00AB6715"/>
    <w:rPr>
      <w:rFonts w:ascii="Times New Roman" w:eastAsiaTheme="majorEastAsia" w:hAnsi="Times New Roman" w:cstheme="majorBidi"/>
      <w:b/>
      <w:iCs/>
      <w:sz w:val="24"/>
      <w:szCs w:val="24"/>
    </w:rPr>
  </w:style>
  <w:style w:type="character" w:customStyle="1" w:styleId="Overskrift5Tegn">
    <w:name w:val="Overskrift 5 Tegn"/>
    <w:basedOn w:val="Standardskrifttypeiafsnit"/>
    <w:link w:val="Overskrift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
    <w:name w:val="Quote"/>
    <w:basedOn w:val="Normal"/>
    <w:next w:val="Normal"/>
    <w:link w:val="CitatTegn"/>
    <w:uiPriority w:val="29"/>
    <w:qFormat/>
    <w:rsid w:val="00AB6715"/>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AB6715"/>
    <w:rPr>
      <w:rFonts w:ascii="Times New Roman" w:hAnsi="Times New Roman"/>
      <w:i/>
      <w:iCs/>
      <w:color w:val="404040" w:themeColor="text1" w:themeTint="BF"/>
      <w:sz w:val="24"/>
    </w:rPr>
  </w:style>
  <w:style w:type="character" w:styleId="Strk">
    <w:name w:val="Strong"/>
    <w:basedOn w:val="Standardskrifttypeiafsnit"/>
    <w:uiPriority w:val="22"/>
    <w:qFormat/>
    <w:rsid w:val="00AB6715"/>
    <w:rPr>
      <w:rFonts w:ascii="Times New Roman" w:hAnsi="Times New Roman"/>
      <w:b/>
      <w:bCs/>
    </w:rPr>
  </w:style>
  <w:style w:type="character" w:styleId="Svagfremhvning">
    <w:name w:val="Subtle Emphasis"/>
    <w:basedOn w:val="Standardskrifttypeiafsnit"/>
    <w:uiPriority w:val="19"/>
    <w:qFormat/>
    <w:rsid w:val="00AB6715"/>
    <w:rPr>
      <w:rFonts w:ascii="Times New Roman" w:hAnsi="Times New Roman"/>
      <w:i/>
      <w:iCs/>
      <w:color w:val="404040" w:themeColor="text1" w:themeTint="BF"/>
    </w:rPr>
  </w:style>
  <w:style w:type="table" w:styleId="Tabel-Gitter">
    <w:name w:val="Table Grid"/>
    <w:basedOn w:val="Tabel-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qFormat/>
    <w:rsid w:val="00AB6715"/>
    <w:pPr>
      <w:suppressLineNumbers/>
      <w:spacing w:before="240" w:after="360"/>
      <w:jc w:val="center"/>
    </w:pPr>
    <w:rPr>
      <w:rFonts w:cs="Times New Roman"/>
      <w:b/>
      <w:sz w:val="32"/>
      <w:szCs w:val="32"/>
    </w:rPr>
  </w:style>
  <w:style w:type="character" w:customStyle="1" w:styleId="TitelTegn">
    <w:name w:val="Titel Tegn"/>
    <w:basedOn w:val="Standardskrifttypeiafsni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Korrektur">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5</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Astrid Zedlitz Johansen</cp:lastModifiedBy>
  <cp:revision>3</cp:revision>
  <cp:lastPrinted>2013-10-03T12:51:00Z</cp:lastPrinted>
  <dcterms:created xsi:type="dcterms:W3CDTF">2023-08-29T12:45:00Z</dcterms:created>
  <dcterms:modified xsi:type="dcterms:W3CDTF">2023-08-29T14:01:00Z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