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3710" w14:textId="77777777" w:rsidR="002F7BF9" w:rsidRPr="009A0017" w:rsidRDefault="002F7BF9" w:rsidP="009828E8">
      <w:pPr>
        <w:rPr>
          <w:rFonts w:ascii="Arial" w:hAnsi="Arial" w:cs="Arial"/>
          <w:color w:val="000000" w:themeColor="text1"/>
        </w:rPr>
      </w:pPr>
    </w:p>
    <w:p w14:paraId="2D420942" w14:textId="2AFBE06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>Figure S1. Additional calcium imaging traces</w:t>
      </w:r>
      <w:r w:rsidR="00EE052A">
        <w:rPr>
          <w:rFonts w:ascii="Arial" w:hAnsi="Arial" w:cs="Arial"/>
          <w:b/>
          <w:bCs/>
          <w:color w:val="000000" w:themeColor="text1"/>
          <w:lang w:val="en-US"/>
        </w:rPr>
        <w:t>.</w:t>
      </w:r>
    </w:p>
    <w:p w14:paraId="5969FF84" w14:textId="181AFA69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(A-B)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Sample calcium traces of AVA/AVE neurons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(A) </w:t>
      </w:r>
      <w:r w:rsidRPr="009A0017">
        <w:rPr>
          <w:rFonts w:ascii="Arial" w:hAnsi="Arial" w:cs="Arial"/>
          <w:color w:val="000000" w:themeColor="text1"/>
          <w:lang w:val="en-US"/>
        </w:rPr>
        <w:t>and RIM neurons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 (B)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in freely-moving animals. Calcium imaging was conducted with freely moving animals using the CARIBN system. Upper panels are calcium ratio traces. Lower panels are the velocity traces. </w:t>
      </w:r>
      <w:r w:rsidR="004E26BE" w:rsidRPr="009A0017">
        <w:rPr>
          <w:rFonts w:ascii="Arial" w:hAnsi="Arial" w:cs="Arial"/>
          <w:color w:val="000000" w:themeColor="text1"/>
          <w:lang w:val="en-US"/>
        </w:rPr>
        <w:t>Blue</w:t>
      </w:r>
      <w:r w:rsidRPr="009A0017">
        <w:rPr>
          <w:rFonts w:ascii="Arial" w:hAnsi="Arial" w:cs="Arial"/>
          <w:color w:val="000000" w:themeColor="text1"/>
          <w:lang w:val="en-US"/>
        </w:rPr>
        <w:t xml:space="preserve"> bars labeled reversal events. Most of the calcium spikes in AVA/AVE and RIM neurons are tightly coupled with reversals. The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>nmr-1</w:t>
      </w:r>
      <w:r w:rsidRPr="009A0017">
        <w:rPr>
          <w:rFonts w:ascii="Arial" w:hAnsi="Arial" w:cs="Arial"/>
          <w:color w:val="000000" w:themeColor="text1"/>
          <w:lang w:val="en-US"/>
        </w:rPr>
        <w:t xml:space="preserve"> promoter was used to express GCaMP3 transgene in AVA and AVE neurons, and the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>cex-1</w:t>
      </w:r>
      <w:r w:rsidRPr="009A0017">
        <w:rPr>
          <w:rFonts w:ascii="Arial" w:hAnsi="Arial" w:cs="Arial"/>
          <w:color w:val="000000" w:themeColor="text1"/>
          <w:lang w:val="en-US"/>
        </w:rPr>
        <w:t xml:space="preserve"> promoter was used to express GCaMP6f transgene in RIM neurons.  </w:t>
      </w:r>
    </w:p>
    <w:p w14:paraId="08325460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>Figure S2.</w:t>
      </w:r>
      <w:r w:rsidRPr="009A0017">
        <w:rPr>
          <w:rFonts w:ascii="Arial" w:hAnsi="Arial" w:cs="Arial"/>
          <w:color w:val="000000" w:themeColor="text1"/>
          <w:lang w:val="en-US"/>
        </w:rPr>
        <w:t xml:space="preserve">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Expression pattern of </w:t>
      </w:r>
      <w:r w:rsidRPr="009A0017">
        <w:rPr>
          <w:rFonts w:ascii="Arial" w:hAnsi="Arial" w:cs="Arial"/>
          <w:b/>
          <w:bCs/>
          <w:i/>
          <w:iCs/>
          <w:color w:val="000000" w:themeColor="text1"/>
          <w:lang w:val="en-US"/>
        </w:rPr>
        <w:t>inx-1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>.</w:t>
      </w:r>
      <w:r w:rsidRPr="009A0017">
        <w:rPr>
          <w:rFonts w:ascii="Arial" w:hAnsi="Arial" w:cs="Arial"/>
          <w:b/>
          <w:bCs/>
          <w:color w:val="000000" w:themeColor="text1"/>
        </w:rPr>
        <w:t xml:space="preserve">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Pnmr-1::mcherry </w:t>
      </w:r>
      <w:r w:rsidRPr="009A0017">
        <w:rPr>
          <w:rFonts w:ascii="Arial" w:hAnsi="Arial" w:cs="Arial"/>
          <w:color w:val="000000" w:themeColor="text1"/>
          <w:lang w:val="en-US"/>
        </w:rPr>
        <w:t xml:space="preserve">transgene labels the interneurons AVA, AVD, AVE and RIM in the head region.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Pinx-1::gfp </w:t>
      </w:r>
      <w:r w:rsidRPr="009A0017">
        <w:rPr>
          <w:rFonts w:ascii="Arial" w:hAnsi="Arial" w:cs="Arial"/>
          <w:color w:val="000000" w:themeColor="text1"/>
          <w:lang w:val="en-US"/>
        </w:rPr>
        <w:t xml:space="preserve">labels all of these neurons and other head neurons.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>Pinx-1</w:t>
      </w:r>
      <w:r w:rsidRPr="009A0017">
        <w:rPr>
          <w:rFonts w:ascii="Arial" w:hAnsi="Arial" w:cs="Arial"/>
          <w:color w:val="000000" w:themeColor="text1"/>
          <w:lang w:val="en-US"/>
        </w:rPr>
        <w:t>: a 3.2 kb promoter including 70bp coding region.</w:t>
      </w:r>
    </w:p>
    <w:p w14:paraId="2AC9D510" w14:textId="77777777" w:rsidR="002F7BF9" w:rsidRPr="009A0017" w:rsidRDefault="002F7BF9" w:rsidP="009828E8">
      <w:pPr>
        <w:rPr>
          <w:rFonts w:ascii="Arial" w:hAnsi="Arial" w:cs="Arial"/>
          <w:color w:val="000000" w:themeColor="text1"/>
        </w:rPr>
      </w:pPr>
    </w:p>
    <w:p w14:paraId="5214F5D9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>Figure S3.</w:t>
      </w:r>
      <w:r w:rsidRPr="009A0017">
        <w:rPr>
          <w:rFonts w:ascii="Arial" w:hAnsi="Arial" w:cs="Arial"/>
          <w:color w:val="000000" w:themeColor="text1"/>
          <w:lang w:val="en-US"/>
        </w:rPr>
        <w:t xml:space="preserve">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Activation of AVA neurons using optogenetics triggers reversals in </w:t>
      </w:r>
      <w:r w:rsidRPr="009A0017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unc-7;inx-1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>double mutant.</w:t>
      </w:r>
    </w:p>
    <w:p w14:paraId="09286CDD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(A)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Reversals can still be triggered by AVA::Chrimson transgene in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unc-7;inx-1 </w:t>
      </w:r>
      <w:r w:rsidRPr="009A0017">
        <w:rPr>
          <w:rFonts w:ascii="Arial" w:hAnsi="Arial" w:cs="Arial"/>
          <w:color w:val="000000" w:themeColor="text1"/>
          <w:lang w:val="en-US"/>
        </w:rPr>
        <w:t xml:space="preserve">mutants. Average traces. Bar in amber labels light stimulation segment. ATR: all-trans-retinal. </w:t>
      </w:r>
    </w:p>
    <w:p w14:paraId="6EE50464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(B)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Bar graph shows reversal index quantification from (A). Error bars: SEM. n≥5. **p=5.525e-05 (ANOVA with Tukey’s HSD test). </w:t>
      </w:r>
    </w:p>
    <w:p w14:paraId="262C38E7" w14:textId="77777777" w:rsidR="002F7BF9" w:rsidRPr="009A0017" w:rsidRDefault="002F7BF9" w:rsidP="009828E8">
      <w:pPr>
        <w:rPr>
          <w:rFonts w:ascii="Arial" w:hAnsi="Arial" w:cs="Arial"/>
          <w:color w:val="000000" w:themeColor="text1"/>
        </w:rPr>
      </w:pPr>
    </w:p>
    <w:p w14:paraId="63B925E1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>Figure S4.</w:t>
      </w:r>
      <w:r w:rsidRPr="009A0017">
        <w:rPr>
          <w:rFonts w:ascii="Arial" w:hAnsi="Arial" w:cs="Arial"/>
          <w:color w:val="000000" w:themeColor="text1"/>
          <w:lang w:val="en-US"/>
        </w:rPr>
        <w:t xml:space="preserve">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RIM suppresses reversal through AVA/AVE and A-type motor neurons and </w:t>
      </w:r>
      <w:r w:rsidRPr="009A0017">
        <w:rPr>
          <w:rFonts w:ascii="Arial" w:hAnsi="Arial" w:cs="Arial"/>
          <w:b/>
          <w:bCs/>
          <w:i/>
          <w:iCs/>
          <w:color w:val="000000" w:themeColor="text1"/>
          <w:lang w:val="en-US"/>
        </w:rPr>
        <w:t>avr-14</w:t>
      </w:r>
      <w:r w:rsidRPr="009A0017">
        <w:rPr>
          <w:rFonts w:ascii="Arial" w:hAnsi="Arial" w:cs="Arial"/>
          <w:color w:val="000000" w:themeColor="text1"/>
          <w:lang w:val="en-US"/>
        </w:rPr>
        <w:t>.</w:t>
      </w:r>
    </w:p>
    <w:p w14:paraId="50EF274B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(A) </w:t>
      </w:r>
      <w:r w:rsidRPr="009A0017">
        <w:rPr>
          <w:rFonts w:ascii="Arial" w:hAnsi="Arial" w:cs="Arial"/>
          <w:color w:val="000000" w:themeColor="text1"/>
          <w:lang w:val="en-US"/>
        </w:rPr>
        <w:t>Ablation of the AIB and AIZ neurons does not the hyper-reversal phenotype in RIM-ablated worms. Bar graph shows quantification of reversal frequency. Error bars: SEM. n≥8. **p=1.252e-05 between control and RIM-, **p=0.002314 between control and AIB-AIZ-, *p=0.005383 between RIM- and AIB-AIZ-RIM-, **p=1.255e-05 (ANOVA with Tukey’s HSD test) between AIB-AIZ- and AIB-AIZ-RIM-.</w:t>
      </w:r>
    </w:p>
    <w:p w14:paraId="01C33A12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(B) </w:t>
      </w:r>
      <w:r w:rsidRPr="009A0017">
        <w:rPr>
          <w:rFonts w:ascii="Arial" w:hAnsi="Arial" w:cs="Arial"/>
          <w:color w:val="000000" w:themeColor="text1"/>
          <w:lang w:val="en-US"/>
        </w:rPr>
        <w:t>Ablation of the AVA and AVE neurons largely suppresses the hyper-reversal phenotype in RIM-ablated worms. Bar graph shows quantification of reversal frequency. Error bars: SEM. n≥7. **p= 1.267e-05 between control and AVA/AVE-, **p= 1.126e-05 between control and RIM-, p= 0.1046 (ANOVA with Tukey’s HSD test) between AVA/AVE- and AVA/AVE-;RIM-.</w:t>
      </w:r>
    </w:p>
    <w:p w14:paraId="39978581" w14:textId="35184F0C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(C) </w:t>
      </w:r>
      <w:r w:rsidRPr="009A0017">
        <w:rPr>
          <w:rFonts w:ascii="Arial" w:hAnsi="Arial" w:cs="Arial"/>
          <w:color w:val="000000" w:themeColor="text1"/>
          <w:lang w:val="en-US"/>
        </w:rPr>
        <w:t>Blocking the chemical transmission of A-type motor neurons</w:t>
      </w:r>
      <w:r w:rsidR="009A0017" w:rsidRPr="009A0017">
        <w:rPr>
          <w:rFonts w:ascii="Arial" w:hAnsi="Arial" w:cs="Arial"/>
          <w:color w:val="000000" w:themeColor="text1"/>
          <w:lang w:val="en-US"/>
        </w:rPr>
        <w:t xml:space="preserve"> </w:t>
      </w:r>
      <w:r w:rsidR="009A0017" w:rsidRPr="009A0017">
        <w:rPr>
          <w:rFonts w:ascii="Arial" w:hAnsi="Arial" w:cs="Arial"/>
          <w:color w:val="FF0000"/>
          <w:lang w:val="en-US"/>
        </w:rPr>
        <w:t>(DA/VA)</w:t>
      </w:r>
      <w:r w:rsidRPr="009A0017">
        <w:rPr>
          <w:rFonts w:ascii="Arial" w:hAnsi="Arial" w:cs="Arial"/>
          <w:color w:val="000000" w:themeColor="text1"/>
          <w:lang w:val="en-US"/>
        </w:rPr>
        <w:t xml:space="preserve"> using TeTx also suppresses the hyper-reversal phenotype in RIM-ablated worms. Bar graph shows quantification of reversal frequency. Error bars: SEM. n≥6. **p= 0.0005398 between control and DA/VA::Tetx, **p= 1.838e-05 between control and RIM-, p= 0.7303 (ANOVA with Tukey’s HSD test) between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DA/VA::TeTx </w:t>
      </w:r>
      <w:r w:rsidRPr="009A0017">
        <w:rPr>
          <w:rFonts w:ascii="Arial" w:hAnsi="Arial" w:cs="Arial"/>
          <w:color w:val="000000" w:themeColor="text1"/>
          <w:lang w:val="en-US"/>
        </w:rPr>
        <w:t xml:space="preserve">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>DA/VA::TeTx;</w:t>
      </w:r>
      <w:r w:rsidRPr="009A0017">
        <w:rPr>
          <w:rFonts w:ascii="Arial" w:hAnsi="Arial" w:cs="Arial"/>
          <w:color w:val="000000" w:themeColor="text1"/>
          <w:lang w:val="en-US"/>
        </w:rPr>
        <w:t xml:space="preserve"> RIM-. </w:t>
      </w:r>
    </w:p>
    <w:p w14:paraId="04E96BDA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(D)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Expression pattern of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>avr-14</w:t>
      </w:r>
      <w:r w:rsidRPr="009A0017">
        <w:rPr>
          <w:rFonts w:ascii="Arial" w:hAnsi="Arial" w:cs="Arial"/>
          <w:color w:val="000000" w:themeColor="text1"/>
          <w:lang w:val="en-US"/>
        </w:rPr>
        <w:t xml:space="preserve">.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Pnmr-1::mCherry </w:t>
      </w:r>
      <w:r w:rsidRPr="009A0017">
        <w:rPr>
          <w:rFonts w:ascii="Arial" w:hAnsi="Arial" w:cs="Arial"/>
          <w:color w:val="000000" w:themeColor="text1"/>
          <w:lang w:val="en-US"/>
        </w:rPr>
        <w:t xml:space="preserve">labels AVA, AVD, AVE and RIM neurons,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Punc-4::DsRed </w:t>
      </w:r>
      <w:r w:rsidRPr="009A0017">
        <w:rPr>
          <w:rFonts w:ascii="Arial" w:hAnsi="Arial" w:cs="Arial"/>
          <w:color w:val="000000" w:themeColor="text1"/>
          <w:lang w:val="en-US"/>
        </w:rPr>
        <w:t xml:space="preserve">labels A-type motor neurons. White arrows indicate the overlapping neurons (RIM, AVA, AVE and A-type motor neurons). </w:t>
      </w:r>
    </w:p>
    <w:p w14:paraId="24594898" w14:textId="77777777" w:rsidR="002F7BF9" w:rsidRPr="009A0017" w:rsidRDefault="002F7BF9" w:rsidP="009828E8">
      <w:pPr>
        <w:rPr>
          <w:rFonts w:ascii="Arial" w:hAnsi="Arial" w:cs="Arial"/>
          <w:color w:val="000000" w:themeColor="text1"/>
        </w:rPr>
      </w:pPr>
    </w:p>
    <w:p w14:paraId="3307B576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lastRenderedPageBreak/>
        <w:t>Figure S5.</w:t>
      </w:r>
      <w:r w:rsidRPr="009A0017">
        <w:rPr>
          <w:rFonts w:ascii="Arial" w:hAnsi="Arial" w:cs="Arial"/>
          <w:color w:val="000000" w:themeColor="text1"/>
          <w:lang w:val="en-US"/>
        </w:rPr>
        <w:t xml:space="preserve">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>RIM ablation does not alter the kinetics of calcium spike in AVA/AVE neurons</w:t>
      </w:r>
      <w:r w:rsidRPr="009A0017">
        <w:rPr>
          <w:rFonts w:ascii="Arial" w:hAnsi="Arial" w:cs="Arial"/>
          <w:color w:val="000000" w:themeColor="text1"/>
          <w:lang w:val="en-US"/>
        </w:rPr>
        <w:t>.</w:t>
      </w:r>
    </w:p>
    <w:p w14:paraId="49C93241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(A)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RIM ablation left-shifted the amplitude distribution pattern of calcium spikes in AVA/AVE neurons. Histograms are fitted with Gauss function. Only events with amplitude &gt;0 are shown. Control: n=151; RIM-: n=264. </w:t>
      </w:r>
    </w:p>
    <w:p w14:paraId="4699BEE8" w14:textId="77777777" w:rsidR="002F7BF9" w:rsidRPr="009A0017" w:rsidRDefault="002F7BF9" w:rsidP="002F7BF9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(B-C)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RIM ablation does not alter the rising slope of calcium spikes in AVA/AVE neurons. Arrow in (B) points to the time point of reversal initiation. (C) Normalized traces. </w:t>
      </w:r>
    </w:p>
    <w:p w14:paraId="7B0F4FEC" w14:textId="073118D1" w:rsidR="002F7BF9" w:rsidRPr="009A0017" w:rsidRDefault="002F7BF9" w:rsidP="009828E8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(D-E)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RIM ablation does not alter the dropping slope of calcium spikes in AVA/AVE neurons. Arrow in (D) points to the end of reversal (reversal termination). (E) Normalized traces. </w:t>
      </w:r>
    </w:p>
    <w:p w14:paraId="48B65161" w14:textId="77777777" w:rsidR="00191FBA" w:rsidRPr="009A0017" w:rsidRDefault="00191FBA" w:rsidP="00191FBA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21D8D297" w14:textId="1BDC91A8" w:rsidR="00191FBA" w:rsidRPr="009A0017" w:rsidRDefault="00191FBA" w:rsidP="00191FBA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Figure S6. Calcium imaging </w:t>
      </w:r>
      <w:r w:rsidR="009453B0"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of AVA/AVE neurons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in gap junction mutants and </w:t>
      </w:r>
      <w:r w:rsidRPr="009A0017">
        <w:rPr>
          <w:rFonts w:ascii="Arial" w:hAnsi="Arial" w:cs="Arial"/>
          <w:b/>
          <w:bCs/>
          <w:i/>
          <w:iCs/>
          <w:color w:val="000000" w:themeColor="text1"/>
          <w:lang w:val="en-US"/>
        </w:rPr>
        <w:t xml:space="preserve">RIM::eat-4(RNAi) </w:t>
      </w:r>
      <w:r w:rsidRPr="009A0017">
        <w:rPr>
          <w:rFonts w:ascii="Arial" w:hAnsi="Arial" w:cs="Arial"/>
          <w:b/>
          <w:bCs/>
          <w:color w:val="000000" w:themeColor="text1"/>
          <w:lang w:val="en-US"/>
        </w:rPr>
        <w:t>animals</w:t>
      </w:r>
      <w:r w:rsidR="00EE052A">
        <w:rPr>
          <w:rFonts w:ascii="Arial" w:hAnsi="Arial" w:cs="Arial"/>
          <w:b/>
          <w:bCs/>
          <w:color w:val="000000" w:themeColor="text1"/>
          <w:lang w:val="en-US"/>
        </w:rPr>
        <w:t>.</w:t>
      </w:r>
    </w:p>
    <w:p w14:paraId="6BB90F18" w14:textId="77777777" w:rsidR="004E26BE" w:rsidRPr="009A0017" w:rsidRDefault="00191FBA" w:rsidP="00191FBA">
      <w:pPr>
        <w:rPr>
          <w:rFonts w:ascii="Arial" w:hAnsi="Arial" w:cs="Arial"/>
          <w:color w:val="000000" w:themeColor="text1"/>
          <w:lang w:val="en-US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(A)  </w:t>
      </w:r>
      <w:r w:rsidRPr="009A0017">
        <w:rPr>
          <w:rFonts w:ascii="Arial" w:hAnsi="Arial" w:cs="Arial"/>
          <w:color w:val="000000" w:themeColor="text1"/>
          <w:lang w:val="en-US"/>
        </w:rPr>
        <w:t>Sample calcium traces of AVA</w:t>
      </w:r>
      <w:r w:rsidR="009453B0" w:rsidRPr="009A0017">
        <w:rPr>
          <w:rFonts w:ascii="Arial" w:hAnsi="Arial" w:cs="Arial"/>
          <w:color w:val="000000" w:themeColor="text1"/>
          <w:lang w:val="en-US"/>
        </w:rPr>
        <w:t>/AVE</w:t>
      </w:r>
      <w:r w:rsidRPr="009A0017">
        <w:rPr>
          <w:rFonts w:ascii="Arial" w:hAnsi="Arial" w:cs="Arial"/>
          <w:color w:val="000000" w:themeColor="text1"/>
          <w:lang w:val="en-US"/>
        </w:rPr>
        <w:t xml:space="preserve"> neurons in wild-type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>unc-7;inx-1</w:t>
      </w:r>
      <w:r w:rsidRPr="009A0017">
        <w:rPr>
          <w:rFonts w:ascii="Arial" w:hAnsi="Arial" w:cs="Arial"/>
          <w:color w:val="000000" w:themeColor="text1"/>
          <w:lang w:val="en-US"/>
        </w:rPr>
        <w:t xml:space="preserve"> mutants. </w:t>
      </w:r>
    </w:p>
    <w:p w14:paraId="415E888C" w14:textId="77777777" w:rsidR="004E26BE" w:rsidRPr="009A0017" w:rsidRDefault="00191FBA" w:rsidP="00191FBA">
      <w:pPr>
        <w:rPr>
          <w:rFonts w:ascii="Arial" w:hAnsi="Arial" w:cs="Arial"/>
          <w:color w:val="000000" w:themeColor="text1"/>
          <w:lang w:val="en-US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(B) </w:t>
      </w:r>
      <w:r w:rsidRPr="009A0017">
        <w:rPr>
          <w:rFonts w:ascii="Arial" w:hAnsi="Arial" w:cs="Arial"/>
          <w:color w:val="000000" w:themeColor="text1"/>
          <w:lang w:val="en-US"/>
        </w:rPr>
        <w:t>Amplitude of calcium spikes of AVA</w:t>
      </w:r>
      <w:r w:rsidR="009453B0" w:rsidRPr="009A0017">
        <w:rPr>
          <w:rFonts w:ascii="Arial" w:hAnsi="Arial" w:cs="Arial"/>
          <w:color w:val="000000" w:themeColor="text1"/>
          <w:lang w:val="en-US"/>
        </w:rPr>
        <w:t>/AVE</w:t>
      </w:r>
      <w:r w:rsidRPr="009A0017">
        <w:rPr>
          <w:rFonts w:ascii="Arial" w:hAnsi="Arial" w:cs="Arial"/>
          <w:color w:val="000000" w:themeColor="text1"/>
          <w:lang w:val="en-US"/>
        </w:rPr>
        <w:t xml:space="preserve"> neurons in wild-type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unc-7;inx-1 </w:t>
      </w:r>
      <w:r w:rsidR="002D02C7" w:rsidRPr="009A0017">
        <w:rPr>
          <w:rFonts w:ascii="Arial" w:hAnsi="Arial" w:cs="Arial"/>
          <w:color w:val="000000" w:themeColor="text1"/>
          <w:lang w:val="en-US"/>
        </w:rPr>
        <w:t>triple mutant</w:t>
      </w:r>
      <w:r w:rsidRPr="009A0017">
        <w:rPr>
          <w:rFonts w:ascii="Arial" w:hAnsi="Arial" w:cs="Arial"/>
          <w:color w:val="000000" w:themeColor="text1"/>
          <w:lang w:val="en-US"/>
        </w:rPr>
        <w:t xml:space="preserve">. Error bars: SEM. n≥24. **p= 0.007299 between control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unc-7;inx-1 </w:t>
      </w:r>
      <w:r w:rsidRPr="009A0017">
        <w:rPr>
          <w:rFonts w:ascii="Arial" w:hAnsi="Arial" w:cs="Arial"/>
          <w:color w:val="000000" w:themeColor="text1"/>
          <w:lang w:val="en-US"/>
        </w:rPr>
        <w:t xml:space="preserve">(ANOVA with Tukey’s HSD test). </w:t>
      </w:r>
    </w:p>
    <w:p w14:paraId="09A3CFDD" w14:textId="77777777" w:rsidR="004E26BE" w:rsidRPr="009A0017" w:rsidRDefault="00191FBA" w:rsidP="00191FBA">
      <w:pPr>
        <w:rPr>
          <w:rFonts w:ascii="Arial" w:hAnsi="Arial" w:cs="Arial"/>
          <w:color w:val="000000" w:themeColor="text1"/>
          <w:lang w:val="en-US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(C)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Sample calcium traces of AVA/AVE neurons in wild-type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RIM::eat-4(RNAi) </w:t>
      </w:r>
      <w:r w:rsidRPr="009A0017">
        <w:rPr>
          <w:rFonts w:ascii="Arial" w:hAnsi="Arial" w:cs="Arial"/>
          <w:color w:val="000000" w:themeColor="text1"/>
          <w:lang w:val="en-US"/>
        </w:rPr>
        <w:t>worms.</w:t>
      </w:r>
    </w:p>
    <w:p w14:paraId="1613BF3A" w14:textId="2257494D" w:rsidR="00191FBA" w:rsidRPr="009A0017" w:rsidRDefault="00191FBA" w:rsidP="00191FBA">
      <w:pPr>
        <w:rPr>
          <w:rFonts w:ascii="Arial" w:hAnsi="Arial" w:cs="Arial"/>
          <w:color w:val="000000" w:themeColor="text1"/>
        </w:rPr>
      </w:pPr>
      <w:r w:rsidRPr="009A0017">
        <w:rPr>
          <w:rFonts w:ascii="Arial" w:hAnsi="Arial" w:cs="Arial"/>
          <w:b/>
          <w:bCs/>
          <w:color w:val="000000" w:themeColor="text1"/>
          <w:lang w:val="en-US"/>
        </w:rPr>
        <w:t xml:space="preserve">(D)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Frequency of calcium spikes of AVA/AVE neurons in wild-type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RIM::eat-4(RNAi)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worms. Error bars: SEM. n≥10. *p= 0.0139 between control and </w:t>
      </w:r>
      <w:r w:rsidRPr="009A0017">
        <w:rPr>
          <w:rFonts w:ascii="Arial" w:hAnsi="Arial" w:cs="Arial"/>
          <w:i/>
          <w:iCs/>
          <w:color w:val="000000" w:themeColor="text1"/>
          <w:lang w:val="en-US"/>
        </w:rPr>
        <w:t xml:space="preserve">RIM::eat-4(RNAi) </w:t>
      </w:r>
      <w:r w:rsidRPr="009A0017">
        <w:rPr>
          <w:rFonts w:ascii="Arial" w:hAnsi="Arial" w:cs="Arial"/>
          <w:color w:val="000000" w:themeColor="text1"/>
          <w:lang w:val="en-US"/>
        </w:rPr>
        <w:t xml:space="preserve">(ANOVA with Tukey’s HSD test). </w:t>
      </w:r>
    </w:p>
    <w:p w14:paraId="705EA948" w14:textId="77777777" w:rsidR="004E26BE" w:rsidRPr="009A0017" w:rsidRDefault="004E26BE" w:rsidP="009828E8">
      <w:pPr>
        <w:rPr>
          <w:rFonts w:ascii="Arial" w:hAnsi="Arial" w:cs="Arial"/>
          <w:color w:val="000000" w:themeColor="text1"/>
        </w:rPr>
      </w:pPr>
    </w:p>
    <w:p w14:paraId="3C279901" w14:textId="77777777" w:rsidR="004E26BE" w:rsidRPr="009A0017" w:rsidRDefault="004E26BE" w:rsidP="009828E8">
      <w:pPr>
        <w:rPr>
          <w:rFonts w:ascii="Arial" w:hAnsi="Arial" w:cs="Arial"/>
          <w:color w:val="000000" w:themeColor="text1"/>
        </w:rPr>
      </w:pPr>
    </w:p>
    <w:p w14:paraId="43611362" w14:textId="19299C28" w:rsidR="00306A71" w:rsidRPr="009A0017" w:rsidRDefault="00306A71" w:rsidP="00306A71">
      <w:pPr>
        <w:rPr>
          <w:rFonts w:ascii="Arial" w:eastAsia="Times New Roman" w:hAnsi="Arial" w:cs="Arial"/>
          <w:color w:val="000000" w:themeColor="text1"/>
          <w:lang w:val="en"/>
        </w:rPr>
      </w:pP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Supplementary video 1: In 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the absence of ATR, a 5s 590nm light pulse</w:t>
      </w: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 does not trigger 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reversal behavior in worms expressing</w:t>
      </w: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 </w:t>
      </w:r>
      <w:r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>RIM::Chrimson</w:t>
      </w:r>
    </w:p>
    <w:p w14:paraId="7E31723C" w14:textId="22548473" w:rsidR="00306A71" w:rsidRPr="009A0017" w:rsidRDefault="00306A71" w:rsidP="00306A71">
      <w:pPr>
        <w:rPr>
          <w:rFonts w:ascii="Arial" w:eastAsia="Times New Roman" w:hAnsi="Arial" w:cs="Arial"/>
          <w:color w:val="000000" w:themeColor="text1"/>
          <w:lang w:val="en"/>
        </w:rPr>
      </w:pP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Supplementary video 2: In 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the presence of ATR, a 5s 590nm light pulse</w:t>
      </w: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 triggers 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reversal</w:t>
      </w: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 behavior in worms expressed </w:t>
      </w:r>
      <w:r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 xml:space="preserve">RIM::Chrimson </w:t>
      </w:r>
    </w:p>
    <w:p w14:paraId="49F86D9E" w14:textId="401DF73E" w:rsidR="00306A71" w:rsidRPr="009A0017" w:rsidRDefault="00306A71" w:rsidP="00306A71">
      <w:pPr>
        <w:rPr>
          <w:rFonts w:ascii="Arial" w:eastAsia="Times New Roman" w:hAnsi="Arial" w:cs="Arial"/>
          <w:color w:val="000000" w:themeColor="text1"/>
          <w:lang w:val="en"/>
        </w:rPr>
      </w:pPr>
      <w:r w:rsidRPr="009A0017">
        <w:rPr>
          <w:rFonts w:ascii="Arial" w:eastAsia="Times New Roman" w:hAnsi="Arial" w:cs="Arial"/>
          <w:color w:val="000000" w:themeColor="text1"/>
          <w:lang w:val="en"/>
        </w:rPr>
        <w:t>Supplementary video 3: Spontaneous reversal beh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avior of N2 worms (10 min)</w:t>
      </w:r>
    </w:p>
    <w:p w14:paraId="5A92301F" w14:textId="2274A2EA" w:rsidR="00306A71" w:rsidRPr="009A0017" w:rsidRDefault="00306A71" w:rsidP="00306A71">
      <w:pPr>
        <w:rPr>
          <w:rFonts w:ascii="Arial" w:eastAsia="Times New Roman" w:hAnsi="Arial" w:cs="Arial"/>
          <w:color w:val="000000" w:themeColor="text1"/>
          <w:lang w:val="en"/>
        </w:rPr>
      </w:pP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Supplementary video 4: Spontaneous reversal behavior of </w:t>
      </w:r>
      <w:r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>RIM::eat-4(RNAi)</w:t>
      </w: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 worms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 xml:space="preserve"> (10 min)</w:t>
      </w:r>
      <w:r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 xml:space="preserve">   </w:t>
      </w:r>
    </w:p>
    <w:p w14:paraId="354CFA6A" w14:textId="0080DE26" w:rsidR="00306A71" w:rsidRPr="009A0017" w:rsidRDefault="00306A71" w:rsidP="00306A71">
      <w:pPr>
        <w:rPr>
          <w:rFonts w:ascii="Arial" w:eastAsia="Times New Roman" w:hAnsi="Arial" w:cs="Arial"/>
          <w:color w:val="000000" w:themeColor="text1"/>
          <w:lang w:val="en"/>
        </w:rPr>
      </w:pPr>
      <w:r w:rsidRPr="009A0017">
        <w:rPr>
          <w:rFonts w:ascii="Arial" w:eastAsia="Times New Roman" w:hAnsi="Arial" w:cs="Arial"/>
          <w:color w:val="000000" w:themeColor="text1"/>
          <w:lang w:val="en"/>
        </w:rPr>
        <w:t xml:space="preserve">Supplementary video 5: Spontaneous reversal behavior of </w:t>
      </w:r>
      <w:r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 xml:space="preserve">avr-14(ad1302) 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worms (10 min)</w:t>
      </w:r>
      <w:r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 xml:space="preserve">  </w:t>
      </w:r>
    </w:p>
    <w:p w14:paraId="70ADABC7" w14:textId="762F40C3" w:rsidR="00306A71" w:rsidRPr="009A0017" w:rsidRDefault="00A71591" w:rsidP="009828E8">
      <w:pPr>
        <w:rPr>
          <w:rFonts w:ascii="Arial" w:eastAsia="Times New Roman" w:hAnsi="Arial" w:cs="Arial"/>
          <w:color w:val="000000" w:themeColor="text1"/>
          <w:lang w:val="en"/>
        </w:rPr>
      </w:pPr>
      <w:r w:rsidRPr="009A0017">
        <w:rPr>
          <w:rFonts w:ascii="Arial" w:eastAsia="Times New Roman" w:hAnsi="Arial" w:cs="Arial"/>
          <w:color w:val="000000" w:themeColor="text1"/>
          <w:lang w:val="en"/>
        </w:rPr>
        <w:t>Supplementary video 6</w:t>
      </w:r>
      <w:r w:rsidR="00306A71" w:rsidRPr="009A0017">
        <w:rPr>
          <w:rFonts w:ascii="Arial" w:eastAsia="Times New Roman" w:hAnsi="Arial" w:cs="Arial"/>
          <w:color w:val="000000" w:themeColor="text1"/>
          <w:lang w:val="en"/>
        </w:rPr>
        <w:t xml:space="preserve">: Spontaneous reversal behavior of </w:t>
      </w:r>
      <w:r w:rsidR="00306A71"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 xml:space="preserve">avr-14(ad1302) </w:t>
      </w:r>
      <w:r w:rsidR="00306A71" w:rsidRPr="009A0017">
        <w:rPr>
          <w:rFonts w:ascii="Arial" w:eastAsia="Times New Roman" w:hAnsi="Arial" w:cs="Arial"/>
          <w:color w:val="000000" w:themeColor="text1"/>
          <w:lang w:val="en"/>
        </w:rPr>
        <w:t>worms express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 xml:space="preserve">ing </w:t>
      </w:r>
      <w:r w:rsidR="00306A71"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>Pnmr-1::avr-14+Punc-4::avr-14</w:t>
      </w:r>
      <w:r w:rsidR="00306A71" w:rsidRPr="009A0017">
        <w:rPr>
          <w:rFonts w:ascii="Arial" w:eastAsia="Times New Roman" w:hAnsi="Arial" w:cs="Arial"/>
          <w:color w:val="000000" w:themeColor="text1"/>
          <w:lang w:val="en"/>
        </w:rPr>
        <w:t xml:space="preserve"> </w:t>
      </w:r>
      <w:r w:rsidR="00473B17" w:rsidRPr="009A0017">
        <w:rPr>
          <w:rFonts w:ascii="Arial" w:eastAsia="Times New Roman" w:hAnsi="Arial" w:cs="Arial"/>
          <w:color w:val="000000" w:themeColor="text1"/>
          <w:lang w:val="en"/>
        </w:rPr>
        <w:t>rescue transgene (10 min)</w:t>
      </w:r>
      <w:r w:rsidR="00306A71" w:rsidRPr="009A0017">
        <w:rPr>
          <w:rFonts w:ascii="Arial" w:eastAsia="Times New Roman" w:hAnsi="Arial" w:cs="Arial"/>
          <w:i/>
          <w:iCs/>
          <w:color w:val="000000" w:themeColor="text1"/>
          <w:lang w:val="en"/>
        </w:rPr>
        <w:t xml:space="preserve"> </w:t>
      </w:r>
    </w:p>
    <w:sectPr w:rsidR="00306A71" w:rsidRPr="009A0017" w:rsidSect="00EE05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69FE" w14:textId="77777777" w:rsidR="00854AF6" w:rsidRDefault="00854AF6" w:rsidP="00386B30">
      <w:pPr>
        <w:spacing w:after="0" w:line="240" w:lineRule="auto"/>
      </w:pPr>
      <w:r>
        <w:separator/>
      </w:r>
    </w:p>
  </w:endnote>
  <w:endnote w:type="continuationSeparator" w:id="0">
    <w:p w14:paraId="404476D0" w14:textId="77777777" w:rsidR="00854AF6" w:rsidRDefault="00854AF6" w:rsidP="0038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5ECC" w14:textId="77777777" w:rsidR="00854AF6" w:rsidRDefault="00854AF6" w:rsidP="00386B30">
      <w:pPr>
        <w:spacing w:after="0" w:line="240" w:lineRule="auto"/>
      </w:pPr>
      <w:r>
        <w:separator/>
      </w:r>
    </w:p>
  </w:footnote>
  <w:footnote w:type="continuationSeparator" w:id="0">
    <w:p w14:paraId="0A206853" w14:textId="77777777" w:rsidR="00854AF6" w:rsidRDefault="00854AF6" w:rsidP="0038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006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E636BD" w14:textId="1AD37BAF" w:rsidR="00846D8E" w:rsidRDefault="00846D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CED7D6" w14:textId="77777777" w:rsidR="00846D8E" w:rsidRDefault="0084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70B82"/>
    <w:multiLevelType w:val="hybridMultilevel"/>
    <w:tmpl w:val="6ABE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30D9F"/>
    <w:multiLevelType w:val="hybridMultilevel"/>
    <w:tmpl w:val="92E6E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wrf90epv5vzase95fc5xzeqprarww20rd0d&quot;&gt;RIM Cop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3&lt;/item&gt;&lt;item&gt;34&lt;/item&gt;&lt;item&gt;35&lt;/item&gt;&lt;item&gt;40&lt;/item&gt;&lt;item&gt;43&lt;/item&gt;&lt;item&gt;44&lt;/item&gt;&lt;item&gt;45&lt;/item&gt;&lt;item&gt;46&lt;/item&gt;&lt;item&gt;47&lt;/item&gt;&lt;item&gt;48&lt;/item&gt;&lt;item&gt;49&lt;/item&gt;&lt;item&gt;50&lt;/item&gt;&lt;item&gt;51&lt;/item&gt;&lt;item&gt;88&lt;/item&gt;&lt;item&gt;89&lt;/item&gt;&lt;/record-ids&gt;&lt;/item&gt;&lt;/Libraries&gt;"/>
  </w:docVars>
  <w:rsids>
    <w:rsidRoot w:val="008258B1"/>
    <w:rsid w:val="0000112B"/>
    <w:rsid w:val="00002CC1"/>
    <w:rsid w:val="00004482"/>
    <w:rsid w:val="00005D53"/>
    <w:rsid w:val="00007118"/>
    <w:rsid w:val="00007E5C"/>
    <w:rsid w:val="0001252A"/>
    <w:rsid w:val="00017BB8"/>
    <w:rsid w:val="00021664"/>
    <w:rsid w:val="00025419"/>
    <w:rsid w:val="00026E03"/>
    <w:rsid w:val="0002743A"/>
    <w:rsid w:val="000319F5"/>
    <w:rsid w:val="00035542"/>
    <w:rsid w:val="00046AF8"/>
    <w:rsid w:val="00051894"/>
    <w:rsid w:val="00054DAA"/>
    <w:rsid w:val="00055139"/>
    <w:rsid w:val="00062C08"/>
    <w:rsid w:val="00064D03"/>
    <w:rsid w:val="0007450F"/>
    <w:rsid w:val="000855B6"/>
    <w:rsid w:val="00085BDE"/>
    <w:rsid w:val="00087681"/>
    <w:rsid w:val="000A0A7C"/>
    <w:rsid w:val="000A59C0"/>
    <w:rsid w:val="000A7C11"/>
    <w:rsid w:val="000A7EA0"/>
    <w:rsid w:val="000B19F2"/>
    <w:rsid w:val="000B1C11"/>
    <w:rsid w:val="000B36F6"/>
    <w:rsid w:val="000B42DC"/>
    <w:rsid w:val="000C2CD8"/>
    <w:rsid w:val="000C2F4D"/>
    <w:rsid w:val="000C4234"/>
    <w:rsid w:val="000C6297"/>
    <w:rsid w:val="000D1C79"/>
    <w:rsid w:val="000D379D"/>
    <w:rsid w:val="000D4175"/>
    <w:rsid w:val="000D5340"/>
    <w:rsid w:val="000D5D7B"/>
    <w:rsid w:val="000E0B66"/>
    <w:rsid w:val="000E2BC0"/>
    <w:rsid w:val="000F3584"/>
    <w:rsid w:val="000F7F23"/>
    <w:rsid w:val="001024A6"/>
    <w:rsid w:val="00105A0B"/>
    <w:rsid w:val="001105F6"/>
    <w:rsid w:val="0011218A"/>
    <w:rsid w:val="0011412D"/>
    <w:rsid w:val="00120D2D"/>
    <w:rsid w:val="001264F2"/>
    <w:rsid w:val="0013076C"/>
    <w:rsid w:val="0013460D"/>
    <w:rsid w:val="001374C7"/>
    <w:rsid w:val="001433BB"/>
    <w:rsid w:val="001470C8"/>
    <w:rsid w:val="00150C81"/>
    <w:rsid w:val="0015476C"/>
    <w:rsid w:val="001600C6"/>
    <w:rsid w:val="001603CE"/>
    <w:rsid w:val="0016064F"/>
    <w:rsid w:val="00164945"/>
    <w:rsid w:val="00164D9E"/>
    <w:rsid w:val="00165112"/>
    <w:rsid w:val="0016748E"/>
    <w:rsid w:val="00171C83"/>
    <w:rsid w:val="001734C9"/>
    <w:rsid w:val="001744CD"/>
    <w:rsid w:val="00175C6D"/>
    <w:rsid w:val="00183513"/>
    <w:rsid w:val="001835BD"/>
    <w:rsid w:val="00187DBE"/>
    <w:rsid w:val="00191FBA"/>
    <w:rsid w:val="0019321A"/>
    <w:rsid w:val="001936EF"/>
    <w:rsid w:val="00196313"/>
    <w:rsid w:val="001A097B"/>
    <w:rsid w:val="001A35A0"/>
    <w:rsid w:val="001A3F93"/>
    <w:rsid w:val="001A4441"/>
    <w:rsid w:val="001A4A91"/>
    <w:rsid w:val="001B21C0"/>
    <w:rsid w:val="001B281B"/>
    <w:rsid w:val="001C2E5A"/>
    <w:rsid w:val="001C3819"/>
    <w:rsid w:val="001C5F0F"/>
    <w:rsid w:val="001C7CAB"/>
    <w:rsid w:val="001D7C10"/>
    <w:rsid w:val="001E665A"/>
    <w:rsid w:val="001E763E"/>
    <w:rsid w:val="001F3F37"/>
    <w:rsid w:val="001F4223"/>
    <w:rsid w:val="002001D1"/>
    <w:rsid w:val="00202577"/>
    <w:rsid w:val="00204FA0"/>
    <w:rsid w:val="00206869"/>
    <w:rsid w:val="00221126"/>
    <w:rsid w:val="002229DA"/>
    <w:rsid w:val="00223364"/>
    <w:rsid w:val="002279F5"/>
    <w:rsid w:val="00231727"/>
    <w:rsid w:val="002418ED"/>
    <w:rsid w:val="002419D8"/>
    <w:rsid w:val="002443EE"/>
    <w:rsid w:val="002468B0"/>
    <w:rsid w:val="002570FA"/>
    <w:rsid w:val="002620DC"/>
    <w:rsid w:val="002622C8"/>
    <w:rsid w:val="00272F2D"/>
    <w:rsid w:val="00273B17"/>
    <w:rsid w:val="00275CEC"/>
    <w:rsid w:val="00282CC0"/>
    <w:rsid w:val="0028619A"/>
    <w:rsid w:val="00287B2D"/>
    <w:rsid w:val="00290D16"/>
    <w:rsid w:val="002A2C1D"/>
    <w:rsid w:val="002A718F"/>
    <w:rsid w:val="002B011D"/>
    <w:rsid w:val="002B3AA2"/>
    <w:rsid w:val="002B4AEF"/>
    <w:rsid w:val="002D02C7"/>
    <w:rsid w:val="002D195F"/>
    <w:rsid w:val="002D2AE6"/>
    <w:rsid w:val="002E2576"/>
    <w:rsid w:val="002E2B40"/>
    <w:rsid w:val="002E2C2E"/>
    <w:rsid w:val="002E3834"/>
    <w:rsid w:val="002E4549"/>
    <w:rsid w:val="002E6A7D"/>
    <w:rsid w:val="002F2E41"/>
    <w:rsid w:val="002F4C07"/>
    <w:rsid w:val="002F7BF9"/>
    <w:rsid w:val="003021C2"/>
    <w:rsid w:val="00306A71"/>
    <w:rsid w:val="00310FBB"/>
    <w:rsid w:val="00320131"/>
    <w:rsid w:val="00320B16"/>
    <w:rsid w:val="0033292C"/>
    <w:rsid w:val="003343E1"/>
    <w:rsid w:val="00336620"/>
    <w:rsid w:val="003408F8"/>
    <w:rsid w:val="00345AE6"/>
    <w:rsid w:val="00350D21"/>
    <w:rsid w:val="0035129F"/>
    <w:rsid w:val="00361F4E"/>
    <w:rsid w:val="00365EE8"/>
    <w:rsid w:val="003663F7"/>
    <w:rsid w:val="003702BA"/>
    <w:rsid w:val="003758A9"/>
    <w:rsid w:val="00376E4F"/>
    <w:rsid w:val="00380108"/>
    <w:rsid w:val="00380D55"/>
    <w:rsid w:val="003814EC"/>
    <w:rsid w:val="00381687"/>
    <w:rsid w:val="00385ABB"/>
    <w:rsid w:val="00386B30"/>
    <w:rsid w:val="00392AD8"/>
    <w:rsid w:val="003943B3"/>
    <w:rsid w:val="00395857"/>
    <w:rsid w:val="003969A7"/>
    <w:rsid w:val="003A04D6"/>
    <w:rsid w:val="003A47D9"/>
    <w:rsid w:val="003A48F4"/>
    <w:rsid w:val="003B293E"/>
    <w:rsid w:val="003C0001"/>
    <w:rsid w:val="003C097E"/>
    <w:rsid w:val="003D12B1"/>
    <w:rsid w:val="003D22B5"/>
    <w:rsid w:val="003D3459"/>
    <w:rsid w:val="003D7208"/>
    <w:rsid w:val="003E0B53"/>
    <w:rsid w:val="003E17F6"/>
    <w:rsid w:val="003E2C8A"/>
    <w:rsid w:val="003E3D23"/>
    <w:rsid w:val="003E6B15"/>
    <w:rsid w:val="003E719C"/>
    <w:rsid w:val="003F4C97"/>
    <w:rsid w:val="00400F6A"/>
    <w:rsid w:val="004061C0"/>
    <w:rsid w:val="0041688C"/>
    <w:rsid w:val="00423572"/>
    <w:rsid w:val="00426DB7"/>
    <w:rsid w:val="004307F3"/>
    <w:rsid w:val="00433BC1"/>
    <w:rsid w:val="0044446E"/>
    <w:rsid w:val="00444D88"/>
    <w:rsid w:val="00447473"/>
    <w:rsid w:val="00452247"/>
    <w:rsid w:val="00453CAC"/>
    <w:rsid w:val="004621D6"/>
    <w:rsid w:val="00464E67"/>
    <w:rsid w:val="004710A9"/>
    <w:rsid w:val="00471F18"/>
    <w:rsid w:val="00473B17"/>
    <w:rsid w:val="00476CA2"/>
    <w:rsid w:val="004876A4"/>
    <w:rsid w:val="00492842"/>
    <w:rsid w:val="00497D30"/>
    <w:rsid w:val="004A1029"/>
    <w:rsid w:val="004A5CE3"/>
    <w:rsid w:val="004B2A5A"/>
    <w:rsid w:val="004B2D17"/>
    <w:rsid w:val="004B3D2C"/>
    <w:rsid w:val="004B4DA9"/>
    <w:rsid w:val="004B5709"/>
    <w:rsid w:val="004C077D"/>
    <w:rsid w:val="004C3D81"/>
    <w:rsid w:val="004C3F8B"/>
    <w:rsid w:val="004D18C7"/>
    <w:rsid w:val="004D528D"/>
    <w:rsid w:val="004D55FD"/>
    <w:rsid w:val="004D7ACF"/>
    <w:rsid w:val="004E26BE"/>
    <w:rsid w:val="004E660F"/>
    <w:rsid w:val="004E70BC"/>
    <w:rsid w:val="004F60B6"/>
    <w:rsid w:val="00510878"/>
    <w:rsid w:val="00523A5A"/>
    <w:rsid w:val="00525549"/>
    <w:rsid w:val="005263BC"/>
    <w:rsid w:val="00526654"/>
    <w:rsid w:val="00526EB2"/>
    <w:rsid w:val="00540B9E"/>
    <w:rsid w:val="00542303"/>
    <w:rsid w:val="00543555"/>
    <w:rsid w:val="00545652"/>
    <w:rsid w:val="00547BB6"/>
    <w:rsid w:val="00550975"/>
    <w:rsid w:val="00551D6B"/>
    <w:rsid w:val="00554E25"/>
    <w:rsid w:val="005600D3"/>
    <w:rsid w:val="00561023"/>
    <w:rsid w:val="00561664"/>
    <w:rsid w:val="00561F32"/>
    <w:rsid w:val="00574EE2"/>
    <w:rsid w:val="00577F67"/>
    <w:rsid w:val="00586F7A"/>
    <w:rsid w:val="0059180C"/>
    <w:rsid w:val="0059497D"/>
    <w:rsid w:val="00596E88"/>
    <w:rsid w:val="005A0383"/>
    <w:rsid w:val="005A03ED"/>
    <w:rsid w:val="005A0E96"/>
    <w:rsid w:val="005A199A"/>
    <w:rsid w:val="005B472A"/>
    <w:rsid w:val="005B5F26"/>
    <w:rsid w:val="005B7966"/>
    <w:rsid w:val="005D27DB"/>
    <w:rsid w:val="005E059E"/>
    <w:rsid w:val="005E1C52"/>
    <w:rsid w:val="005E3CED"/>
    <w:rsid w:val="005E5095"/>
    <w:rsid w:val="005E7E18"/>
    <w:rsid w:val="005F20E9"/>
    <w:rsid w:val="005F5261"/>
    <w:rsid w:val="005F54B6"/>
    <w:rsid w:val="00603714"/>
    <w:rsid w:val="00603C24"/>
    <w:rsid w:val="00603D21"/>
    <w:rsid w:val="00606C84"/>
    <w:rsid w:val="00607C89"/>
    <w:rsid w:val="006116A3"/>
    <w:rsid w:val="0061511E"/>
    <w:rsid w:val="00620349"/>
    <w:rsid w:val="00622547"/>
    <w:rsid w:val="00631356"/>
    <w:rsid w:val="00632206"/>
    <w:rsid w:val="006324CE"/>
    <w:rsid w:val="00635737"/>
    <w:rsid w:val="00636EA9"/>
    <w:rsid w:val="00640022"/>
    <w:rsid w:val="00641B04"/>
    <w:rsid w:val="0064307C"/>
    <w:rsid w:val="00645DB3"/>
    <w:rsid w:val="0065151E"/>
    <w:rsid w:val="00651CAF"/>
    <w:rsid w:val="006530CA"/>
    <w:rsid w:val="006638F8"/>
    <w:rsid w:val="00670CC3"/>
    <w:rsid w:val="00681A55"/>
    <w:rsid w:val="00681C09"/>
    <w:rsid w:val="00683FFA"/>
    <w:rsid w:val="00685201"/>
    <w:rsid w:val="00687F92"/>
    <w:rsid w:val="00691041"/>
    <w:rsid w:val="00694469"/>
    <w:rsid w:val="006A5596"/>
    <w:rsid w:val="006A5C11"/>
    <w:rsid w:val="006A5CF8"/>
    <w:rsid w:val="006A7AE0"/>
    <w:rsid w:val="006B1280"/>
    <w:rsid w:val="006B283A"/>
    <w:rsid w:val="006B32CA"/>
    <w:rsid w:val="006C0699"/>
    <w:rsid w:val="006D18BC"/>
    <w:rsid w:val="006D3025"/>
    <w:rsid w:val="006D325D"/>
    <w:rsid w:val="006D4D3F"/>
    <w:rsid w:val="006D57B8"/>
    <w:rsid w:val="006D67FE"/>
    <w:rsid w:val="006D7103"/>
    <w:rsid w:val="006D7150"/>
    <w:rsid w:val="006E0164"/>
    <w:rsid w:val="006E07CE"/>
    <w:rsid w:val="006E0E7A"/>
    <w:rsid w:val="006E2B5C"/>
    <w:rsid w:val="006E5FB7"/>
    <w:rsid w:val="006F2332"/>
    <w:rsid w:val="006F3D42"/>
    <w:rsid w:val="007004D9"/>
    <w:rsid w:val="007065EA"/>
    <w:rsid w:val="00707399"/>
    <w:rsid w:val="00714441"/>
    <w:rsid w:val="00714C47"/>
    <w:rsid w:val="00715296"/>
    <w:rsid w:val="00715F91"/>
    <w:rsid w:val="00724A95"/>
    <w:rsid w:val="00726326"/>
    <w:rsid w:val="007326C3"/>
    <w:rsid w:val="00742CD0"/>
    <w:rsid w:val="00743931"/>
    <w:rsid w:val="00744F40"/>
    <w:rsid w:val="0075147D"/>
    <w:rsid w:val="0076656F"/>
    <w:rsid w:val="00772BC1"/>
    <w:rsid w:val="00773C46"/>
    <w:rsid w:val="00774236"/>
    <w:rsid w:val="00775E1D"/>
    <w:rsid w:val="00793CC2"/>
    <w:rsid w:val="007A1AF4"/>
    <w:rsid w:val="007A1FF5"/>
    <w:rsid w:val="007A368F"/>
    <w:rsid w:val="007A4276"/>
    <w:rsid w:val="007A618E"/>
    <w:rsid w:val="007A66BA"/>
    <w:rsid w:val="007A6F71"/>
    <w:rsid w:val="007B695D"/>
    <w:rsid w:val="007C6EDD"/>
    <w:rsid w:val="007D03D2"/>
    <w:rsid w:val="007D3D3F"/>
    <w:rsid w:val="007D40BE"/>
    <w:rsid w:val="007D4169"/>
    <w:rsid w:val="007D72EA"/>
    <w:rsid w:val="007E2B4A"/>
    <w:rsid w:val="007F0FBD"/>
    <w:rsid w:val="007F5E44"/>
    <w:rsid w:val="007F68AC"/>
    <w:rsid w:val="007F756A"/>
    <w:rsid w:val="008027EF"/>
    <w:rsid w:val="008068B0"/>
    <w:rsid w:val="00807778"/>
    <w:rsid w:val="008124D1"/>
    <w:rsid w:val="0081410A"/>
    <w:rsid w:val="008254D4"/>
    <w:rsid w:val="008258B1"/>
    <w:rsid w:val="00827B49"/>
    <w:rsid w:val="00831FFE"/>
    <w:rsid w:val="0083275E"/>
    <w:rsid w:val="00832AC6"/>
    <w:rsid w:val="008363EF"/>
    <w:rsid w:val="0083647C"/>
    <w:rsid w:val="00836D9E"/>
    <w:rsid w:val="00836E9F"/>
    <w:rsid w:val="0084696F"/>
    <w:rsid w:val="00846D8E"/>
    <w:rsid w:val="008520DB"/>
    <w:rsid w:val="00854AF6"/>
    <w:rsid w:val="00861A76"/>
    <w:rsid w:val="00871ECF"/>
    <w:rsid w:val="008772A2"/>
    <w:rsid w:val="00887D28"/>
    <w:rsid w:val="00892330"/>
    <w:rsid w:val="00894233"/>
    <w:rsid w:val="00897249"/>
    <w:rsid w:val="0089737B"/>
    <w:rsid w:val="008A1215"/>
    <w:rsid w:val="008A68F3"/>
    <w:rsid w:val="008A691F"/>
    <w:rsid w:val="008B7A4D"/>
    <w:rsid w:val="008C27EF"/>
    <w:rsid w:val="008D0B40"/>
    <w:rsid w:val="008D4621"/>
    <w:rsid w:val="008D5510"/>
    <w:rsid w:val="008D5B3F"/>
    <w:rsid w:val="008E05B2"/>
    <w:rsid w:val="008E2195"/>
    <w:rsid w:val="008E23B0"/>
    <w:rsid w:val="008E5181"/>
    <w:rsid w:val="008E7A69"/>
    <w:rsid w:val="008F0706"/>
    <w:rsid w:val="008F13C5"/>
    <w:rsid w:val="008F161D"/>
    <w:rsid w:val="008F23A8"/>
    <w:rsid w:val="008F268F"/>
    <w:rsid w:val="008F37EC"/>
    <w:rsid w:val="008F659F"/>
    <w:rsid w:val="00904A5B"/>
    <w:rsid w:val="00910A6D"/>
    <w:rsid w:val="0091562F"/>
    <w:rsid w:val="0092250E"/>
    <w:rsid w:val="009231BF"/>
    <w:rsid w:val="00925687"/>
    <w:rsid w:val="00930652"/>
    <w:rsid w:val="00943236"/>
    <w:rsid w:val="009439B2"/>
    <w:rsid w:val="009453B0"/>
    <w:rsid w:val="00952AE0"/>
    <w:rsid w:val="00954369"/>
    <w:rsid w:val="00957870"/>
    <w:rsid w:val="00960115"/>
    <w:rsid w:val="00963556"/>
    <w:rsid w:val="0096566A"/>
    <w:rsid w:val="0096616F"/>
    <w:rsid w:val="00971650"/>
    <w:rsid w:val="00974073"/>
    <w:rsid w:val="009828E8"/>
    <w:rsid w:val="0098292D"/>
    <w:rsid w:val="0098497D"/>
    <w:rsid w:val="00987617"/>
    <w:rsid w:val="00991370"/>
    <w:rsid w:val="009928C6"/>
    <w:rsid w:val="00995EBA"/>
    <w:rsid w:val="009977B3"/>
    <w:rsid w:val="009A0017"/>
    <w:rsid w:val="009A178F"/>
    <w:rsid w:val="009A4FB0"/>
    <w:rsid w:val="009A5521"/>
    <w:rsid w:val="009A7FBC"/>
    <w:rsid w:val="009B583D"/>
    <w:rsid w:val="009C67FE"/>
    <w:rsid w:val="009D28B2"/>
    <w:rsid w:val="009D2C24"/>
    <w:rsid w:val="009D6373"/>
    <w:rsid w:val="009E1A70"/>
    <w:rsid w:val="009E2F92"/>
    <w:rsid w:val="009E4514"/>
    <w:rsid w:val="009E47EC"/>
    <w:rsid w:val="009F1D72"/>
    <w:rsid w:val="009F2963"/>
    <w:rsid w:val="00A01045"/>
    <w:rsid w:val="00A030F4"/>
    <w:rsid w:val="00A03D40"/>
    <w:rsid w:val="00A03EED"/>
    <w:rsid w:val="00A06BDD"/>
    <w:rsid w:val="00A125AE"/>
    <w:rsid w:val="00A2069A"/>
    <w:rsid w:val="00A2224E"/>
    <w:rsid w:val="00A248BA"/>
    <w:rsid w:val="00A266A9"/>
    <w:rsid w:val="00A33CDF"/>
    <w:rsid w:val="00A3512B"/>
    <w:rsid w:val="00A35259"/>
    <w:rsid w:val="00A35CAB"/>
    <w:rsid w:val="00A3799C"/>
    <w:rsid w:val="00A42EB3"/>
    <w:rsid w:val="00A43A4E"/>
    <w:rsid w:val="00A4754E"/>
    <w:rsid w:val="00A51E41"/>
    <w:rsid w:val="00A56A55"/>
    <w:rsid w:val="00A659E6"/>
    <w:rsid w:val="00A710CE"/>
    <w:rsid w:val="00A7130C"/>
    <w:rsid w:val="00A71591"/>
    <w:rsid w:val="00A774FB"/>
    <w:rsid w:val="00A775BD"/>
    <w:rsid w:val="00A8077B"/>
    <w:rsid w:val="00A82935"/>
    <w:rsid w:val="00A85A8A"/>
    <w:rsid w:val="00A85BB0"/>
    <w:rsid w:val="00AA07AA"/>
    <w:rsid w:val="00AA22F8"/>
    <w:rsid w:val="00AA7DC7"/>
    <w:rsid w:val="00AB4483"/>
    <w:rsid w:val="00AC5388"/>
    <w:rsid w:val="00AD5D29"/>
    <w:rsid w:val="00AE1B4B"/>
    <w:rsid w:val="00AE7C26"/>
    <w:rsid w:val="00AF0BA4"/>
    <w:rsid w:val="00AF3891"/>
    <w:rsid w:val="00B00E92"/>
    <w:rsid w:val="00B06C24"/>
    <w:rsid w:val="00B1001A"/>
    <w:rsid w:val="00B113A8"/>
    <w:rsid w:val="00B127C1"/>
    <w:rsid w:val="00B17518"/>
    <w:rsid w:val="00B17A92"/>
    <w:rsid w:val="00B21851"/>
    <w:rsid w:val="00B26049"/>
    <w:rsid w:val="00B30412"/>
    <w:rsid w:val="00B31FEC"/>
    <w:rsid w:val="00B42E68"/>
    <w:rsid w:val="00B45FA8"/>
    <w:rsid w:val="00B4759E"/>
    <w:rsid w:val="00B559DA"/>
    <w:rsid w:val="00B85C1C"/>
    <w:rsid w:val="00B918C3"/>
    <w:rsid w:val="00B96303"/>
    <w:rsid w:val="00B97499"/>
    <w:rsid w:val="00BA0B90"/>
    <w:rsid w:val="00BA0C76"/>
    <w:rsid w:val="00BA5A07"/>
    <w:rsid w:val="00BA620D"/>
    <w:rsid w:val="00BB3DEA"/>
    <w:rsid w:val="00BB42AF"/>
    <w:rsid w:val="00BB46F1"/>
    <w:rsid w:val="00BB48CE"/>
    <w:rsid w:val="00BB4ED1"/>
    <w:rsid w:val="00BC32BC"/>
    <w:rsid w:val="00BC7701"/>
    <w:rsid w:val="00BD0CFE"/>
    <w:rsid w:val="00BD15A3"/>
    <w:rsid w:val="00BD4B44"/>
    <w:rsid w:val="00BE27E5"/>
    <w:rsid w:val="00BF0465"/>
    <w:rsid w:val="00BF34D1"/>
    <w:rsid w:val="00BF3D43"/>
    <w:rsid w:val="00BF4809"/>
    <w:rsid w:val="00C02478"/>
    <w:rsid w:val="00C056DA"/>
    <w:rsid w:val="00C0781D"/>
    <w:rsid w:val="00C10175"/>
    <w:rsid w:val="00C13800"/>
    <w:rsid w:val="00C16711"/>
    <w:rsid w:val="00C201AC"/>
    <w:rsid w:val="00C24C01"/>
    <w:rsid w:val="00C25E87"/>
    <w:rsid w:val="00C30802"/>
    <w:rsid w:val="00C37678"/>
    <w:rsid w:val="00C407AF"/>
    <w:rsid w:val="00C50FBE"/>
    <w:rsid w:val="00C52989"/>
    <w:rsid w:val="00C52D2B"/>
    <w:rsid w:val="00C539AF"/>
    <w:rsid w:val="00C55C07"/>
    <w:rsid w:val="00C618CB"/>
    <w:rsid w:val="00C62629"/>
    <w:rsid w:val="00C65A81"/>
    <w:rsid w:val="00C6681B"/>
    <w:rsid w:val="00C669C8"/>
    <w:rsid w:val="00C674B4"/>
    <w:rsid w:val="00C67DC5"/>
    <w:rsid w:val="00C70454"/>
    <w:rsid w:val="00C70A3F"/>
    <w:rsid w:val="00C80703"/>
    <w:rsid w:val="00C86722"/>
    <w:rsid w:val="00C87EAA"/>
    <w:rsid w:val="00C95503"/>
    <w:rsid w:val="00C97D6C"/>
    <w:rsid w:val="00CA10B7"/>
    <w:rsid w:val="00CA2085"/>
    <w:rsid w:val="00CA3057"/>
    <w:rsid w:val="00CA40D3"/>
    <w:rsid w:val="00CA516F"/>
    <w:rsid w:val="00CA522B"/>
    <w:rsid w:val="00CB477D"/>
    <w:rsid w:val="00CC1F5F"/>
    <w:rsid w:val="00CC2572"/>
    <w:rsid w:val="00CE0D16"/>
    <w:rsid w:val="00CF12C6"/>
    <w:rsid w:val="00CF608F"/>
    <w:rsid w:val="00CF6A63"/>
    <w:rsid w:val="00D0262C"/>
    <w:rsid w:val="00D045B6"/>
    <w:rsid w:val="00D056BA"/>
    <w:rsid w:val="00D07D28"/>
    <w:rsid w:val="00D16941"/>
    <w:rsid w:val="00D232F4"/>
    <w:rsid w:val="00D24716"/>
    <w:rsid w:val="00D2519D"/>
    <w:rsid w:val="00D25284"/>
    <w:rsid w:val="00D302BB"/>
    <w:rsid w:val="00D32409"/>
    <w:rsid w:val="00D331A6"/>
    <w:rsid w:val="00D33335"/>
    <w:rsid w:val="00D36865"/>
    <w:rsid w:val="00D52760"/>
    <w:rsid w:val="00D54246"/>
    <w:rsid w:val="00D5711F"/>
    <w:rsid w:val="00D61A29"/>
    <w:rsid w:val="00D6576B"/>
    <w:rsid w:val="00D65B3A"/>
    <w:rsid w:val="00D749A3"/>
    <w:rsid w:val="00D7701B"/>
    <w:rsid w:val="00D8239B"/>
    <w:rsid w:val="00D82737"/>
    <w:rsid w:val="00D865D6"/>
    <w:rsid w:val="00D94418"/>
    <w:rsid w:val="00DA66D4"/>
    <w:rsid w:val="00DA6B9E"/>
    <w:rsid w:val="00DA6CAE"/>
    <w:rsid w:val="00DB35F7"/>
    <w:rsid w:val="00DB7530"/>
    <w:rsid w:val="00DB7C5C"/>
    <w:rsid w:val="00DC05CD"/>
    <w:rsid w:val="00DC34A1"/>
    <w:rsid w:val="00DC5158"/>
    <w:rsid w:val="00DD04C4"/>
    <w:rsid w:val="00DD2131"/>
    <w:rsid w:val="00DD2B8B"/>
    <w:rsid w:val="00DD3949"/>
    <w:rsid w:val="00DD75F4"/>
    <w:rsid w:val="00DE37E8"/>
    <w:rsid w:val="00DE39DE"/>
    <w:rsid w:val="00DE5655"/>
    <w:rsid w:val="00DE6E10"/>
    <w:rsid w:val="00E01A2A"/>
    <w:rsid w:val="00E030B8"/>
    <w:rsid w:val="00E0313F"/>
    <w:rsid w:val="00E03D46"/>
    <w:rsid w:val="00E041D9"/>
    <w:rsid w:val="00E0534A"/>
    <w:rsid w:val="00E0631E"/>
    <w:rsid w:val="00E070A3"/>
    <w:rsid w:val="00E1307F"/>
    <w:rsid w:val="00E13459"/>
    <w:rsid w:val="00E13874"/>
    <w:rsid w:val="00E16BAD"/>
    <w:rsid w:val="00E254BE"/>
    <w:rsid w:val="00E33D93"/>
    <w:rsid w:val="00E34793"/>
    <w:rsid w:val="00E37233"/>
    <w:rsid w:val="00E53EFE"/>
    <w:rsid w:val="00E57F96"/>
    <w:rsid w:val="00E63458"/>
    <w:rsid w:val="00E7309A"/>
    <w:rsid w:val="00E730BD"/>
    <w:rsid w:val="00E807F5"/>
    <w:rsid w:val="00E845FA"/>
    <w:rsid w:val="00E93C25"/>
    <w:rsid w:val="00EA0EF0"/>
    <w:rsid w:val="00EA333A"/>
    <w:rsid w:val="00EA3367"/>
    <w:rsid w:val="00EB5B68"/>
    <w:rsid w:val="00EB7561"/>
    <w:rsid w:val="00EC0C6F"/>
    <w:rsid w:val="00EC6B77"/>
    <w:rsid w:val="00ED5216"/>
    <w:rsid w:val="00EE052A"/>
    <w:rsid w:val="00EE21F7"/>
    <w:rsid w:val="00EE2B61"/>
    <w:rsid w:val="00EE5147"/>
    <w:rsid w:val="00F01B30"/>
    <w:rsid w:val="00F02641"/>
    <w:rsid w:val="00F04E23"/>
    <w:rsid w:val="00F126EF"/>
    <w:rsid w:val="00F14A91"/>
    <w:rsid w:val="00F23202"/>
    <w:rsid w:val="00F245EB"/>
    <w:rsid w:val="00F26506"/>
    <w:rsid w:val="00F26A14"/>
    <w:rsid w:val="00F3284D"/>
    <w:rsid w:val="00F336A7"/>
    <w:rsid w:val="00F35B85"/>
    <w:rsid w:val="00F54E6D"/>
    <w:rsid w:val="00F55D02"/>
    <w:rsid w:val="00F66F60"/>
    <w:rsid w:val="00F705F1"/>
    <w:rsid w:val="00F7395F"/>
    <w:rsid w:val="00F73D2D"/>
    <w:rsid w:val="00F77592"/>
    <w:rsid w:val="00F87345"/>
    <w:rsid w:val="00F90D9D"/>
    <w:rsid w:val="00F91A65"/>
    <w:rsid w:val="00F947D2"/>
    <w:rsid w:val="00F95EB3"/>
    <w:rsid w:val="00FB1906"/>
    <w:rsid w:val="00FB1A2C"/>
    <w:rsid w:val="00FB3363"/>
    <w:rsid w:val="00FB6B6A"/>
    <w:rsid w:val="00FB7A35"/>
    <w:rsid w:val="00FB7A94"/>
    <w:rsid w:val="00FB7FA8"/>
    <w:rsid w:val="00FC420E"/>
    <w:rsid w:val="00FD2CBE"/>
    <w:rsid w:val="00FD3E68"/>
    <w:rsid w:val="00FD6F71"/>
    <w:rsid w:val="00FE61D4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3114"/>
  <w15:chartTrackingRefBased/>
  <w15:docId w15:val="{16A4AF0F-9E28-4BC8-8AF4-A83C9A0B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258B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58B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258B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258B1"/>
    <w:rPr>
      <w:rFonts w:ascii="Calibri" w:hAnsi="Calibri" w:cs="Calibri"/>
      <w:noProof/>
    </w:rPr>
  </w:style>
  <w:style w:type="paragraph" w:styleId="NoSpacing">
    <w:name w:val="No Spacing"/>
    <w:uiPriority w:val="1"/>
    <w:qFormat/>
    <w:rsid w:val="008258B1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0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9D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9DA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93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30"/>
  </w:style>
  <w:style w:type="paragraph" w:styleId="Footer">
    <w:name w:val="footer"/>
    <w:basedOn w:val="Normal"/>
    <w:link w:val="FooterChar"/>
    <w:uiPriority w:val="99"/>
    <w:unhideWhenUsed/>
    <w:rsid w:val="0038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30"/>
  </w:style>
  <w:style w:type="paragraph" w:styleId="Revision">
    <w:name w:val="Revision"/>
    <w:hidden/>
    <w:uiPriority w:val="99"/>
    <w:semiHidden/>
    <w:rsid w:val="001F3F37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600C6"/>
  </w:style>
  <w:style w:type="paragraph" w:styleId="NormalWeb">
    <w:name w:val="Normal (Web)"/>
    <w:basedOn w:val="Normal"/>
    <w:uiPriority w:val="99"/>
    <w:semiHidden/>
    <w:unhideWhenUsed/>
    <w:rsid w:val="0019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405A-3B62-447E-B822-B1062233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 Li</dc:creator>
  <cp:keywords/>
  <dc:description/>
  <cp:lastModifiedBy>Kyle Robinson</cp:lastModifiedBy>
  <cp:revision>5</cp:revision>
  <cp:lastPrinted>2023-07-04T05:42:00Z</cp:lastPrinted>
  <dcterms:created xsi:type="dcterms:W3CDTF">2023-08-17T00:53:00Z</dcterms:created>
  <dcterms:modified xsi:type="dcterms:W3CDTF">2023-08-22T10:18:00Z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2023-05-17T06:08:35Z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eefb20b0-4c24-45b4-a13e-bc44aa8cec79</vt:lpwstr>
  </property>
  <property fmtid="{D5CDD505-2E9C-101B-9397-08002B2CF9AE}" pid="8" name="MSIP_Label_0f488380-630a-4f55-a077-a19445e3f360_ContentBits">
    <vt:lpwstr>0</vt:lpwstr>
  </property>
</Properties>
</file>